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B1806" w14:textId="77777777" w:rsidR="00F46E50" w:rsidRPr="00487209" w:rsidRDefault="00F46E50" w:rsidP="006C6323">
      <w:pPr>
        <w:pStyle w:val="FootnoteText"/>
        <w:spacing w:before="120" w:after="120"/>
        <w:rPr>
          <w:rFonts w:ascii="Times New Roman" w:hAnsi="Times New Roman" w:cs="Times New Roman"/>
          <w:b/>
          <w:sz w:val="18"/>
          <w:szCs w:val="18"/>
          <w:lang w:val="sr-Cyrl-CS"/>
        </w:rPr>
      </w:pPr>
    </w:p>
    <w:p w14:paraId="406117FA" w14:textId="77777777" w:rsidR="00445562" w:rsidRPr="00487209" w:rsidRDefault="00445562" w:rsidP="006C6323">
      <w:pPr>
        <w:pStyle w:val="FootnoteText"/>
        <w:spacing w:before="240"/>
        <w:ind w:firstLine="680"/>
        <w:jc w:val="center"/>
        <w:rPr>
          <w:rFonts w:ascii="Times New Roman" w:hAnsi="Times New Roman" w:cs="Times New Roman"/>
          <w:b/>
          <w:sz w:val="18"/>
          <w:szCs w:val="18"/>
          <w:lang w:val="sr-Latn-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1992"/>
        <w:gridCol w:w="1615"/>
        <w:gridCol w:w="1131"/>
        <w:gridCol w:w="2045"/>
        <w:gridCol w:w="1199"/>
        <w:gridCol w:w="1207"/>
        <w:gridCol w:w="393"/>
        <w:gridCol w:w="1183"/>
        <w:gridCol w:w="1265"/>
      </w:tblGrid>
      <w:tr w:rsidR="00AE0D4E" w:rsidRPr="00487209" w14:paraId="10860005" w14:textId="77777777" w:rsidTr="007D5144">
        <w:trPr>
          <w:jc w:val="center"/>
        </w:trPr>
        <w:tc>
          <w:tcPr>
            <w:tcW w:w="4071" w:type="pct"/>
            <w:gridSpan w:val="8"/>
            <w:tcBorders>
              <w:top w:val="single" w:sz="4" w:space="0" w:color="auto"/>
              <w:left w:val="single" w:sz="4" w:space="0" w:color="auto"/>
              <w:bottom w:val="single" w:sz="4" w:space="0" w:color="auto"/>
              <w:right w:val="single" w:sz="4" w:space="0" w:color="auto"/>
            </w:tcBorders>
            <w:shd w:val="clear" w:color="auto" w:fill="auto"/>
          </w:tcPr>
          <w:p w14:paraId="67E19AE0" w14:textId="77777777" w:rsidR="00B04D2F" w:rsidRPr="00487209" w:rsidRDefault="00B04D2F" w:rsidP="006C6323">
            <w:pPr>
              <w:spacing w:before="120" w:after="120"/>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1. Назив прописа E</w:t>
            </w:r>
            <w:r w:rsidR="00881077" w:rsidRPr="00487209">
              <w:rPr>
                <w:rFonts w:ascii="Times New Roman" w:hAnsi="Times New Roman" w:cs="Times New Roman"/>
                <w:sz w:val="18"/>
                <w:szCs w:val="18"/>
                <w:lang w:val="sr-Cyrl-CS"/>
              </w:rPr>
              <w:t>вропске униј</w:t>
            </w:r>
            <w:r w:rsidR="003F4EBD" w:rsidRPr="00487209">
              <w:rPr>
                <w:rFonts w:ascii="Times New Roman" w:hAnsi="Times New Roman" w:cs="Times New Roman"/>
                <w:sz w:val="18"/>
                <w:szCs w:val="18"/>
                <w:lang w:val="sr-Cyrl-CS"/>
              </w:rPr>
              <w:t>е</w:t>
            </w:r>
            <w:r w:rsidRPr="00487209" w:rsidDel="00C32699">
              <w:rPr>
                <w:rFonts w:ascii="Times New Roman" w:hAnsi="Times New Roman" w:cs="Times New Roman"/>
                <w:sz w:val="18"/>
                <w:szCs w:val="18"/>
                <w:lang w:val="sr-Cyrl-CS"/>
              </w:rPr>
              <w:t xml:space="preserve"> </w:t>
            </w:r>
            <w:r w:rsidRPr="00487209">
              <w:rPr>
                <w:rFonts w:ascii="Times New Roman" w:hAnsi="Times New Roman" w:cs="Times New Roman"/>
                <w:sz w:val="18"/>
                <w:szCs w:val="18"/>
                <w:lang w:val="sr-Cyrl-CS"/>
              </w:rPr>
              <w:t xml:space="preserve">: </w:t>
            </w:r>
          </w:p>
          <w:p w14:paraId="54FF6109" w14:textId="77777777" w:rsidR="00B04D2F" w:rsidRPr="00487209" w:rsidRDefault="00B04D2F" w:rsidP="006C6323">
            <w:pPr>
              <w:spacing w:before="120" w:after="120"/>
              <w:jc w:val="both"/>
              <w:rPr>
                <w:rFonts w:ascii="Times New Roman" w:hAnsi="Times New Roman" w:cs="Times New Roman"/>
                <w:sz w:val="18"/>
                <w:szCs w:val="18"/>
                <w:lang w:val="sr-Cyrl-CS"/>
              </w:rPr>
            </w:pPr>
          </w:p>
        </w:tc>
        <w:tc>
          <w:tcPr>
            <w:tcW w:w="929" w:type="pct"/>
            <w:gridSpan w:val="2"/>
            <w:tcBorders>
              <w:top w:val="single" w:sz="4" w:space="0" w:color="auto"/>
              <w:left w:val="single" w:sz="4" w:space="0" w:color="auto"/>
              <w:bottom w:val="single" w:sz="4" w:space="0" w:color="auto"/>
              <w:right w:val="single" w:sz="4" w:space="0" w:color="auto"/>
            </w:tcBorders>
            <w:shd w:val="clear" w:color="auto" w:fill="auto"/>
          </w:tcPr>
          <w:p w14:paraId="643A720E" w14:textId="2FDE6728" w:rsidR="00425B2E" w:rsidRPr="00487209" w:rsidRDefault="00B04D2F" w:rsidP="006C6323">
            <w:pPr>
              <w:spacing w:before="120" w:after="120"/>
              <w:jc w:val="both"/>
              <w:rPr>
                <w:rFonts w:ascii="Times New Roman" w:hAnsi="Times New Roman" w:cs="Times New Roman"/>
                <w:b/>
                <w:bCs/>
                <w:iCs/>
                <w:sz w:val="18"/>
                <w:szCs w:val="18"/>
                <w:lang w:val="sr-Cyrl-CS"/>
              </w:rPr>
            </w:pPr>
            <w:r w:rsidRPr="00487209">
              <w:rPr>
                <w:rFonts w:ascii="Times New Roman" w:hAnsi="Times New Roman" w:cs="Times New Roman"/>
                <w:iCs/>
                <w:sz w:val="18"/>
                <w:szCs w:val="18"/>
                <w:lang w:val="ru-RU"/>
              </w:rPr>
              <w:t>2. „CELEX” ознака ЕУ проп</w:t>
            </w:r>
            <w:r w:rsidR="00600B54">
              <w:rPr>
                <w:rFonts w:ascii="Times New Roman" w:hAnsi="Times New Roman" w:cs="Times New Roman"/>
                <w:iCs/>
                <w:sz w:val="18"/>
                <w:szCs w:val="18"/>
                <w:lang w:val="ru-RU"/>
              </w:rPr>
              <w:t>и</w:t>
            </w:r>
            <w:r w:rsidRPr="00487209">
              <w:rPr>
                <w:rFonts w:ascii="Times New Roman" w:hAnsi="Times New Roman" w:cs="Times New Roman"/>
                <w:iCs/>
                <w:sz w:val="18"/>
                <w:szCs w:val="18"/>
                <w:lang w:val="ru-RU"/>
              </w:rPr>
              <w:t>са</w:t>
            </w:r>
            <w:r w:rsidRPr="00487209" w:rsidDel="00C32699">
              <w:rPr>
                <w:rFonts w:ascii="Times New Roman" w:hAnsi="Times New Roman" w:cs="Times New Roman"/>
                <w:iCs/>
                <w:sz w:val="18"/>
                <w:szCs w:val="18"/>
                <w:lang w:val="ru-RU"/>
              </w:rPr>
              <w:t xml:space="preserve"> </w:t>
            </w:r>
          </w:p>
          <w:p w14:paraId="3136707C" w14:textId="77777777" w:rsidR="00B04D2F" w:rsidRPr="00487209" w:rsidRDefault="00B04D2F" w:rsidP="006C6323">
            <w:pPr>
              <w:spacing w:before="120" w:after="120"/>
              <w:jc w:val="both"/>
              <w:rPr>
                <w:rFonts w:ascii="Times New Roman" w:hAnsi="Times New Roman" w:cs="Times New Roman"/>
                <w:iCs/>
                <w:sz w:val="18"/>
                <w:szCs w:val="18"/>
                <w:lang w:val="ru-RU"/>
              </w:rPr>
            </w:pPr>
          </w:p>
        </w:tc>
      </w:tr>
      <w:tr w:rsidR="00AE0D4E" w:rsidRPr="00487209" w14:paraId="3B351A92" w14:textId="77777777" w:rsidTr="007D5144">
        <w:trPr>
          <w:jc w:val="center"/>
        </w:trPr>
        <w:tc>
          <w:tcPr>
            <w:tcW w:w="4071" w:type="pct"/>
            <w:gridSpan w:val="8"/>
            <w:tcBorders>
              <w:top w:val="single" w:sz="4" w:space="0" w:color="auto"/>
              <w:left w:val="single" w:sz="4" w:space="0" w:color="auto"/>
              <w:bottom w:val="single" w:sz="4" w:space="0" w:color="auto"/>
              <w:right w:val="single" w:sz="4" w:space="0" w:color="auto"/>
            </w:tcBorders>
            <w:shd w:val="clear" w:color="auto" w:fill="auto"/>
          </w:tcPr>
          <w:p w14:paraId="7FBB716A" w14:textId="1264374D" w:rsidR="00425B2E" w:rsidRPr="00487209" w:rsidRDefault="00EE4D88" w:rsidP="006C6323">
            <w:pPr>
              <w:spacing w:before="120" w:after="120"/>
              <w:jc w:val="both"/>
              <w:rPr>
                <w:rFonts w:ascii="Times New Roman" w:hAnsi="Times New Roman" w:cs="Times New Roman"/>
                <w:sz w:val="18"/>
                <w:szCs w:val="18"/>
                <w:lang w:val="sr-Cyrl-CS"/>
              </w:rPr>
            </w:pPr>
            <w:r w:rsidRPr="00487209">
              <w:rPr>
                <w:rFonts w:ascii="Times New Roman" w:hAnsi="Times New Roman" w:cs="Times New Roman"/>
                <w:bCs/>
                <w:sz w:val="18"/>
                <w:szCs w:val="18"/>
              </w:rPr>
              <w:t>Regulation (EU) No 305/2011 of the European Parliament and of the Council of 9 March 2011 laying down harmonised conditions for the marketing of construction products and repealing Council Directive 89/1</w:t>
            </w:r>
            <w:r w:rsidR="00F249E1" w:rsidRPr="00487209">
              <w:rPr>
                <w:rFonts w:ascii="Times New Roman" w:hAnsi="Times New Roman" w:cs="Times New Roman"/>
                <w:bCs/>
                <w:sz w:val="18"/>
                <w:szCs w:val="18"/>
              </w:rPr>
              <w:t>01</w:t>
            </w:r>
            <w:r w:rsidRPr="00487209">
              <w:rPr>
                <w:rFonts w:ascii="Times New Roman" w:hAnsi="Times New Roman" w:cs="Times New Roman"/>
                <w:bCs/>
                <w:sz w:val="18"/>
                <w:szCs w:val="18"/>
              </w:rPr>
              <w:t>/EEC (Text with EEA relevance)</w:t>
            </w:r>
            <w:r w:rsidR="00CB080B" w:rsidRPr="00487209">
              <w:rPr>
                <w:rFonts w:ascii="Times New Roman" w:hAnsi="Times New Roman" w:cs="Times New Roman"/>
                <w:bCs/>
                <w:sz w:val="18"/>
                <w:szCs w:val="18"/>
              </w:rPr>
              <w:t>, consolidated version, 16/</w:t>
            </w:r>
            <w:r w:rsidR="00F249E1" w:rsidRPr="00487209">
              <w:rPr>
                <w:rFonts w:ascii="Times New Roman" w:hAnsi="Times New Roman" w:cs="Times New Roman"/>
                <w:bCs/>
                <w:sz w:val="18"/>
                <w:szCs w:val="18"/>
              </w:rPr>
              <w:t>01</w:t>
            </w:r>
            <w:r w:rsidR="00CB080B" w:rsidRPr="00487209">
              <w:rPr>
                <w:rFonts w:ascii="Times New Roman" w:hAnsi="Times New Roman" w:cs="Times New Roman"/>
                <w:bCs/>
                <w:sz w:val="18"/>
                <w:szCs w:val="18"/>
              </w:rPr>
              <w:t>/2014</w:t>
            </w:r>
          </w:p>
        </w:tc>
        <w:tc>
          <w:tcPr>
            <w:tcW w:w="929" w:type="pct"/>
            <w:gridSpan w:val="2"/>
            <w:tcBorders>
              <w:top w:val="single" w:sz="4" w:space="0" w:color="auto"/>
              <w:left w:val="single" w:sz="4" w:space="0" w:color="auto"/>
              <w:bottom w:val="single" w:sz="4" w:space="0" w:color="auto"/>
              <w:right w:val="single" w:sz="4" w:space="0" w:color="auto"/>
            </w:tcBorders>
            <w:shd w:val="clear" w:color="auto" w:fill="auto"/>
          </w:tcPr>
          <w:p w14:paraId="54FAF926" w14:textId="030ABC88" w:rsidR="00425B2E" w:rsidRPr="00487209" w:rsidRDefault="00EE4D88" w:rsidP="006C6323">
            <w:pPr>
              <w:spacing w:before="120" w:after="120"/>
              <w:jc w:val="both"/>
              <w:rPr>
                <w:rFonts w:ascii="Times New Roman" w:hAnsi="Times New Roman" w:cs="Times New Roman"/>
                <w:b/>
                <w:bCs/>
                <w:iCs/>
                <w:sz w:val="18"/>
                <w:szCs w:val="18"/>
              </w:rPr>
            </w:pPr>
            <w:r w:rsidRPr="00487209">
              <w:rPr>
                <w:rFonts w:ascii="Times New Roman" w:hAnsi="Times New Roman" w:cs="Times New Roman"/>
                <w:b/>
                <w:bCs/>
                <w:iCs/>
                <w:sz w:val="18"/>
                <w:szCs w:val="18"/>
                <w:lang w:val="sr-Cyrl-CS"/>
              </w:rPr>
              <w:t>02011R0305-2014</w:t>
            </w:r>
            <w:r w:rsidR="00F249E1" w:rsidRPr="00487209">
              <w:rPr>
                <w:rFonts w:ascii="Times New Roman" w:hAnsi="Times New Roman" w:cs="Times New Roman"/>
                <w:b/>
                <w:bCs/>
                <w:iCs/>
                <w:sz w:val="18"/>
                <w:szCs w:val="18"/>
                <w:lang w:val="sr-Cyrl-CS"/>
              </w:rPr>
              <w:t>01</w:t>
            </w:r>
            <w:r w:rsidRPr="00487209">
              <w:rPr>
                <w:rFonts w:ascii="Times New Roman" w:hAnsi="Times New Roman" w:cs="Times New Roman"/>
                <w:b/>
                <w:bCs/>
                <w:iCs/>
                <w:sz w:val="18"/>
                <w:szCs w:val="18"/>
                <w:lang w:val="sr-Cyrl-CS"/>
              </w:rPr>
              <w:t>16</w:t>
            </w:r>
          </w:p>
        </w:tc>
      </w:tr>
      <w:tr w:rsidR="00AE0D4E" w:rsidRPr="00487209" w14:paraId="1FDA8D0F" w14:textId="77777777" w:rsidTr="007D5144">
        <w:trPr>
          <w:jc w:val="center"/>
        </w:trPr>
        <w:tc>
          <w:tcPr>
            <w:tcW w:w="4071" w:type="pct"/>
            <w:gridSpan w:val="8"/>
            <w:tcBorders>
              <w:top w:val="single" w:sz="4" w:space="0" w:color="auto"/>
              <w:left w:val="single" w:sz="4" w:space="0" w:color="auto"/>
              <w:bottom w:val="single" w:sz="4" w:space="0" w:color="auto"/>
              <w:right w:val="single" w:sz="4" w:space="0" w:color="auto"/>
            </w:tcBorders>
            <w:shd w:val="clear" w:color="auto" w:fill="auto"/>
          </w:tcPr>
          <w:p w14:paraId="7F491EDD" w14:textId="02284506" w:rsidR="00B04D2F" w:rsidRPr="00487209" w:rsidRDefault="00B04D2F" w:rsidP="006C6323">
            <w:pPr>
              <w:rPr>
                <w:rFonts w:ascii="Times New Roman" w:hAnsi="Times New Roman" w:cs="Times New Roman"/>
                <w:sz w:val="18"/>
                <w:szCs w:val="18"/>
                <w:lang w:val="sr-Cyrl-CS"/>
              </w:rPr>
            </w:pPr>
            <w:r w:rsidRPr="00487209">
              <w:rPr>
                <w:rFonts w:ascii="Times New Roman" w:hAnsi="Times New Roman" w:cs="Times New Roman"/>
                <w:sz w:val="18"/>
                <w:szCs w:val="18"/>
                <w:lang w:val="sr-Cyrl-CS"/>
              </w:rPr>
              <w:t>3. Орган државне управе, односно други овлашћени предлагач прописа</w:t>
            </w:r>
            <w:r w:rsidR="00600B54">
              <w:rPr>
                <w:rFonts w:ascii="Times New Roman" w:hAnsi="Times New Roman" w:cs="Times New Roman"/>
                <w:sz w:val="18"/>
                <w:szCs w:val="18"/>
                <w:lang w:val="sr-Cyrl-CS"/>
              </w:rPr>
              <w:t xml:space="preserve"> - Влада</w:t>
            </w:r>
          </w:p>
        </w:tc>
        <w:tc>
          <w:tcPr>
            <w:tcW w:w="929" w:type="pct"/>
            <w:gridSpan w:val="2"/>
            <w:tcBorders>
              <w:top w:val="single" w:sz="4" w:space="0" w:color="auto"/>
              <w:left w:val="single" w:sz="4" w:space="0" w:color="auto"/>
              <w:bottom w:val="single" w:sz="4" w:space="0" w:color="auto"/>
              <w:right w:val="single" w:sz="4" w:space="0" w:color="auto"/>
            </w:tcBorders>
            <w:shd w:val="clear" w:color="auto" w:fill="auto"/>
          </w:tcPr>
          <w:p w14:paraId="3331FD98" w14:textId="77777777" w:rsidR="00B04D2F" w:rsidRPr="00487209" w:rsidRDefault="00B04D2F" w:rsidP="006C6323">
            <w:pPr>
              <w:jc w:val="both"/>
              <w:rPr>
                <w:rFonts w:ascii="Times New Roman" w:hAnsi="Times New Roman" w:cs="Times New Roman"/>
                <w:iCs/>
                <w:sz w:val="18"/>
                <w:szCs w:val="18"/>
                <w:lang w:val="ru-RU"/>
              </w:rPr>
            </w:pPr>
            <w:r w:rsidRPr="00487209">
              <w:rPr>
                <w:rFonts w:ascii="Times New Roman" w:hAnsi="Times New Roman" w:cs="Times New Roman"/>
                <w:iCs/>
                <w:sz w:val="18"/>
                <w:szCs w:val="18"/>
                <w:lang w:val="ru-RU"/>
              </w:rPr>
              <w:t xml:space="preserve">4. Датум израде табеле: </w:t>
            </w:r>
          </w:p>
        </w:tc>
      </w:tr>
      <w:tr w:rsidR="00AE0D4E" w:rsidRPr="00487209" w14:paraId="33972E01" w14:textId="77777777" w:rsidTr="007D5144">
        <w:trPr>
          <w:jc w:val="center"/>
        </w:trPr>
        <w:tc>
          <w:tcPr>
            <w:tcW w:w="4071" w:type="pct"/>
            <w:gridSpan w:val="8"/>
            <w:tcBorders>
              <w:top w:val="single" w:sz="4" w:space="0" w:color="auto"/>
              <w:left w:val="single" w:sz="4" w:space="0" w:color="auto"/>
              <w:bottom w:val="single" w:sz="4" w:space="0" w:color="auto"/>
              <w:right w:val="single" w:sz="4" w:space="0" w:color="auto"/>
            </w:tcBorders>
            <w:shd w:val="clear" w:color="auto" w:fill="auto"/>
          </w:tcPr>
          <w:p w14:paraId="1E622DF3" w14:textId="6E2DAC8A" w:rsidR="00B04D2F" w:rsidRPr="00487209" w:rsidRDefault="00600B54" w:rsidP="006C6323">
            <w:pPr>
              <w:jc w:val="both"/>
              <w:rPr>
                <w:rFonts w:ascii="Times New Roman" w:hAnsi="Times New Roman" w:cs="Times New Roman"/>
                <w:sz w:val="18"/>
                <w:szCs w:val="18"/>
                <w:lang w:val="sr-Cyrl-CS"/>
              </w:rPr>
            </w:pPr>
            <w:r>
              <w:rPr>
                <w:rFonts w:ascii="Times New Roman" w:hAnsi="Times New Roman" w:cs="Times New Roman"/>
                <w:sz w:val="18"/>
                <w:szCs w:val="18"/>
                <w:lang w:val="sr-Cyrl-CS"/>
              </w:rPr>
              <w:t xml:space="preserve">Обрађивач - </w:t>
            </w:r>
            <w:r w:rsidR="00093614" w:rsidRPr="00487209">
              <w:rPr>
                <w:rFonts w:ascii="Times New Roman" w:hAnsi="Times New Roman" w:cs="Times New Roman"/>
                <w:sz w:val="18"/>
                <w:szCs w:val="18"/>
                <w:lang w:val="sr-Cyrl-CS"/>
              </w:rPr>
              <w:t>Министарство грађевинарства, саобраћаја и инфраструктуре</w:t>
            </w:r>
          </w:p>
        </w:tc>
        <w:tc>
          <w:tcPr>
            <w:tcW w:w="929" w:type="pct"/>
            <w:gridSpan w:val="2"/>
            <w:tcBorders>
              <w:top w:val="single" w:sz="4" w:space="0" w:color="auto"/>
              <w:left w:val="single" w:sz="4" w:space="0" w:color="auto"/>
              <w:bottom w:val="single" w:sz="4" w:space="0" w:color="auto"/>
              <w:right w:val="single" w:sz="4" w:space="0" w:color="auto"/>
            </w:tcBorders>
            <w:shd w:val="clear" w:color="auto" w:fill="auto"/>
          </w:tcPr>
          <w:p w14:paraId="37899147" w14:textId="73208D42" w:rsidR="00B04D2F" w:rsidRPr="00330310" w:rsidRDefault="001E2378" w:rsidP="001E2378">
            <w:pPr>
              <w:jc w:val="both"/>
              <w:rPr>
                <w:rFonts w:ascii="Times New Roman" w:hAnsi="Times New Roman" w:cs="Times New Roman"/>
                <w:iCs/>
                <w:sz w:val="18"/>
                <w:szCs w:val="18"/>
                <w:lang w:val="sr-Cyrl-RS"/>
              </w:rPr>
            </w:pPr>
            <w:r>
              <w:rPr>
                <w:rFonts w:ascii="Times New Roman" w:hAnsi="Times New Roman" w:cs="Times New Roman"/>
                <w:iCs/>
                <w:sz w:val="18"/>
                <w:szCs w:val="18"/>
                <w:lang w:val="sr-Cyrl-CS"/>
              </w:rPr>
              <w:t>јун</w:t>
            </w:r>
            <w:r w:rsidRPr="00487209">
              <w:rPr>
                <w:rFonts w:ascii="Times New Roman" w:hAnsi="Times New Roman" w:cs="Times New Roman"/>
                <w:iCs/>
                <w:sz w:val="18"/>
                <w:szCs w:val="18"/>
                <w:lang w:val="sr-Cyrl-CS"/>
              </w:rPr>
              <w:t xml:space="preserve"> </w:t>
            </w:r>
            <w:r w:rsidR="00EC7E34" w:rsidRPr="00487209">
              <w:rPr>
                <w:rFonts w:ascii="Times New Roman" w:hAnsi="Times New Roman" w:cs="Times New Roman"/>
                <w:iCs/>
                <w:sz w:val="18"/>
                <w:szCs w:val="18"/>
                <w:lang w:val="sr-Cyrl-CS"/>
              </w:rPr>
              <w:t>201</w:t>
            </w:r>
            <w:r>
              <w:rPr>
                <w:rFonts w:ascii="Times New Roman" w:hAnsi="Times New Roman" w:cs="Times New Roman"/>
                <w:iCs/>
                <w:sz w:val="18"/>
                <w:szCs w:val="18"/>
                <w:lang w:val="sr-Cyrl-CS"/>
              </w:rPr>
              <w:t>8</w:t>
            </w:r>
            <w:r w:rsidR="00330310">
              <w:rPr>
                <w:rFonts w:ascii="Times New Roman" w:hAnsi="Times New Roman" w:cs="Times New Roman"/>
                <w:iCs/>
                <w:sz w:val="18"/>
                <w:szCs w:val="18"/>
              </w:rPr>
              <w:t xml:space="preserve">. </w:t>
            </w:r>
            <w:r w:rsidR="00330310">
              <w:rPr>
                <w:rFonts w:ascii="Times New Roman" w:hAnsi="Times New Roman" w:cs="Times New Roman"/>
                <w:iCs/>
                <w:sz w:val="18"/>
                <w:szCs w:val="18"/>
                <w:lang w:val="sr-Cyrl-RS"/>
              </w:rPr>
              <w:t>године</w:t>
            </w:r>
          </w:p>
        </w:tc>
      </w:tr>
      <w:tr w:rsidR="00AE0D4E" w:rsidRPr="00487209" w14:paraId="79B327C5" w14:textId="77777777" w:rsidTr="007D5144">
        <w:trPr>
          <w:trHeight w:val="917"/>
          <w:jc w:val="center"/>
        </w:trPr>
        <w:tc>
          <w:tcPr>
            <w:tcW w:w="4071" w:type="pct"/>
            <w:gridSpan w:val="8"/>
            <w:tcBorders>
              <w:top w:val="single" w:sz="4" w:space="0" w:color="auto"/>
              <w:left w:val="single" w:sz="4" w:space="0" w:color="auto"/>
              <w:bottom w:val="single" w:sz="4" w:space="0" w:color="auto"/>
              <w:right w:val="single" w:sz="4" w:space="0" w:color="auto"/>
            </w:tcBorders>
            <w:shd w:val="clear" w:color="auto" w:fill="auto"/>
          </w:tcPr>
          <w:p w14:paraId="49CCB4B4" w14:textId="5DECA256" w:rsidR="00B04D2F" w:rsidRPr="00487209" w:rsidRDefault="009C25ED" w:rsidP="006C6323">
            <w:pPr>
              <w:spacing w:before="120" w:after="120"/>
              <w:jc w:val="both"/>
              <w:rPr>
                <w:rStyle w:val="hps"/>
                <w:rFonts w:ascii="Times New Roman" w:hAnsi="Times New Roman" w:cs="Times New Roman"/>
                <w:sz w:val="18"/>
                <w:szCs w:val="18"/>
                <w:lang w:val="sr-Cyrl-CS"/>
              </w:rPr>
            </w:pPr>
            <w:r w:rsidRPr="00487209">
              <w:rPr>
                <w:rFonts w:ascii="Times New Roman" w:hAnsi="Times New Roman" w:cs="Times New Roman"/>
                <w:sz w:val="18"/>
                <w:szCs w:val="18"/>
                <w:lang w:val="sr-Cyrl-CS"/>
              </w:rPr>
              <w:t>5. Назив (</w:t>
            </w:r>
            <w:r w:rsidR="0073105A">
              <w:rPr>
                <w:rFonts w:ascii="Times New Roman" w:hAnsi="Times New Roman" w:cs="Times New Roman"/>
                <w:sz w:val="18"/>
                <w:szCs w:val="18"/>
                <w:lang w:val="sr-Cyrl-CS"/>
              </w:rPr>
              <w:t>предлог</w:t>
            </w:r>
            <w:r w:rsidR="00B04D2F" w:rsidRPr="00487209">
              <w:rPr>
                <w:rFonts w:ascii="Times New Roman" w:hAnsi="Times New Roman" w:cs="Times New Roman"/>
                <w:sz w:val="18"/>
                <w:szCs w:val="18"/>
                <w:lang w:val="sr-Cyrl-CS"/>
              </w:rPr>
              <w:t>а, предлога) прописа чије одредбе су предмет анализе усклађености са прописом Е</w:t>
            </w:r>
            <w:r w:rsidR="00881077" w:rsidRPr="00487209">
              <w:rPr>
                <w:rFonts w:ascii="Times New Roman" w:hAnsi="Times New Roman" w:cs="Times New Roman"/>
                <w:sz w:val="18"/>
                <w:szCs w:val="18"/>
                <w:lang w:val="sr-Cyrl-CS"/>
              </w:rPr>
              <w:t>вропске уније</w:t>
            </w:r>
            <w:r w:rsidR="00B04D2F" w:rsidRPr="00487209">
              <w:rPr>
                <w:rStyle w:val="hps"/>
                <w:rFonts w:ascii="Times New Roman" w:hAnsi="Times New Roman" w:cs="Times New Roman"/>
                <w:sz w:val="18"/>
                <w:szCs w:val="18"/>
                <w:lang w:val="sr-Cyrl-CS"/>
              </w:rPr>
              <w:t>:</w:t>
            </w:r>
          </w:p>
          <w:p w14:paraId="4D3D3D26" w14:textId="77777777" w:rsidR="00B04D2F" w:rsidRPr="00487209" w:rsidRDefault="00B04D2F" w:rsidP="006C6323">
            <w:pPr>
              <w:spacing w:before="120" w:after="120"/>
              <w:jc w:val="both"/>
              <w:rPr>
                <w:rFonts w:ascii="Times New Roman" w:hAnsi="Times New Roman" w:cs="Times New Roman"/>
                <w:sz w:val="18"/>
                <w:szCs w:val="18"/>
                <w:lang w:val="sr-Cyrl-CS"/>
              </w:rPr>
            </w:pPr>
          </w:p>
        </w:tc>
        <w:tc>
          <w:tcPr>
            <w:tcW w:w="929" w:type="pct"/>
            <w:gridSpan w:val="2"/>
            <w:tcBorders>
              <w:top w:val="single" w:sz="4" w:space="0" w:color="auto"/>
              <w:left w:val="single" w:sz="4" w:space="0" w:color="auto"/>
              <w:bottom w:val="single" w:sz="4" w:space="0" w:color="auto"/>
              <w:right w:val="single" w:sz="4" w:space="0" w:color="auto"/>
            </w:tcBorders>
            <w:shd w:val="clear" w:color="auto" w:fill="auto"/>
          </w:tcPr>
          <w:p w14:paraId="415FB9E4" w14:textId="77777777" w:rsidR="00B04D2F" w:rsidRPr="00487209" w:rsidRDefault="00B04D2F" w:rsidP="006C6323">
            <w:pPr>
              <w:spacing w:before="120" w:after="120"/>
              <w:jc w:val="both"/>
              <w:rPr>
                <w:rFonts w:ascii="Times New Roman" w:hAnsi="Times New Roman" w:cs="Times New Roman"/>
                <w:iCs/>
                <w:sz w:val="18"/>
                <w:szCs w:val="18"/>
                <w:lang w:val="ru-RU"/>
              </w:rPr>
            </w:pPr>
            <w:r w:rsidRPr="00487209">
              <w:rPr>
                <w:rFonts w:ascii="Times New Roman" w:hAnsi="Times New Roman" w:cs="Times New Roman"/>
                <w:iCs/>
                <w:sz w:val="18"/>
                <w:szCs w:val="18"/>
                <w:lang w:val="ru-RU"/>
              </w:rPr>
              <w:t>6. Бројчане ознаке (шифре) планираних прописа из базе НПAA</w:t>
            </w:r>
            <w:r w:rsidRPr="00487209">
              <w:rPr>
                <w:rStyle w:val="hps"/>
                <w:rFonts w:ascii="Times New Roman" w:hAnsi="Times New Roman" w:cs="Times New Roman"/>
                <w:iCs/>
                <w:sz w:val="18"/>
                <w:szCs w:val="18"/>
                <w:lang w:val="ru-RU"/>
              </w:rPr>
              <w:t>:</w:t>
            </w:r>
          </w:p>
          <w:p w14:paraId="106B2690" w14:textId="77777777" w:rsidR="00B04D2F" w:rsidRPr="00487209" w:rsidRDefault="00B04D2F" w:rsidP="006C6323">
            <w:pPr>
              <w:jc w:val="both"/>
              <w:rPr>
                <w:rFonts w:ascii="Times New Roman" w:hAnsi="Times New Roman" w:cs="Times New Roman"/>
                <w:iCs/>
                <w:sz w:val="18"/>
                <w:szCs w:val="18"/>
                <w:lang w:val="ru-RU"/>
              </w:rPr>
            </w:pPr>
          </w:p>
        </w:tc>
      </w:tr>
      <w:tr w:rsidR="00AE0D4E" w:rsidRPr="00487209" w14:paraId="47D8F055" w14:textId="77777777" w:rsidTr="007D5144">
        <w:trPr>
          <w:jc w:val="center"/>
        </w:trPr>
        <w:tc>
          <w:tcPr>
            <w:tcW w:w="4071" w:type="pct"/>
            <w:gridSpan w:val="8"/>
            <w:tcBorders>
              <w:top w:val="single" w:sz="4" w:space="0" w:color="auto"/>
              <w:left w:val="single" w:sz="4" w:space="0" w:color="auto"/>
              <w:bottom w:val="single" w:sz="4" w:space="0" w:color="auto"/>
              <w:right w:val="single" w:sz="4" w:space="0" w:color="auto"/>
            </w:tcBorders>
            <w:shd w:val="clear" w:color="auto" w:fill="auto"/>
          </w:tcPr>
          <w:p w14:paraId="69099904" w14:textId="0988F782" w:rsidR="00093614" w:rsidRPr="00180E1C" w:rsidRDefault="00180E1C" w:rsidP="00180E1C">
            <w:pPr>
              <w:spacing w:before="120" w:after="120"/>
              <w:ind w:left="360"/>
              <w:jc w:val="both"/>
              <w:rPr>
                <w:rStyle w:val="hps"/>
                <w:rFonts w:ascii="Times New Roman" w:hAnsi="Times New Roman" w:cs="Times New Roman"/>
                <w:sz w:val="18"/>
                <w:szCs w:val="18"/>
              </w:rPr>
            </w:pPr>
            <w:r w:rsidRPr="00180E1C">
              <w:rPr>
                <w:rStyle w:val="hps"/>
                <w:rFonts w:ascii="Times New Roman" w:hAnsi="Times New Roman" w:cs="Times New Roman"/>
                <w:sz w:val="18"/>
                <w:szCs w:val="18"/>
              </w:rPr>
              <w:t>1.</w:t>
            </w:r>
            <w:r>
              <w:rPr>
                <w:rStyle w:val="hps"/>
                <w:rFonts w:ascii="Times New Roman" w:hAnsi="Times New Roman" w:cs="Times New Roman"/>
                <w:sz w:val="18"/>
                <w:szCs w:val="18"/>
              </w:rPr>
              <w:t xml:space="preserve"> </w:t>
            </w:r>
            <w:r w:rsidR="00D049D4" w:rsidRPr="00180E1C">
              <w:rPr>
                <w:rStyle w:val="hps"/>
                <w:rFonts w:ascii="Times New Roman" w:hAnsi="Times New Roman" w:cs="Times New Roman"/>
                <w:sz w:val="18"/>
                <w:szCs w:val="18"/>
                <w:lang w:val="sr-Cyrl-RS"/>
              </w:rPr>
              <w:t>Предлог</w:t>
            </w:r>
            <w:r w:rsidR="00D049D4" w:rsidRPr="00180E1C">
              <w:rPr>
                <w:rStyle w:val="hps"/>
                <w:rFonts w:ascii="Times New Roman" w:hAnsi="Times New Roman" w:cs="Times New Roman"/>
                <w:sz w:val="18"/>
                <w:szCs w:val="18"/>
              </w:rPr>
              <w:t xml:space="preserve"> закона </w:t>
            </w:r>
            <w:r w:rsidR="00093614" w:rsidRPr="00180E1C">
              <w:rPr>
                <w:rStyle w:val="hps"/>
                <w:rFonts w:ascii="Times New Roman" w:hAnsi="Times New Roman" w:cs="Times New Roman"/>
                <w:sz w:val="18"/>
                <w:szCs w:val="18"/>
              </w:rPr>
              <w:t>о грађевинским производима</w:t>
            </w:r>
            <w:r w:rsidR="00067447" w:rsidRPr="00180E1C">
              <w:rPr>
                <w:rStyle w:val="hps"/>
                <w:rFonts w:ascii="Times New Roman" w:hAnsi="Times New Roman" w:cs="Times New Roman"/>
                <w:sz w:val="18"/>
                <w:szCs w:val="18"/>
              </w:rPr>
              <w:t xml:space="preserve"> - </w:t>
            </w:r>
            <w:r w:rsidR="00067447" w:rsidRPr="00180E1C">
              <w:rPr>
                <w:rFonts w:ascii="Times New Roman" w:hAnsi="Times New Roman" w:cs="Times New Roman"/>
                <w:sz w:val="18"/>
                <w:szCs w:val="18"/>
                <w:lang w:val="en"/>
              </w:rPr>
              <w:t>The draft law on construction products</w:t>
            </w:r>
          </w:p>
          <w:p w14:paraId="30401063" w14:textId="2D380F01" w:rsidR="00C73A9B" w:rsidRPr="00180E1C" w:rsidRDefault="00180E1C" w:rsidP="00180E1C">
            <w:pPr>
              <w:spacing w:before="120" w:after="120"/>
              <w:ind w:left="360"/>
              <w:jc w:val="both"/>
              <w:rPr>
                <w:rFonts w:ascii="Times New Roman" w:hAnsi="Times New Roman" w:cs="Times New Roman"/>
                <w:bCs/>
                <w:sz w:val="18"/>
                <w:szCs w:val="18"/>
              </w:rPr>
            </w:pPr>
            <w:r w:rsidRPr="00180E1C">
              <w:rPr>
                <w:rStyle w:val="hps"/>
                <w:rFonts w:ascii="Times New Roman" w:hAnsi="Times New Roman" w:cs="Times New Roman"/>
                <w:sz w:val="18"/>
                <w:szCs w:val="18"/>
              </w:rPr>
              <w:t xml:space="preserve">2. </w:t>
            </w:r>
            <w:r w:rsidR="00C73A9B" w:rsidRPr="00180E1C">
              <w:rPr>
                <w:rStyle w:val="hps"/>
                <w:rFonts w:ascii="Times New Roman" w:hAnsi="Times New Roman" w:cs="Times New Roman"/>
                <w:sz w:val="18"/>
                <w:szCs w:val="18"/>
              </w:rPr>
              <w:t>Закон о тржишном надзору (</w:t>
            </w:r>
            <w:r w:rsidR="00C73A9B" w:rsidRPr="00180E1C">
              <w:rPr>
                <w:rFonts w:ascii="Times New Roman" w:hAnsi="Times New Roman" w:cs="Times New Roman"/>
                <w:bCs/>
                <w:sz w:val="18"/>
                <w:szCs w:val="18"/>
              </w:rPr>
              <w:t>„Службени гласник РСˮ, број 92/11)</w:t>
            </w:r>
          </w:p>
          <w:p w14:paraId="24C168F4" w14:textId="1C0C4D71" w:rsidR="00DD015C" w:rsidRPr="00180E1C" w:rsidRDefault="00180E1C" w:rsidP="00180E1C">
            <w:pPr>
              <w:spacing w:before="120" w:after="120"/>
              <w:jc w:val="both"/>
              <w:rPr>
                <w:rFonts w:ascii="Times New Roman" w:hAnsi="Times New Roman" w:cs="Times New Roman"/>
                <w:bCs/>
                <w:sz w:val="18"/>
                <w:szCs w:val="18"/>
              </w:rPr>
            </w:pPr>
            <w:r w:rsidRPr="00180E1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0E1C">
              <w:rPr>
                <w:rFonts w:ascii="Times New Roman" w:hAnsi="Times New Roman" w:cs="Times New Roman"/>
                <w:sz w:val="18"/>
                <w:szCs w:val="18"/>
              </w:rPr>
              <w:t xml:space="preserve">  3.</w:t>
            </w:r>
            <w:r>
              <w:rPr>
                <w:rFonts w:ascii="Times New Roman" w:hAnsi="Times New Roman" w:cs="Times New Roman"/>
                <w:sz w:val="18"/>
                <w:szCs w:val="18"/>
              </w:rPr>
              <w:t xml:space="preserve"> </w:t>
            </w:r>
            <w:r w:rsidR="00DD015C" w:rsidRPr="00180E1C">
              <w:rPr>
                <w:rFonts w:ascii="Times New Roman" w:hAnsi="Times New Roman" w:cs="Times New Roman"/>
                <w:sz w:val="18"/>
                <w:szCs w:val="18"/>
              </w:rPr>
              <w:t>Закон о стандардизацији (</w:t>
            </w:r>
            <w:r w:rsidR="00DD015C" w:rsidRPr="00180E1C">
              <w:rPr>
                <w:rFonts w:ascii="Times New Roman" w:hAnsi="Times New Roman" w:cs="Times New Roman"/>
                <w:bCs/>
                <w:sz w:val="18"/>
                <w:szCs w:val="18"/>
              </w:rPr>
              <w:t xml:space="preserve"> „Службени гласник РС”, бр. 36/09 и 46/15)</w:t>
            </w:r>
          </w:p>
          <w:p w14:paraId="2AE41AF4" w14:textId="5AA465CA" w:rsidR="00C73A9B" w:rsidRPr="00180E1C" w:rsidRDefault="00180E1C" w:rsidP="00180E1C">
            <w:pPr>
              <w:spacing w:before="120" w:after="120"/>
              <w:jc w:val="both"/>
              <w:rPr>
                <w:rFonts w:ascii="Times New Roman" w:hAnsi="Times New Roman" w:cs="Times New Roman"/>
                <w:bCs/>
                <w:sz w:val="18"/>
                <w:szCs w:val="18"/>
              </w:rPr>
            </w:pPr>
            <w:r w:rsidRPr="00180E1C">
              <w:rPr>
                <w:rFonts w:ascii="Times New Roman" w:hAnsi="Times New Roman" w:cs="Times New Roman"/>
                <w:bCs/>
                <w:sz w:val="18"/>
                <w:szCs w:val="18"/>
              </w:rPr>
              <w:t xml:space="preserve">       4.</w:t>
            </w:r>
            <w:r>
              <w:rPr>
                <w:rFonts w:ascii="Times New Roman" w:hAnsi="Times New Roman" w:cs="Times New Roman"/>
                <w:bCs/>
                <w:sz w:val="18"/>
                <w:szCs w:val="18"/>
              </w:rPr>
              <w:t xml:space="preserve"> </w:t>
            </w:r>
            <w:bookmarkStart w:id="0" w:name="_GoBack"/>
            <w:bookmarkEnd w:id="0"/>
            <w:r w:rsidR="0060335B" w:rsidRPr="00180E1C">
              <w:rPr>
                <w:rFonts w:ascii="Times New Roman" w:hAnsi="Times New Roman" w:cs="Times New Roman"/>
                <w:bCs/>
                <w:sz w:val="18"/>
                <w:szCs w:val="18"/>
              </w:rPr>
              <w:t xml:space="preserve">Уредба о начину именовања и овлашћивања тела за оцењивање усаглашености </w:t>
            </w:r>
            <w:r w:rsidR="0060335B" w:rsidRPr="00180E1C">
              <w:rPr>
                <w:rStyle w:val="hps"/>
                <w:rFonts w:ascii="Times New Roman" w:hAnsi="Times New Roman" w:cs="Times New Roman"/>
                <w:sz w:val="18"/>
                <w:szCs w:val="18"/>
              </w:rPr>
              <w:t>(</w:t>
            </w:r>
            <w:r w:rsidR="0060335B" w:rsidRPr="00180E1C">
              <w:rPr>
                <w:rFonts w:ascii="Times New Roman" w:hAnsi="Times New Roman" w:cs="Times New Roman"/>
                <w:bCs/>
                <w:sz w:val="18"/>
                <w:szCs w:val="18"/>
              </w:rPr>
              <w:t>„Службени гласник РСˮ, број 98/09)</w:t>
            </w:r>
          </w:p>
          <w:p w14:paraId="0BEAD2F8" w14:textId="77777777" w:rsidR="00B04D2F" w:rsidRPr="00487209" w:rsidRDefault="00B04D2F" w:rsidP="006C6323">
            <w:pPr>
              <w:jc w:val="both"/>
              <w:rPr>
                <w:rFonts w:ascii="Times New Roman" w:hAnsi="Times New Roman" w:cs="Times New Roman"/>
                <w:sz w:val="18"/>
                <w:szCs w:val="18"/>
                <w:lang w:val="sr-Cyrl-CS"/>
              </w:rPr>
            </w:pPr>
          </w:p>
        </w:tc>
        <w:tc>
          <w:tcPr>
            <w:tcW w:w="9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C1CC8" w14:textId="77777777" w:rsidR="00B04D2F" w:rsidRPr="00487209" w:rsidRDefault="008D2200" w:rsidP="006C6323">
            <w:pPr>
              <w:rPr>
                <w:rFonts w:ascii="Times New Roman" w:hAnsi="Times New Roman" w:cs="Times New Roman"/>
                <w:iCs/>
                <w:sz w:val="18"/>
                <w:szCs w:val="18"/>
                <w:lang w:val="ru-RU"/>
              </w:rPr>
            </w:pPr>
            <w:r w:rsidRPr="00487209">
              <w:rPr>
                <w:rFonts w:ascii="Times New Roman" w:hAnsi="Times New Roman" w:cs="Times New Roman"/>
                <w:iCs/>
                <w:sz w:val="18"/>
                <w:szCs w:val="18"/>
                <w:lang w:val="ru-RU"/>
              </w:rPr>
              <w:t>2016-555</w:t>
            </w:r>
          </w:p>
        </w:tc>
      </w:tr>
      <w:tr w:rsidR="006C6323" w:rsidRPr="00487209" w14:paraId="64DCF440" w14:textId="77777777" w:rsidTr="006C6323">
        <w:trPr>
          <w:jc w:val="center"/>
        </w:trPr>
        <w:tc>
          <w:tcPr>
            <w:tcW w:w="5000" w:type="pct"/>
            <w:gridSpan w:val="10"/>
            <w:shd w:val="clear" w:color="auto" w:fill="auto"/>
          </w:tcPr>
          <w:p w14:paraId="6888D840" w14:textId="77777777" w:rsidR="00B04D2F" w:rsidRPr="00487209" w:rsidRDefault="00B04D2F" w:rsidP="006C6323">
            <w:pPr>
              <w:spacing w:before="120" w:after="120"/>
              <w:jc w:val="both"/>
              <w:rPr>
                <w:rFonts w:ascii="Times New Roman" w:hAnsi="Times New Roman" w:cs="Times New Roman"/>
                <w:sz w:val="18"/>
                <w:szCs w:val="18"/>
                <w:lang w:val="sr-Cyrl-CS"/>
              </w:rPr>
            </w:pPr>
            <w:r w:rsidRPr="00487209">
              <w:rPr>
                <w:rFonts w:ascii="Times New Roman" w:hAnsi="Times New Roman" w:cs="Times New Roman"/>
                <w:b/>
                <w:sz w:val="18"/>
                <w:szCs w:val="18"/>
                <w:lang w:val="sr-Cyrl-CS"/>
              </w:rPr>
              <w:t>7.</w:t>
            </w:r>
            <w:r w:rsidRPr="00487209">
              <w:rPr>
                <w:rFonts w:ascii="Times New Roman" w:hAnsi="Times New Roman" w:cs="Times New Roman"/>
                <w:sz w:val="18"/>
                <w:szCs w:val="18"/>
                <w:lang w:val="sr-Cyrl-CS"/>
              </w:rPr>
              <w:t xml:space="preserve"> Усклађеност одредби прописа са одредбама прописа ЕУ:</w:t>
            </w:r>
          </w:p>
        </w:tc>
      </w:tr>
      <w:tr w:rsidR="00337554" w:rsidRPr="00487209" w14:paraId="664D0C41" w14:textId="77777777" w:rsidTr="007D5144">
        <w:trPr>
          <w:trHeight w:val="652"/>
          <w:jc w:val="center"/>
        </w:trPr>
        <w:tc>
          <w:tcPr>
            <w:tcW w:w="435" w:type="pct"/>
            <w:shd w:val="clear" w:color="auto" w:fill="auto"/>
            <w:vAlign w:val="center"/>
          </w:tcPr>
          <w:p w14:paraId="0B9335C3" w14:textId="77777777" w:rsidR="00B04D2F" w:rsidRPr="00487209" w:rsidRDefault="00B04D2F" w:rsidP="006C6323">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а)</w:t>
            </w:r>
          </w:p>
        </w:tc>
        <w:tc>
          <w:tcPr>
            <w:tcW w:w="1369" w:type="pct"/>
            <w:gridSpan w:val="2"/>
            <w:shd w:val="clear" w:color="auto" w:fill="auto"/>
            <w:vAlign w:val="center"/>
          </w:tcPr>
          <w:p w14:paraId="29822CA5" w14:textId="77777777" w:rsidR="00B04D2F" w:rsidRPr="00487209" w:rsidRDefault="00B04D2F" w:rsidP="006C6323">
            <w:pPr>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а1)</w:t>
            </w:r>
          </w:p>
        </w:tc>
        <w:tc>
          <w:tcPr>
            <w:tcW w:w="429" w:type="pct"/>
            <w:shd w:val="clear" w:color="auto" w:fill="auto"/>
            <w:vAlign w:val="center"/>
          </w:tcPr>
          <w:p w14:paraId="01F76F44" w14:textId="77777777" w:rsidR="00B04D2F" w:rsidRPr="00487209" w:rsidRDefault="00B04D2F" w:rsidP="006C6323">
            <w:pPr>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б)</w:t>
            </w:r>
          </w:p>
        </w:tc>
        <w:tc>
          <w:tcPr>
            <w:tcW w:w="1231" w:type="pct"/>
            <w:gridSpan w:val="2"/>
            <w:shd w:val="clear" w:color="auto" w:fill="auto"/>
            <w:vAlign w:val="center"/>
          </w:tcPr>
          <w:p w14:paraId="0C743576" w14:textId="77777777" w:rsidR="00B04D2F" w:rsidRPr="00487209" w:rsidRDefault="00B04D2F" w:rsidP="006C6323">
            <w:pPr>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б1)</w:t>
            </w:r>
          </w:p>
        </w:tc>
        <w:tc>
          <w:tcPr>
            <w:tcW w:w="458" w:type="pct"/>
            <w:shd w:val="clear" w:color="auto" w:fill="auto"/>
            <w:vAlign w:val="center"/>
          </w:tcPr>
          <w:p w14:paraId="6133945C" w14:textId="77777777" w:rsidR="00B04D2F" w:rsidRPr="00487209" w:rsidRDefault="00B04D2F" w:rsidP="006C6323">
            <w:pPr>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в)</w:t>
            </w:r>
          </w:p>
        </w:tc>
        <w:tc>
          <w:tcPr>
            <w:tcW w:w="598" w:type="pct"/>
            <w:gridSpan w:val="2"/>
            <w:shd w:val="clear" w:color="auto" w:fill="auto"/>
            <w:vAlign w:val="center"/>
          </w:tcPr>
          <w:p w14:paraId="12CF6981" w14:textId="77777777" w:rsidR="00B04D2F" w:rsidRPr="00487209" w:rsidRDefault="00B04D2F" w:rsidP="006C6323">
            <w:pPr>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г)</w:t>
            </w:r>
          </w:p>
        </w:tc>
        <w:tc>
          <w:tcPr>
            <w:tcW w:w="480" w:type="pct"/>
            <w:shd w:val="clear" w:color="auto" w:fill="auto"/>
            <w:vAlign w:val="center"/>
          </w:tcPr>
          <w:p w14:paraId="3A0F271F" w14:textId="77777777" w:rsidR="00B04D2F" w:rsidRPr="00487209" w:rsidRDefault="00B04D2F" w:rsidP="006C6323">
            <w:pPr>
              <w:jc w:val="center"/>
              <w:rPr>
                <w:rFonts w:ascii="Times New Roman" w:hAnsi="Times New Roman" w:cs="Times New Roman"/>
                <w:sz w:val="18"/>
                <w:szCs w:val="18"/>
                <w:lang w:val="sr-Cyrl-CS"/>
              </w:rPr>
            </w:pPr>
          </w:p>
          <w:p w14:paraId="725C9F02" w14:textId="77777777" w:rsidR="00B04D2F" w:rsidRPr="00487209" w:rsidRDefault="00B04D2F" w:rsidP="006C6323">
            <w:pPr>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w:t>
            </w:r>
          </w:p>
        </w:tc>
      </w:tr>
      <w:tr w:rsidR="00337554" w:rsidRPr="00487209" w14:paraId="7CAEF694" w14:textId="77777777" w:rsidTr="007D5144">
        <w:trPr>
          <w:trHeight w:val="1970"/>
          <w:jc w:val="center"/>
        </w:trPr>
        <w:tc>
          <w:tcPr>
            <w:tcW w:w="435" w:type="pct"/>
            <w:shd w:val="clear" w:color="auto" w:fill="auto"/>
            <w:vAlign w:val="center"/>
          </w:tcPr>
          <w:p w14:paraId="34DC159F" w14:textId="77777777" w:rsidR="00B04D2F" w:rsidRPr="00487209" w:rsidRDefault="00B04D2F" w:rsidP="006C6323">
            <w:pPr>
              <w:spacing w:before="120" w:after="120"/>
              <w:jc w:val="center"/>
              <w:rPr>
                <w:rFonts w:ascii="Times New Roman" w:hAnsi="Times New Roman" w:cs="Times New Roman"/>
                <w:sz w:val="18"/>
                <w:szCs w:val="18"/>
                <w:lang w:val="fr-FR"/>
              </w:rPr>
            </w:pPr>
            <w:r w:rsidRPr="00487209">
              <w:rPr>
                <w:rFonts w:ascii="Times New Roman" w:hAnsi="Times New Roman" w:cs="Times New Roman"/>
                <w:sz w:val="18"/>
                <w:szCs w:val="18"/>
                <w:lang w:val="ru-RU"/>
              </w:rPr>
              <w:lastRenderedPageBreak/>
              <w:t xml:space="preserve">Одредба прописа ЕУ </w:t>
            </w:r>
          </w:p>
          <w:p w14:paraId="7A363FD6" w14:textId="77777777" w:rsidR="00B04D2F" w:rsidRPr="00487209" w:rsidRDefault="00B04D2F" w:rsidP="006C6323">
            <w:pPr>
              <w:spacing w:before="120" w:after="120"/>
              <w:ind w:firstLine="5"/>
              <w:jc w:val="center"/>
              <w:rPr>
                <w:rFonts w:ascii="Times New Roman" w:hAnsi="Times New Roman" w:cs="Times New Roman"/>
                <w:sz w:val="18"/>
                <w:szCs w:val="18"/>
                <w:lang w:val="fr-FR"/>
              </w:rPr>
            </w:pPr>
          </w:p>
        </w:tc>
        <w:tc>
          <w:tcPr>
            <w:tcW w:w="1369" w:type="pct"/>
            <w:gridSpan w:val="2"/>
            <w:shd w:val="clear" w:color="auto" w:fill="auto"/>
            <w:vAlign w:val="center"/>
          </w:tcPr>
          <w:p w14:paraId="0E3BF519" w14:textId="77777777" w:rsidR="00B04D2F" w:rsidRPr="00487209" w:rsidRDefault="00B04D2F" w:rsidP="006C6323">
            <w:pPr>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Садржина </w:t>
            </w:r>
            <w:r w:rsidRPr="00487209">
              <w:rPr>
                <w:rFonts w:ascii="Times New Roman" w:hAnsi="Times New Roman" w:cs="Times New Roman"/>
                <w:sz w:val="18"/>
                <w:szCs w:val="18"/>
                <w:lang w:val="hr-HR"/>
              </w:rPr>
              <w:t>одредбе</w:t>
            </w:r>
            <w:r w:rsidRPr="00487209" w:rsidDel="00C32699">
              <w:rPr>
                <w:rFonts w:ascii="Times New Roman" w:hAnsi="Times New Roman" w:cs="Times New Roman"/>
                <w:sz w:val="18"/>
                <w:szCs w:val="18"/>
                <w:lang w:val="sr-Cyrl-CS"/>
              </w:rPr>
              <w:t xml:space="preserve"> </w:t>
            </w:r>
          </w:p>
        </w:tc>
        <w:tc>
          <w:tcPr>
            <w:tcW w:w="429" w:type="pct"/>
            <w:shd w:val="clear" w:color="auto" w:fill="auto"/>
            <w:vAlign w:val="center"/>
          </w:tcPr>
          <w:p w14:paraId="2D367967" w14:textId="77777777" w:rsidR="00B04D2F" w:rsidRPr="00487209" w:rsidRDefault="00B04D2F" w:rsidP="006C6323">
            <w:pPr>
              <w:spacing w:before="120" w:after="120"/>
              <w:ind w:firstLine="5"/>
              <w:rPr>
                <w:rFonts w:ascii="Times New Roman" w:hAnsi="Times New Roman" w:cs="Times New Roman"/>
                <w:sz w:val="18"/>
                <w:szCs w:val="18"/>
                <w:lang w:val="ru-RU"/>
              </w:rPr>
            </w:pPr>
            <w:r w:rsidRPr="00487209">
              <w:rPr>
                <w:rFonts w:ascii="Times New Roman" w:hAnsi="Times New Roman" w:cs="Times New Roman"/>
                <w:sz w:val="18"/>
                <w:szCs w:val="18"/>
                <w:lang w:val="ru-RU"/>
              </w:rPr>
              <w:t>Одредбе прописа</w:t>
            </w:r>
            <w:r w:rsidR="00812EC4" w:rsidRPr="00487209">
              <w:rPr>
                <w:rFonts w:ascii="Times New Roman" w:hAnsi="Times New Roman" w:cs="Times New Roman"/>
                <w:sz w:val="18"/>
                <w:szCs w:val="18"/>
                <w:lang w:val="ru-RU"/>
              </w:rPr>
              <w:t xml:space="preserve"> Р</w:t>
            </w:r>
            <w:r w:rsidR="00881077" w:rsidRPr="00487209">
              <w:rPr>
                <w:rFonts w:ascii="Times New Roman" w:hAnsi="Times New Roman" w:cs="Times New Roman"/>
                <w:sz w:val="18"/>
                <w:szCs w:val="18"/>
                <w:lang w:val="ru-RU"/>
              </w:rPr>
              <w:t xml:space="preserve">епублике </w:t>
            </w:r>
            <w:r w:rsidR="00812EC4" w:rsidRPr="00487209">
              <w:rPr>
                <w:rFonts w:ascii="Times New Roman" w:hAnsi="Times New Roman" w:cs="Times New Roman"/>
                <w:sz w:val="18"/>
                <w:szCs w:val="18"/>
                <w:lang w:val="ru-RU"/>
              </w:rPr>
              <w:t>С</w:t>
            </w:r>
            <w:r w:rsidR="00881077" w:rsidRPr="00487209">
              <w:rPr>
                <w:rFonts w:ascii="Times New Roman" w:hAnsi="Times New Roman" w:cs="Times New Roman"/>
                <w:sz w:val="18"/>
                <w:szCs w:val="18"/>
                <w:lang w:val="ru-RU"/>
              </w:rPr>
              <w:t>рбије</w:t>
            </w:r>
          </w:p>
          <w:p w14:paraId="1DDC3C89" w14:textId="77777777" w:rsidR="00B04D2F" w:rsidRPr="00487209" w:rsidRDefault="00B04D2F" w:rsidP="006C6323">
            <w:pPr>
              <w:rPr>
                <w:rFonts w:ascii="Times New Roman" w:hAnsi="Times New Roman" w:cs="Times New Roman"/>
                <w:sz w:val="18"/>
                <w:szCs w:val="18"/>
              </w:rPr>
            </w:pPr>
          </w:p>
        </w:tc>
        <w:tc>
          <w:tcPr>
            <w:tcW w:w="1231" w:type="pct"/>
            <w:gridSpan w:val="2"/>
            <w:shd w:val="clear" w:color="auto" w:fill="auto"/>
            <w:vAlign w:val="center"/>
          </w:tcPr>
          <w:p w14:paraId="250B1EA0" w14:textId="77777777" w:rsidR="00B04D2F" w:rsidRPr="00487209" w:rsidRDefault="00B04D2F"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 xml:space="preserve">Садржина </w:t>
            </w:r>
            <w:r w:rsidRPr="00487209">
              <w:rPr>
                <w:rFonts w:ascii="Times New Roman" w:hAnsi="Times New Roman" w:cs="Times New Roman"/>
                <w:sz w:val="18"/>
                <w:szCs w:val="18"/>
                <w:lang w:val="hr-HR"/>
              </w:rPr>
              <w:t>одредбе</w:t>
            </w:r>
            <w:r w:rsidRPr="00487209" w:rsidDel="00C32699">
              <w:rPr>
                <w:rFonts w:ascii="Times New Roman" w:hAnsi="Times New Roman" w:cs="Times New Roman"/>
                <w:sz w:val="18"/>
                <w:szCs w:val="18"/>
              </w:rPr>
              <w:t xml:space="preserve"> </w:t>
            </w:r>
          </w:p>
        </w:tc>
        <w:tc>
          <w:tcPr>
            <w:tcW w:w="458" w:type="pct"/>
            <w:shd w:val="clear" w:color="auto" w:fill="auto"/>
            <w:vAlign w:val="center"/>
          </w:tcPr>
          <w:p w14:paraId="36A2A536" w14:textId="77777777" w:rsidR="00B04D2F" w:rsidRPr="00487209" w:rsidRDefault="00B04D2F" w:rsidP="006C6323">
            <w:pPr>
              <w:spacing w:before="120" w:after="120"/>
              <w:rPr>
                <w:rFonts w:ascii="Times New Roman" w:hAnsi="Times New Roman" w:cs="Times New Roman"/>
                <w:sz w:val="18"/>
                <w:szCs w:val="18"/>
              </w:rPr>
            </w:pPr>
            <w:r w:rsidRPr="00487209">
              <w:rPr>
                <w:rFonts w:ascii="Times New Roman" w:hAnsi="Times New Roman" w:cs="Times New Roman"/>
                <w:sz w:val="18"/>
                <w:szCs w:val="18"/>
              </w:rPr>
              <w:t xml:space="preserve">      </w:t>
            </w:r>
          </w:p>
          <w:p w14:paraId="18A8CE3A" w14:textId="77777777" w:rsidR="00B04D2F" w:rsidRPr="00487209" w:rsidRDefault="00B04D2F"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ru-RU"/>
              </w:rPr>
              <w:t>Усклађенос</w:t>
            </w:r>
            <w:r w:rsidR="00812EC4" w:rsidRPr="00487209">
              <w:rPr>
                <w:rFonts w:ascii="Times New Roman" w:hAnsi="Times New Roman" w:cs="Times New Roman"/>
                <w:sz w:val="18"/>
                <w:szCs w:val="18"/>
                <w:lang w:val="ru-RU"/>
              </w:rPr>
              <w:t>т</w:t>
            </w:r>
            <w:r w:rsidRPr="00487209">
              <w:rPr>
                <w:rFonts w:ascii="Times New Roman" w:hAnsi="Times New Roman" w:cs="Times New Roman"/>
                <w:sz w:val="18"/>
                <w:szCs w:val="18"/>
              </w:rPr>
              <w:t xml:space="preserve"> </w:t>
            </w:r>
          </w:p>
          <w:p w14:paraId="1EFC5719" w14:textId="77777777" w:rsidR="00B04D2F" w:rsidRPr="00487209" w:rsidRDefault="00881077"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(Потпуно усклађено</w:t>
            </w:r>
            <w:r w:rsidRPr="00487209">
              <w:rPr>
                <w:rFonts w:ascii="Times New Roman" w:hAnsi="Times New Roman" w:cs="Times New Roman"/>
                <w:sz w:val="18"/>
                <w:szCs w:val="18"/>
                <w:lang w:val="sr-Latn-CS"/>
              </w:rPr>
              <w:t xml:space="preserve"> - </w:t>
            </w:r>
            <w:r w:rsidRPr="00487209">
              <w:rPr>
                <w:rFonts w:ascii="Times New Roman" w:hAnsi="Times New Roman" w:cs="Times New Roman"/>
                <w:sz w:val="18"/>
                <w:szCs w:val="18"/>
                <w:lang w:val="sr-Cyrl-CS"/>
              </w:rPr>
              <w:t>ПУ, делимично усклађено - ДУ, неусклађено - НУ, непреносиво – НП)</w:t>
            </w:r>
          </w:p>
        </w:tc>
        <w:tc>
          <w:tcPr>
            <w:tcW w:w="598" w:type="pct"/>
            <w:gridSpan w:val="2"/>
            <w:shd w:val="clear" w:color="auto" w:fill="auto"/>
            <w:vAlign w:val="center"/>
          </w:tcPr>
          <w:p w14:paraId="51A60D42" w14:textId="77777777" w:rsidR="00B04D2F" w:rsidRPr="00487209" w:rsidRDefault="00B04D2F" w:rsidP="006C6323">
            <w:pPr>
              <w:spacing w:before="120" w:after="120"/>
              <w:ind w:firstLine="21"/>
              <w:jc w:val="center"/>
              <w:rPr>
                <w:rFonts w:ascii="Times New Roman" w:hAnsi="Times New Roman" w:cs="Times New Roman"/>
                <w:sz w:val="18"/>
                <w:szCs w:val="18"/>
              </w:rPr>
            </w:pPr>
            <w:r w:rsidRPr="00487209">
              <w:rPr>
                <w:rFonts w:ascii="Times New Roman" w:hAnsi="Times New Roman" w:cs="Times New Roman"/>
                <w:sz w:val="18"/>
                <w:szCs w:val="18"/>
                <w:lang w:val="ru-RU"/>
              </w:rPr>
              <w:t>Разлози за д</w:t>
            </w:r>
            <w:r w:rsidRPr="00487209">
              <w:rPr>
                <w:rFonts w:ascii="Times New Roman" w:hAnsi="Times New Roman" w:cs="Times New Roman"/>
                <w:sz w:val="18"/>
                <w:szCs w:val="18"/>
                <w:lang w:val="sr-Cyrl-CS"/>
              </w:rPr>
              <w:t xml:space="preserve">елимичну </w:t>
            </w:r>
            <w:r w:rsidRPr="00487209">
              <w:rPr>
                <w:rFonts w:ascii="Times New Roman" w:hAnsi="Times New Roman" w:cs="Times New Roman"/>
                <w:sz w:val="18"/>
                <w:szCs w:val="18"/>
                <w:lang w:val="ru-RU"/>
              </w:rPr>
              <w:t>усклађеност, неусклађеност или непреносивост</w:t>
            </w:r>
            <w:r w:rsidRPr="00487209" w:rsidDel="00C32699">
              <w:rPr>
                <w:rFonts w:ascii="Times New Roman" w:hAnsi="Times New Roman" w:cs="Times New Roman"/>
                <w:sz w:val="18"/>
                <w:szCs w:val="18"/>
              </w:rPr>
              <w:t xml:space="preserve"> </w:t>
            </w:r>
          </w:p>
        </w:tc>
        <w:tc>
          <w:tcPr>
            <w:tcW w:w="480" w:type="pct"/>
            <w:shd w:val="clear" w:color="auto" w:fill="auto"/>
            <w:vAlign w:val="center"/>
          </w:tcPr>
          <w:p w14:paraId="6A577923" w14:textId="77777777" w:rsidR="00B04D2F" w:rsidRPr="00487209" w:rsidRDefault="00B04D2F" w:rsidP="006C6323">
            <w:pPr>
              <w:spacing w:before="120" w:after="120"/>
              <w:jc w:val="center"/>
              <w:rPr>
                <w:rFonts w:ascii="Times New Roman" w:hAnsi="Times New Roman" w:cs="Times New Roman"/>
                <w:sz w:val="18"/>
                <w:szCs w:val="18"/>
              </w:rPr>
            </w:pPr>
          </w:p>
          <w:p w14:paraId="38CF1D97" w14:textId="77777777" w:rsidR="00B04D2F" w:rsidRPr="00487209" w:rsidRDefault="00B04D2F"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 xml:space="preserve">Напомена о усклађености </w:t>
            </w:r>
          </w:p>
        </w:tc>
      </w:tr>
      <w:tr w:rsidR="00337554" w:rsidRPr="00487209" w14:paraId="7FF5EC53" w14:textId="77777777" w:rsidTr="007D5144">
        <w:trPr>
          <w:trHeight w:val="6913"/>
          <w:jc w:val="center"/>
        </w:trPr>
        <w:tc>
          <w:tcPr>
            <w:tcW w:w="435" w:type="pct"/>
            <w:shd w:val="clear" w:color="auto" w:fill="auto"/>
            <w:vAlign w:val="center"/>
          </w:tcPr>
          <w:p w14:paraId="5F368BF7" w14:textId="77777777" w:rsidR="00093614"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1.</w:t>
            </w:r>
          </w:p>
        </w:tc>
        <w:tc>
          <w:tcPr>
            <w:tcW w:w="1369" w:type="pct"/>
            <w:gridSpan w:val="2"/>
            <w:shd w:val="clear" w:color="auto" w:fill="auto"/>
            <w:vAlign w:val="center"/>
          </w:tcPr>
          <w:p w14:paraId="4AA47AD7" w14:textId="77777777" w:rsidR="00093614" w:rsidRPr="00487209" w:rsidRDefault="00EE4D88"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This Regulation lays down conditions for the placing or making available on the market of construction products by establishing harmonised rules on how to express the performance of construction products in relation to their essential characteristics and on the use of CE marking on those products.</w:t>
            </w:r>
          </w:p>
        </w:tc>
        <w:tc>
          <w:tcPr>
            <w:tcW w:w="429" w:type="pct"/>
            <w:shd w:val="clear" w:color="auto" w:fill="auto"/>
            <w:vAlign w:val="center"/>
          </w:tcPr>
          <w:p w14:paraId="23096A77"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3B462156" w14:textId="77777777" w:rsidR="00093614" w:rsidRPr="00487209" w:rsidRDefault="002F19C7"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w:t>
            </w:r>
          </w:p>
          <w:p w14:paraId="0C79AC5F" w14:textId="77777777" w:rsidR="00EC7E34" w:rsidRPr="00487209" w:rsidRDefault="00EC7E34" w:rsidP="006C6323">
            <w:pPr>
              <w:spacing w:before="120" w:after="120"/>
              <w:jc w:val="center"/>
              <w:rPr>
                <w:rFonts w:ascii="Times New Roman" w:hAnsi="Times New Roman" w:cs="Times New Roman"/>
                <w:sz w:val="18"/>
                <w:szCs w:val="18"/>
              </w:rPr>
            </w:pPr>
          </w:p>
          <w:p w14:paraId="32D680F8" w14:textId="77777777" w:rsidR="00EC7E34" w:rsidRPr="00487209" w:rsidRDefault="00EC7E34" w:rsidP="006C6323">
            <w:pPr>
              <w:spacing w:before="120" w:after="120"/>
              <w:jc w:val="center"/>
              <w:rPr>
                <w:rFonts w:ascii="Times New Roman" w:hAnsi="Times New Roman" w:cs="Times New Roman"/>
                <w:sz w:val="18"/>
                <w:szCs w:val="18"/>
              </w:rPr>
            </w:pPr>
          </w:p>
          <w:p w14:paraId="2DAFF0E8" w14:textId="293D99A1" w:rsidR="00EC7E34" w:rsidRPr="00487209" w:rsidRDefault="00EC7E34" w:rsidP="006C6323">
            <w:pPr>
              <w:spacing w:before="120" w:after="120"/>
              <w:jc w:val="center"/>
              <w:rPr>
                <w:rFonts w:ascii="Times New Roman" w:hAnsi="Times New Roman" w:cs="Times New Roman"/>
                <w:sz w:val="18"/>
                <w:szCs w:val="18"/>
                <w:lang w:val="sr-Cyrl-CS"/>
              </w:rPr>
            </w:pPr>
          </w:p>
        </w:tc>
        <w:tc>
          <w:tcPr>
            <w:tcW w:w="1231" w:type="pct"/>
            <w:gridSpan w:val="2"/>
            <w:shd w:val="clear" w:color="auto" w:fill="auto"/>
            <w:vAlign w:val="center"/>
          </w:tcPr>
          <w:p w14:paraId="22B98D24" w14:textId="77777777" w:rsidR="00F91294" w:rsidRPr="004C5EBD" w:rsidRDefault="00F91294" w:rsidP="00F91294">
            <w:pPr>
              <w:shd w:val="clear" w:color="auto" w:fill="FFFFFF"/>
              <w:tabs>
                <w:tab w:val="left" w:pos="708"/>
              </w:tabs>
              <w:spacing w:before="240"/>
              <w:ind w:right="-23"/>
              <w:rPr>
                <w:rFonts w:ascii="Times New Roman" w:eastAsia="Batang" w:hAnsi="Times New Roman" w:cs="Times New Roman"/>
                <w:sz w:val="18"/>
                <w:szCs w:val="24"/>
                <w:lang w:eastAsia="ko-KR"/>
              </w:rPr>
            </w:pPr>
            <w:r w:rsidRPr="004C5EBD">
              <w:rPr>
                <w:rFonts w:ascii="Times New Roman" w:eastAsia="Batang" w:hAnsi="Times New Roman" w:cs="Times New Roman"/>
                <w:sz w:val="18"/>
                <w:szCs w:val="24"/>
                <w:lang w:eastAsia="ko-KR"/>
              </w:rPr>
              <w:t xml:space="preserve">Овим законом уређују се </w:t>
            </w:r>
            <w:r w:rsidRPr="004C5EBD">
              <w:rPr>
                <w:rFonts w:ascii="Times New Roman" w:hAnsi="Times New Roman" w:cs="Times New Roman"/>
                <w:sz w:val="18"/>
                <w:szCs w:val="24"/>
              </w:rPr>
              <w:t>услови за стављање на тржиште и чињење доступним на тржишту грађевинских производа, сачињавање декларације о перформансама и стављање знака усаглашености на грађевинске производе</w:t>
            </w:r>
            <w:r w:rsidRPr="004C5EBD">
              <w:rPr>
                <w:rFonts w:ascii="Times New Roman" w:eastAsia="Batang" w:hAnsi="Times New Roman" w:cs="Times New Roman"/>
                <w:sz w:val="18"/>
                <w:szCs w:val="24"/>
                <w:lang w:eastAsia="ko-KR"/>
              </w:rPr>
              <w:t xml:space="preserve">, обавезе привредних субјеката, технички прописи за грађевинске производе и српске техничке спецификације, поједностављени поступци, тела за техничко оцењивање, тела за оцењивање и верификацију сталности перформанси грађевинских производа, </w:t>
            </w:r>
            <w:r w:rsidRPr="004C5EBD">
              <w:rPr>
                <w:rFonts w:ascii="Times New Roman" w:hAnsi="Times New Roman" w:cs="Times New Roman"/>
                <w:sz w:val="18"/>
                <w:szCs w:val="24"/>
                <w:lang w:val="sr-Latn-BA" w:eastAsia="sr-Cyrl-CS"/>
              </w:rPr>
              <w:t>важење</w:t>
            </w:r>
            <w:r w:rsidRPr="004C5EBD">
              <w:rPr>
                <w:rFonts w:ascii="Times New Roman" w:hAnsi="Times New Roman" w:cs="Times New Roman"/>
                <w:sz w:val="18"/>
                <w:szCs w:val="24"/>
                <w:lang w:eastAsia="sr-Cyrl-CS"/>
              </w:rPr>
              <w:t xml:space="preserve"> докумената о спроведеном оцењивању и верификацији сталности перформанси грађевинских производа и знакова усаглашености издатих у иностранству </w:t>
            </w:r>
            <w:r w:rsidRPr="004C5EBD">
              <w:rPr>
                <w:rFonts w:ascii="Times New Roman" w:eastAsia="Batang" w:hAnsi="Times New Roman" w:cs="Times New Roman"/>
                <w:sz w:val="18"/>
                <w:szCs w:val="24"/>
                <w:lang w:eastAsia="ko-KR"/>
              </w:rPr>
              <w:t xml:space="preserve">и друга питања од значаја за област грађевинских производа.  </w:t>
            </w:r>
          </w:p>
          <w:p w14:paraId="37FAE808" w14:textId="2BF71576" w:rsidR="00093614" w:rsidRPr="00487209" w:rsidRDefault="00093614" w:rsidP="003773CF">
            <w:pPr>
              <w:shd w:val="clear" w:color="auto" w:fill="FFFFFF"/>
              <w:tabs>
                <w:tab w:val="left" w:pos="708"/>
                <w:tab w:val="left" w:pos="1080"/>
              </w:tabs>
              <w:spacing w:before="120"/>
              <w:ind w:right="-23"/>
              <w:jc w:val="both"/>
              <w:rPr>
                <w:rFonts w:ascii="Times New Roman" w:eastAsia="Batang" w:hAnsi="Times New Roman" w:cs="Times New Roman"/>
                <w:sz w:val="18"/>
                <w:szCs w:val="18"/>
                <w:lang w:val="sr-Cyrl-CS" w:eastAsia="ko-KR"/>
              </w:rPr>
            </w:pPr>
          </w:p>
        </w:tc>
        <w:tc>
          <w:tcPr>
            <w:tcW w:w="458" w:type="pct"/>
            <w:shd w:val="clear" w:color="auto" w:fill="auto"/>
            <w:vAlign w:val="center"/>
          </w:tcPr>
          <w:p w14:paraId="2FA44F34" w14:textId="77777777" w:rsidR="00093614" w:rsidRPr="00487209" w:rsidRDefault="00BB28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Д</w:t>
            </w:r>
            <w:r w:rsidR="005F10CC" w:rsidRPr="00487209">
              <w:rPr>
                <w:rFonts w:ascii="Times New Roman" w:hAnsi="Times New Roman" w:cs="Times New Roman"/>
                <w:sz w:val="18"/>
                <w:szCs w:val="18"/>
              </w:rPr>
              <w:t>У</w:t>
            </w:r>
          </w:p>
        </w:tc>
        <w:tc>
          <w:tcPr>
            <w:tcW w:w="598" w:type="pct"/>
            <w:gridSpan w:val="2"/>
            <w:shd w:val="clear" w:color="auto" w:fill="auto"/>
            <w:vAlign w:val="center"/>
          </w:tcPr>
          <w:p w14:paraId="4D7F3EA1" w14:textId="6A424C33" w:rsidR="00093614" w:rsidRPr="00487209" w:rsidRDefault="00C17FC1" w:rsidP="00C860A5">
            <w:pPr>
              <w:pStyle w:val="Propisi"/>
              <w:spacing w:before="240" w:after="0" w:line="240" w:lineRule="auto"/>
              <w:ind w:left="-5" w:right="-23"/>
              <w:jc w:val="left"/>
              <w:outlineLvl w:val="3"/>
              <w:rPr>
                <w:sz w:val="18"/>
                <w:szCs w:val="18"/>
                <w:lang w:val="sr-Cyrl-CS"/>
              </w:rPr>
            </w:pPr>
            <w:r w:rsidRPr="00487209">
              <w:rPr>
                <w:sz w:val="18"/>
                <w:szCs w:val="18"/>
                <w:lang w:val="sr-Cyrl-CS"/>
              </w:rPr>
              <w:t xml:space="preserve">Члан </w:t>
            </w:r>
            <w:r w:rsidRPr="00487209">
              <w:rPr>
                <w:sz w:val="18"/>
                <w:szCs w:val="18"/>
                <w:lang w:val="ru-RU"/>
              </w:rPr>
              <w:t>1.</w:t>
            </w:r>
            <w:r w:rsidRPr="00487209">
              <w:rPr>
                <w:sz w:val="18"/>
                <w:szCs w:val="18"/>
                <w:lang w:val="sr-Cyrl-CS"/>
              </w:rPr>
              <w:t xml:space="preserve"> </w:t>
            </w:r>
            <w:r w:rsidR="00BB28C1" w:rsidRPr="00487209">
              <w:rPr>
                <w:sz w:val="18"/>
                <w:szCs w:val="18"/>
                <w:lang w:val="sr-Cyrl-CS"/>
              </w:rPr>
              <w:t xml:space="preserve">Уредбе 305/2011 (ЕУ) </w:t>
            </w:r>
            <w:r w:rsidRPr="00487209">
              <w:rPr>
                <w:sz w:val="18"/>
                <w:szCs w:val="18"/>
                <w:lang w:val="sr-Cyrl-CS"/>
              </w:rPr>
              <w:t xml:space="preserve">је </w:t>
            </w:r>
            <w:r w:rsidR="00BB28C1" w:rsidRPr="00487209">
              <w:rPr>
                <w:sz w:val="18"/>
                <w:szCs w:val="18"/>
                <w:lang w:val="sr-Cyrl-CS"/>
              </w:rPr>
              <w:t xml:space="preserve">делимично </w:t>
            </w:r>
            <w:r w:rsidR="00330310">
              <w:rPr>
                <w:sz w:val="18"/>
                <w:szCs w:val="18"/>
                <w:lang w:val="sr-Cyrl-CS"/>
              </w:rPr>
              <w:t>усклађен са чланом</w:t>
            </w:r>
            <w:r w:rsidR="000244FC" w:rsidRPr="00487209">
              <w:rPr>
                <w:sz w:val="18"/>
                <w:szCs w:val="18"/>
                <w:lang w:val="sr-Cyrl-CS"/>
              </w:rPr>
              <w:t xml:space="preserve"> 1</w:t>
            </w:r>
            <w:r w:rsidR="00A008D9" w:rsidRPr="00487209">
              <w:rPr>
                <w:sz w:val="18"/>
                <w:szCs w:val="18"/>
                <w:lang w:val="sr-Cyrl-CS"/>
              </w:rPr>
              <w:t>.</w:t>
            </w:r>
            <w:r w:rsidR="000244FC" w:rsidRPr="00487209">
              <w:rPr>
                <w:sz w:val="18"/>
                <w:szCs w:val="18"/>
                <w:lang w:val="sr-Cyrl-CS"/>
              </w:rPr>
              <w:t xml:space="preserve"> </w:t>
            </w:r>
            <w:r w:rsidR="0073105A">
              <w:rPr>
                <w:sz w:val="18"/>
                <w:szCs w:val="18"/>
                <w:lang w:val="sr-Cyrl-CS"/>
              </w:rPr>
              <w:t>Предлог</w:t>
            </w:r>
            <w:r w:rsidR="00F421F0" w:rsidRPr="00487209">
              <w:rPr>
                <w:sz w:val="18"/>
                <w:szCs w:val="18"/>
                <w:lang w:val="sr-Cyrl-CS"/>
              </w:rPr>
              <w:t>а закона о грађевинским производима</w:t>
            </w:r>
            <w:r w:rsidR="0054032E" w:rsidRPr="00487209">
              <w:rPr>
                <w:sz w:val="18"/>
                <w:szCs w:val="18"/>
                <w:lang w:val="sr-Cyrl-CS"/>
              </w:rPr>
              <w:t xml:space="preserve"> због статуса нечланице</w:t>
            </w:r>
            <w:r w:rsidR="00471AE2" w:rsidRPr="00487209">
              <w:rPr>
                <w:sz w:val="18"/>
                <w:szCs w:val="18"/>
                <w:lang w:val="sr-Cyrl-CS"/>
              </w:rPr>
              <w:t xml:space="preserve"> (стављање знака СЕ)</w:t>
            </w:r>
            <w:r w:rsidR="0054032E" w:rsidRPr="00487209">
              <w:rPr>
                <w:sz w:val="18"/>
                <w:szCs w:val="18"/>
                <w:lang w:val="sr-Cyrl-CS"/>
              </w:rPr>
              <w:t xml:space="preserve">. </w:t>
            </w:r>
            <w:r w:rsidR="0073105A">
              <w:rPr>
                <w:sz w:val="18"/>
                <w:szCs w:val="18"/>
                <w:lang w:val="sr-Cyrl-CS"/>
              </w:rPr>
              <w:t>Предлог</w:t>
            </w:r>
            <w:r w:rsidR="00C860A5" w:rsidRPr="00487209">
              <w:rPr>
                <w:sz w:val="18"/>
                <w:szCs w:val="18"/>
                <w:lang w:val="sr-Cyrl-CS"/>
              </w:rPr>
              <w:t xml:space="preserve"> закона</w:t>
            </w:r>
            <w:r w:rsidR="00BE317C" w:rsidRPr="00487209">
              <w:rPr>
                <w:sz w:val="18"/>
                <w:szCs w:val="18"/>
                <w:lang w:val="sr-Cyrl-CS"/>
              </w:rPr>
              <w:t xml:space="preserve"> о грађевинским производима се односи и на нехармонизовану област грађевинских производа. Такође </w:t>
            </w:r>
            <w:r w:rsidR="00895172" w:rsidRPr="00487209">
              <w:rPr>
                <w:sz w:val="18"/>
                <w:szCs w:val="18"/>
                <w:lang w:val="sr-Cyrl-CS"/>
              </w:rPr>
              <w:t xml:space="preserve">из финансијских разлога </w:t>
            </w:r>
            <w:r w:rsidR="0054032E" w:rsidRPr="00487209">
              <w:rPr>
                <w:sz w:val="18"/>
                <w:szCs w:val="18"/>
                <w:lang w:val="sr-Cyrl-CS"/>
              </w:rPr>
              <w:t xml:space="preserve">ће се </w:t>
            </w:r>
            <w:r w:rsidR="000244FC" w:rsidRPr="00487209">
              <w:rPr>
                <w:sz w:val="18"/>
                <w:szCs w:val="18"/>
                <w:lang w:val="sr-Cyrl-CS"/>
              </w:rPr>
              <w:t xml:space="preserve">постепено уводити </w:t>
            </w:r>
            <w:r w:rsidR="00895172" w:rsidRPr="00487209">
              <w:rPr>
                <w:sz w:val="18"/>
                <w:szCs w:val="18"/>
                <w:lang w:val="sr-Cyrl-CS"/>
              </w:rPr>
              <w:t xml:space="preserve">обавезна </w:t>
            </w:r>
            <w:r w:rsidR="000244FC" w:rsidRPr="00487209">
              <w:rPr>
                <w:sz w:val="18"/>
                <w:szCs w:val="18"/>
                <w:lang w:val="sr-Cyrl-CS"/>
              </w:rPr>
              <w:t>примена хармонизованих техничких спецификација</w:t>
            </w:r>
            <w:r w:rsidR="00895172" w:rsidRPr="00487209">
              <w:rPr>
                <w:sz w:val="18"/>
                <w:szCs w:val="18"/>
                <w:lang w:val="sr-Cyrl-CS"/>
              </w:rPr>
              <w:t xml:space="preserve">. Резултати </w:t>
            </w:r>
            <w:r w:rsidR="00330310">
              <w:rPr>
                <w:sz w:val="18"/>
                <w:szCs w:val="18"/>
                <w:lang w:val="sr-Cyrl-CS"/>
              </w:rPr>
              <w:t>„</w:t>
            </w:r>
            <w:r w:rsidR="000244FC" w:rsidRPr="00487209">
              <w:rPr>
                <w:sz w:val="18"/>
                <w:szCs w:val="18"/>
                <w:lang w:val="sr-Cyrl-CS"/>
              </w:rPr>
              <w:t>Анализ</w:t>
            </w:r>
            <w:r w:rsidR="00895172" w:rsidRPr="00487209">
              <w:rPr>
                <w:sz w:val="18"/>
                <w:szCs w:val="18"/>
                <w:lang w:val="sr-Cyrl-CS"/>
              </w:rPr>
              <w:t>е</w:t>
            </w:r>
            <w:r w:rsidR="000244FC" w:rsidRPr="00487209">
              <w:rPr>
                <w:sz w:val="18"/>
                <w:szCs w:val="18"/>
                <w:lang w:val="sr-Cyrl-CS"/>
              </w:rPr>
              <w:t xml:space="preserve"> усаглашености грађевинског сектора из области производње агрегата за грађевинарство, бетона, армираног и </w:t>
            </w:r>
            <w:r w:rsidR="000244FC" w:rsidRPr="00487209">
              <w:rPr>
                <w:sz w:val="18"/>
                <w:szCs w:val="18"/>
                <w:lang w:val="sr-Cyrl-CS"/>
              </w:rPr>
              <w:lastRenderedPageBreak/>
              <w:t>преднапрегнутог бетона, бетонских производа и материјала за завршну обраду путева са захтевима за транспоновање – прилагођавање европском законодавству (Уредбе о грађевинским производима)”</w:t>
            </w:r>
            <w:r w:rsidR="00895172" w:rsidRPr="00487209">
              <w:rPr>
                <w:sz w:val="18"/>
                <w:szCs w:val="18"/>
                <w:lang w:val="sr-Cyrl-CS"/>
              </w:rPr>
              <w:t xml:space="preserve"> </w:t>
            </w:r>
            <w:r w:rsidR="005D1DFD" w:rsidRPr="00487209">
              <w:rPr>
                <w:sz w:val="18"/>
                <w:szCs w:val="18"/>
                <w:lang w:val="sr-Cyrl-CS"/>
              </w:rPr>
              <w:t xml:space="preserve">коју је за потребе МГСИ финансирала </w:t>
            </w:r>
            <w:r w:rsidR="005D1DFD" w:rsidRPr="00487209">
              <w:rPr>
                <w:sz w:val="18"/>
                <w:szCs w:val="18"/>
                <w:lang w:val="es-ES"/>
              </w:rPr>
              <w:t>SIDA</w:t>
            </w:r>
            <w:r w:rsidR="005D1DFD" w:rsidRPr="00487209">
              <w:rPr>
                <w:sz w:val="18"/>
                <w:szCs w:val="18"/>
                <w:lang w:val="sr-Cyrl-CS"/>
              </w:rPr>
              <w:t xml:space="preserve"> (Шведска агенција за развој) </w:t>
            </w:r>
            <w:r w:rsidR="00895172" w:rsidRPr="00487209">
              <w:rPr>
                <w:sz w:val="18"/>
                <w:szCs w:val="18"/>
                <w:lang w:val="sr-Cyrl-CS"/>
              </w:rPr>
              <w:t xml:space="preserve">показали су да </w:t>
            </w:r>
            <w:r w:rsidR="006C567A" w:rsidRPr="00487209">
              <w:rPr>
                <w:sz w:val="18"/>
                <w:szCs w:val="18"/>
                <w:lang w:val="sr-Cyrl-CS"/>
              </w:rPr>
              <w:t>су</w:t>
            </w:r>
            <w:r w:rsidR="00895172" w:rsidRPr="00487209">
              <w:rPr>
                <w:sz w:val="18"/>
                <w:szCs w:val="18"/>
                <w:lang w:val="sr-Cyrl-CS"/>
              </w:rPr>
              <w:t xml:space="preserve"> </w:t>
            </w:r>
            <w:r w:rsidR="006C567A" w:rsidRPr="00487209">
              <w:rPr>
                <w:sz w:val="18"/>
                <w:szCs w:val="18"/>
                <w:lang w:val="sr-Cyrl-CS"/>
              </w:rPr>
              <w:t xml:space="preserve">привреди РС </w:t>
            </w:r>
            <w:r w:rsidR="00895172" w:rsidRPr="00487209">
              <w:rPr>
                <w:sz w:val="18"/>
                <w:szCs w:val="18"/>
                <w:lang w:val="sr-Cyrl-CS"/>
              </w:rPr>
              <w:t>потребн</w:t>
            </w:r>
            <w:r w:rsidR="006C567A" w:rsidRPr="00487209">
              <w:rPr>
                <w:sz w:val="18"/>
                <w:szCs w:val="18"/>
                <w:lang w:val="sr-Cyrl-CS"/>
              </w:rPr>
              <w:t xml:space="preserve">и </w:t>
            </w:r>
            <w:r w:rsidR="00895172" w:rsidRPr="00487209">
              <w:rPr>
                <w:sz w:val="18"/>
                <w:szCs w:val="18"/>
                <w:lang w:val="sr-Cyrl-CS"/>
              </w:rPr>
              <w:t>прелазни период</w:t>
            </w:r>
            <w:r w:rsidR="006C567A" w:rsidRPr="00487209">
              <w:rPr>
                <w:sz w:val="18"/>
                <w:szCs w:val="18"/>
                <w:lang w:val="sr-Cyrl-CS"/>
              </w:rPr>
              <w:t>и</w:t>
            </w:r>
            <w:r w:rsidR="00895172" w:rsidRPr="00487209">
              <w:rPr>
                <w:sz w:val="18"/>
                <w:szCs w:val="18"/>
                <w:lang w:val="sr-Cyrl-CS"/>
              </w:rPr>
              <w:t xml:space="preserve"> за потпуну примену Уредбе 305/2011 (ЕУ).</w:t>
            </w:r>
            <w:r w:rsidRPr="00487209">
              <w:rPr>
                <w:sz w:val="18"/>
                <w:szCs w:val="18"/>
                <w:lang w:val="sr-Cyrl-CS"/>
              </w:rPr>
              <w:t xml:space="preserve"> </w:t>
            </w:r>
          </w:p>
        </w:tc>
        <w:tc>
          <w:tcPr>
            <w:tcW w:w="480" w:type="pct"/>
            <w:shd w:val="clear" w:color="auto" w:fill="auto"/>
            <w:vAlign w:val="center"/>
          </w:tcPr>
          <w:p w14:paraId="25927DEE" w14:textId="77777777" w:rsidR="00093614" w:rsidRPr="00487209" w:rsidRDefault="00093614" w:rsidP="006C6323">
            <w:pPr>
              <w:spacing w:before="120" w:after="120"/>
              <w:jc w:val="center"/>
              <w:rPr>
                <w:rFonts w:ascii="Times New Roman" w:hAnsi="Times New Roman" w:cs="Times New Roman"/>
                <w:sz w:val="18"/>
                <w:szCs w:val="18"/>
                <w:lang w:val="ru-RU"/>
              </w:rPr>
            </w:pPr>
          </w:p>
        </w:tc>
      </w:tr>
      <w:tr w:rsidR="00337554" w:rsidRPr="00487209" w14:paraId="70D839EB" w14:textId="77777777" w:rsidTr="007D5144">
        <w:trPr>
          <w:trHeight w:val="1970"/>
          <w:jc w:val="center"/>
        </w:trPr>
        <w:tc>
          <w:tcPr>
            <w:tcW w:w="435" w:type="pct"/>
            <w:shd w:val="clear" w:color="auto" w:fill="auto"/>
            <w:vAlign w:val="center"/>
          </w:tcPr>
          <w:p w14:paraId="18781654"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2.1.</w:t>
            </w:r>
          </w:p>
        </w:tc>
        <w:tc>
          <w:tcPr>
            <w:tcW w:w="1369" w:type="pct"/>
            <w:gridSpan w:val="2"/>
            <w:shd w:val="clear" w:color="auto" w:fill="auto"/>
            <w:vAlign w:val="center"/>
          </w:tcPr>
          <w:p w14:paraId="51FD56D4" w14:textId="77777777" w:rsidR="00EE4D88" w:rsidRPr="00487209" w:rsidRDefault="00EE4D88"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For the purposes of this Regulation the following definitions shall apply:</w:t>
            </w:r>
          </w:p>
          <w:p w14:paraId="7EF8D356" w14:textId="77777777" w:rsidR="00425B2E" w:rsidRPr="00487209" w:rsidRDefault="00EE4D88"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1. ‘construction product’ means any product or kit which is produced and placed on the market for incorporation in a permanent manner in construction works or parts thereof and the performance of which has an effect on the performance of the construction works with respect to the basic requirements for construction works;</w:t>
            </w:r>
          </w:p>
        </w:tc>
        <w:tc>
          <w:tcPr>
            <w:tcW w:w="429" w:type="pct"/>
            <w:shd w:val="clear" w:color="auto" w:fill="auto"/>
            <w:vAlign w:val="center"/>
          </w:tcPr>
          <w:p w14:paraId="2AD07FA8"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1BBE1BC9" w14:textId="7F39092A" w:rsidR="00425B2E" w:rsidRPr="0087473F" w:rsidRDefault="00C51C30" w:rsidP="006C6323">
            <w:pPr>
              <w:spacing w:before="120" w:after="120"/>
              <w:ind w:firstLine="5"/>
              <w:jc w:val="center"/>
              <w:rPr>
                <w:rFonts w:ascii="Times New Roman" w:hAnsi="Times New Roman" w:cs="Times New Roman"/>
                <w:sz w:val="18"/>
                <w:szCs w:val="18"/>
                <w:lang w:val="sr-Cyrl-CS"/>
              </w:rPr>
            </w:pPr>
            <w:r>
              <w:rPr>
                <w:rFonts w:ascii="Times New Roman" w:hAnsi="Times New Roman" w:cs="Times New Roman"/>
                <w:sz w:val="18"/>
                <w:szCs w:val="18"/>
                <w:lang w:val="sr-Cyrl-CS"/>
              </w:rPr>
              <w:t>5.2</w:t>
            </w:r>
          </w:p>
        </w:tc>
        <w:tc>
          <w:tcPr>
            <w:tcW w:w="1231" w:type="pct"/>
            <w:gridSpan w:val="2"/>
            <w:shd w:val="clear" w:color="auto" w:fill="auto"/>
            <w:vAlign w:val="center"/>
          </w:tcPr>
          <w:p w14:paraId="7EAF0D62" w14:textId="04230BC6" w:rsidR="00F54B8B" w:rsidRPr="00487209" w:rsidRDefault="00C51C30" w:rsidP="006C6323">
            <w:pPr>
              <w:jc w:val="both"/>
              <w:rPr>
                <w:rFonts w:ascii="Times New Roman" w:hAnsi="Times New Roman" w:cs="Times New Roman"/>
                <w:sz w:val="18"/>
                <w:szCs w:val="18"/>
                <w:lang w:val="sr-Cyrl-CS"/>
              </w:rPr>
            </w:pPr>
            <w:r w:rsidRPr="00C51C30">
              <w:rPr>
                <w:rStyle w:val="FontStyle41"/>
                <w:rFonts w:ascii="Times New Roman" w:eastAsia="Batang" w:hAnsi="Times New Roman" w:cs="Times New Roman"/>
                <w:sz w:val="18"/>
                <w:szCs w:val="18"/>
                <w:lang w:val="sr-Cyrl-CS" w:eastAsia="ko-KR"/>
              </w:rPr>
              <w:t>Грађевински производ који је произведен и стављен на тржиште ради сталне уградње у објекте или њихове делове мора да има перформансе у вези са његовим битним карактеристикама које имају утицај на перформансе објекта током уобичајеног одржавања и економски прихватљивог века употребе објекта, а у погледу следећих основних захтева за објекте:</w:t>
            </w:r>
          </w:p>
        </w:tc>
        <w:tc>
          <w:tcPr>
            <w:tcW w:w="458" w:type="pct"/>
            <w:shd w:val="clear" w:color="auto" w:fill="auto"/>
            <w:vAlign w:val="center"/>
          </w:tcPr>
          <w:p w14:paraId="1CA15A1F" w14:textId="77777777" w:rsidR="00425B2E" w:rsidRPr="00487209" w:rsidRDefault="005F10CC"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750B11ED" w14:textId="77777777" w:rsidR="00425B2E" w:rsidRPr="00487209" w:rsidRDefault="00425B2E"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44BBB9EB" w14:textId="77777777" w:rsidR="00425B2E" w:rsidRPr="00487209" w:rsidRDefault="00425B2E" w:rsidP="006C6323">
            <w:pPr>
              <w:spacing w:before="120" w:after="120"/>
              <w:jc w:val="center"/>
              <w:rPr>
                <w:rFonts w:ascii="Times New Roman" w:hAnsi="Times New Roman" w:cs="Times New Roman"/>
                <w:sz w:val="18"/>
                <w:szCs w:val="18"/>
                <w:lang w:val="sr-Cyrl-CS"/>
              </w:rPr>
            </w:pPr>
          </w:p>
        </w:tc>
      </w:tr>
      <w:tr w:rsidR="00337554" w:rsidRPr="00487209" w14:paraId="1C9F43BA" w14:textId="77777777" w:rsidTr="007D5144">
        <w:trPr>
          <w:trHeight w:val="1970"/>
          <w:jc w:val="center"/>
        </w:trPr>
        <w:tc>
          <w:tcPr>
            <w:tcW w:w="435" w:type="pct"/>
            <w:shd w:val="clear" w:color="auto" w:fill="auto"/>
            <w:vAlign w:val="center"/>
          </w:tcPr>
          <w:p w14:paraId="3232EC80"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2.2.</w:t>
            </w:r>
          </w:p>
        </w:tc>
        <w:tc>
          <w:tcPr>
            <w:tcW w:w="1369" w:type="pct"/>
            <w:gridSpan w:val="2"/>
            <w:shd w:val="clear" w:color="auto" w:fill="auto"/>
            <w:vAlign w:val="center"/>
          </w:tcPr>
          <w:tbl>
            <w:tblPr>
              <w:tblW w:w="5000" w:type="pct"/>
              <w:tblCellSpacing w:w="0" w:type="dxa"/>
              <w:tblCellMar>
                <w:left w:w="0" w:type="dxa"/>
                <w:right w:w="0" w:type="dxa"/>
              </w:tblCellMar>
              <w:tblLook w:val="04A0" w:firstRow="1" w:lastRow="0" w:firstColumn="1" w:lastColumn="0" w:noHBand="0" w:noVBand="1"/>
            </w:tblPr>
            <w:tblGrid>
              <w:gridCol w:w="6"/>
              <w:gridCol w:w="3385"/>
            </w:tblGrid>
            <w:tr w:rsidR="00EC7E34" w:rsidRPr="00487209" w14:paraId="5468360D" w14:textId="77777777" w:rsidTr="00425B2E">
              <w:trPr>
                <w:tblCellSpacing w:w="0" w:type="dxa"/>
              </w:trPr>
              <w:tc>
                <w:tcPr>
                  <w:tcW w:w="0" w:type="auto"/>
                  <w:hideMark/>
                </w:tcPr>
                <w:p w14:paraId="66A7B55A" w14:textId="77777777" w:rsidR="00425B2E" w:rsidRPr="00487209" w:rsidRDefault="00425B2E" w:rsidP="006C6323">
                  <w:pPr>
                    <w:jc w:val="both"/>
                    <w:rPr>
                      <w:rFonts w:ascii="Times New Roman" w:hAnsi="Times New Roman" w:cs="Times New Roman"/>
                      <w:sz w:val="18"/>
                      <w:szCs w:val="18"/>
                    </w:rPr>
                  </w:pPr>
                </w:p>
              </w:tc>
              <w:tc>
                <w:tcPr>
                  <w:tcW w:w="0" w:type="auto"/>
                  <w:hideMark/>
                </w:tcPr>
                <w:p w14:paraId="4AE52924" w14:textId="77777777" w:rsidR="00425B2E" w:rsidRPr="00487209" w:rsidRDefault="002B170D" w:rsidP="006C6323">
                  <w:pPr>
                    <w:jc w:val="both"/>
                    <w:rPr>
                      <w:rFonts w:ascii="Times New Roman" w:hAnsi="Times New Roman" w:cs="Times New Roman"/>
                      <w:sz w:val="18"/>
                      <w:szCs w:val="18"/>
                    </w:rPr>
                  </w:pPr>
                  <w:r w:rsidRPr="00487209">
                    <w:rPr>
                      <w:rFonts w:ascii="Times New Roman" w:hAnsi="Times New Roman" w:cs="Times New Roman"/>
                      <w:sz w:val="18"/>
                      <w:szCs w:val="18"/>
                    </w:rPr>
                    <w:t>‘kit’ means a construction product placed on the market by a single manufacturer as a set of at least two separate components that need to be put together to be incorporated in the construction works;</w:t>
                  </w:r>
                </w:p>
              </w:tc>
            </w:tr>
          </w:tbl>
          <w:p w14:paraId="3CEE60BF" w14:textId="77777777" w:rsidR="00425B2E" w:rsidRPr="00487209" w:rsidRDefault="00425B2E" w:rsidP="006C6323">
            <w:pPr>
              <w:jc w:val="both"/>
              <w:rPr>
                <w:rFonts w:ascii="Times New Roman" w:hAnsi="Times New Roman" w:cs="Times New Roman"/>
                <w:sz w:val="18"/>
                <w:szCs w:val="18"/>
              </w:rPr>
            </w:pPr>
          </w:p>
        </w:tc>
        <w:tc>
          <w:tcPr>
            <w:tcW w:w="429" w:type="pct"/>
            <w:shd w:val="clear" w:color="auto" w:fill="auto"/>
            <w:vAlign w:val="center"/>
          </w:tcPr>
          <w:p w14:paraId="200258EE"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151A5843" w14:textId="1F817F43" w:rsidR="00425B2E" w:rsidRPr="00487209" w:rsidRDefault="002F19C7" w:rsidP="00F91294">
            <w:pPr>
              <w:spacing w:before="120" w:after="120"/>
              <w:ind w:firstLine="5"/>
              <w:jc w:val="center"/>
              <w:rPr>
                <w:rFonts w:ascii="Times New Roman" w:hAnsi="Times New Roman" w:cs="Times New Roman"/>
                <w:sz w:val="18"/>
                <w:szCs w:val="18"/>
              </w:rPr>
            </w:pPr>
            <w:r w:rsidRPr="00487209">
              <w:rPr>
                <w:rFonts w:ascii="Times New Roman" w:hAnsi="Times New Roman" w:cs="Times New Roman"/>
                <w:sz w:val="18"/>
                <w:szCs w:val="18"/>
              </w:rPr>
              <w:t>2.1.</w:t>
            </w:r>
            <w:r w:rsidR="00F91294">
              <w:rPr>
                <w:rFonts w:ascii="Times New Roman" w:hAnsi="Times New Roman" w:cs="Times New Roman"/>
                <w:sz w:val="18"/>
                <w:szCs w:val="18"/>
              </w:rPr>
              <w:t>2</w:t>
            </w:r>
            <w:r w:rsidRPr="00487209">
              <w:rPr>
                <w:rFonts w:ascii="Times New Roman" w:hAnsi="Times New Roman" w:cs="Times New Roman"/>
                <w:sz w:val="18"/>
                <w:szCs w:val="18"/>
              </w:rPr>
              <w:t>)</w:t>
            </w:r>
          </w:p>
        </w:tc>
        <w:tc>
          <w:tcPr>
            <w:tcW w:w="1231" w:type="pct"/>
            <w:gridSpan w:val="2"/>
            <w:shd w:val="clear" w:color="auto" w:fill="auto"/>
            <w:vAlign w:val="center"/>
          </w:tcPr>
          <w:p w14:paraId="4DE21F93" w14:textId="723E6795" w:rsidR="00425B2E" w:rsidRPr="00487209" w:rsidRDefault="00F972DD" w:rsidP="006C6323">
            <w:pPr>
              <w:jc w:val="both"/>
              <w:rPr>
                <w:rFonts w:ascii="Times New Roman" w:hAnsi="Times New Roman" w:cs="Times New Roman"/>
                <w:b/>
                <w:sz w:val="18"/>
                <w:szCs w:val="18"/>
                <w:lang w:val="sr-Cyrl-CS"/>
              </w:rPr>
            </w:pPr>
            <w:r w:rsidRPr="00487209">
              <w:rPr>
                <w:rFonts w:ascii="Times New Roman" w:hAnsi="Times New Roman" w:cs="Times New Roman"/>
                <w:i/>
                <w:sz w:val="18"/>
                <w:szCs w:val="18"/>
                <w:lang w:val="sr-Cyrl-CS"/>
              </w:rPr>
              <w:t xml:space="preserve">склоп </w:t>
            </w:r>
            <w:r w:rsidRPr="00487209">
              <w:rPr>
                <w:rFonts w:ascii="Times New Roman" w:hAnsi="Times New Roman" w:cs="Times New Roman"/>
                <w:sz w:val="18"/>
                <w:szCs w:val="18"/>
                <w:lang w:val="sr-Cyrl-CS"/>
              </w:rPr>
              <w:t xml:space="preserve"> је грађевински производ који је јед</w:t>
            </w:r>
            <w:r w:rsidRPr="00487209">
              <w:rPr>
                <w:rFonts w:ascii="Times New Roman" w:hAnsi="Times New Roman" w:cs="Times New Roman"/>
                <w:sz w:val="18"/>
                <w:szCs w:val="18"/>
              </w:rPr>
              <w:t>a</w:t>
            </w:r>
            <w:r w:rsidRPr="00487209">
              <w:rPr>
                <w:rFonts w:ascii="Times New Roman" w:hAnsi="Times New Roman" w:cs="Times New Roman"/>
                <w:sz w:val="18"/>
                <w:szCs w:val="18"/>
                <w:lang w:val="sr-Cyrl-CS"/>
              </w:rPr>
              <w:t>н произвођач ставио на тржиште као комплет од најмање два појединачна дела које треба саставити како би био уграђен у објекат;</w:t>
            </w:r>
          </w:p>
        </w:tc>
        <w:tc>
          <w:tcPr>
            <w:tcW w:w="458" w:type="pct"/>
            <w:shd w:val="clear" w:color="auto" w:fill="auto"/>
            <w:vAlign w:val="center"/>
          </w:tcPr>
          <w:p w14:paraId="76E21C13" w14:textId="77777777" w:rsidR="00425B2E" w:rsidRPr="00487209" w:rsidRDefault="005F10CC"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5B5BE9C1" w14:textId="77777777" w:rsidR="00425B2E" w:rsidRPr="00487209" w:rsidRDefault="00425B2E"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0237DD5"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6DD55416" w14:textId="77777777" w:rsidTr="007D5144">
        <w:trPr>
          <w:trHeight w:val="1970"/>
          <w:jc w:val="center"/>
        </w:trPr>
        <w:tc>
          <w:tcPr>
            <w:tcW w:w="435" w:type="pct"/>
            <w:shd w:val="clear" w:color="auto" w:fill="auto"/>
            <w:vAlign w:val="center"/>
          </w:tcPr>
          <w:p w14:paraId="24F5E70D"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2.3.</w:t>
            </w:r>
          </w:p>
        </w:tc>
        <w:tc>
          <w:tcPr>
            <w:tcW w:w="1369" w:type="pct"/>
            <w:gridSpan w:val="2"/>
            <w:shd w:val="clear" w:color="auto" w:fill="auto"/>
            <w:vAlign w:val="center"/>
          </w:tcPr>
          <w:tbl>
            <w:tblPr>
              <w:tblW w:w="5000" w:type="pct"/>
              <w:tblCellSpacing w:w="0" w:type="dxa"/>
              <w:tblCellMar>
                <w:left w:w="0" w:type="dxa"/>
                <w:right w:w="0" w:type="dxa"/>
              </w:tblCellMar>
              <w:tblLook w:val="04A0" w:firstRow="1" w:lastRow="0" w:firstColumn="1" w:lastColumn="0" w:noHBand="0" w:noVBand="1"/>
            </w:tblPr>
            <w:tblGrid>
              <w:gridCol w:w="6"/>
              <w:gridCol w:w="3385"/>
            </w:tblGrid>
            <w:tr w:rsidR="00EC7E34" w:rsidRPr="00487209" w14:paraId="21CBA5BA" w14:textId="77777777" w:rsidTr="00425B2E">
              <w:trPr>
                <w:tblCellSpacing w:w="0" w:type="dxa"/>
              </w:trPr>
              <w:tc>
                <w:tcPr>
                  <w:tcW w:w="0" w:type="auto"/>
                  <w:hideMark/>
                </w:tcPr>
                <w:p w14:paraId="08ADA535" w14:textId="77777777" w:rsidR="00425B2E" w:rsidRPr="00487209" w:rsidRDefault="00425B2E" w:rsidP="006C6323">
                  <w:pPr>
                    <w:jc w:val="both"/>
                    <w:rPr>
                      <w:rFonts w:ascii="Times New Roman" w:hAnsi="Times New Roman" w:cs="Times New Roman"/>
                      <w:sz w:val="18"/>
                      <w:szCs w:val="18"/>
                    </w:rPr>
                  </w:pPr>
                </w:p>
              </w:tc>
              <w:tc>
                <w:tcPr>
                  <w:tcW w:w="0" w:type="auto"/>
                  <w:hideMark/>
                </w:tcPr>
                <w:p w14:paraId="08A7A0AC" w14:textId="77777777" w:rsidR="00425B2E" w:rsidRPr="00487209" w:rsidRDefault="002B170D"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‘construction works’ means buildings and civil engineering works;</w:t>
                  </w:r>
                </w:p>
              </w:tc>
            </w:tr>
          </w:tbl>
          <w:p w14:paraId="1CA18FBD" w14:textId="77777777" w:rsidR="00425B2E" w:rsidRPr="00487209" w:rsidRDefault="00425B2E" w:rsidP="006C6323">
            <w:pPr>
              <w:jc w:val="both"/>
              <w:rPr>
                <w:rFonts w:ascii="Times New Roman" w:hAnsi="Times New Roman" w:cs="Times New Roman"/>
                <w:sz w:val="18"/>
                <w:szCs w:val="18"/>
              </w:rPr>
            </w:pPr>
          </w:p>
        </w:tc>
        <w:tc>
          <w:tcPr>
            <w:tcW w:w="429" w:type="pct"/>
            <w:shd w:val="clear" w:color="auto" w:fill="auto"/>
            <w:vAlign w:val="center"/>
          </w:tcPr>
          <w:p w14:paraId="7D13FDDA"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02FE9D3E" w14:textId="4F876CA4" w:rsidR="00425B2E" w:rsidRPr="00487209" w:rsidRDefault="00C51C30" w:rsidP="006C6323">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2.2</w:t>
            </w:r>
          </w:p>
        </w:tc>
        <w:tc>
          <w:tcPr>
            <w:tcW w:w="1231" w:type="pct"/>
            <w:gridSpan w:val="2"/>
            <w:shd w:val="clear" w:color="auto" w:fill="auto"/>
            <w:vAlign w:val="center"/>
          </w:tcPr>
          <w:p w14:paraId="7CE30F8A" w14:textId="77A1CAA8" w:rsidR="00425B2E" w:rsidRPr="00487209" w:rsidRDefault="00C51C30" w:rsidP="006C6323">
            <w:pPr>
              <w:jc w:val="both"/>
              <w:rPr>
                <w:rFonts w:ascii="Times New Roman" w:hAnsi="Times New Roman" w:cs="Times New Roman"/>
                <w:sz w:val="18"/>
                <w:szCs w:val="18"/>
                <w:lang w:val="sr-Cyrl-CS"/>
              </w:rPr>
            </w:pPr>
            <w:r w:rsidRPr="00C51C30">
              <w:rPr>
                <w:rFonts w:ascii="Times New Roman" w:hAnsi="Times New Roman" w:cs="Times New Roman"/>
                <w:i/>
                <w:sz w:val="18"/>
                <w:szCs w:val="18"/>
                <w:lang w:val="sr-Cyrl-CS"/>
              </w:rPr>
              <w:t>Други појмови  који се употребљавају у овом закону а нису дефинисани у ставу 1. овог члана имају значење утврђено прописима којима се уређује грађење, технички захтеви за производе и оцењивање усаглашености, општа безбедност производа, управљање хемикалијама, тржишни надзор, акредитација и стандардизација.</w:t>
            </w:r>
          </w:p>
        </w:tc>
        <w:tc>
          <w:tcPr>
            <w:tcW w:w="458" w:type="pct"/>
            <w:shd w:val="clear" w:color="auto" w:fill="auto"/>
            <w:vAlign w:val="center"/>
          </w:tcPr>
          <w:p w14:paraId="2DD80DEF" w14:textId="77777777" w:rsidR="00425B2E" w:rsidRPr="00487209" w:rsidRDefault="00110F4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549B4A7D" w14:textId="77777777" w:rsidR="00425B2E" w:rsidRPr="00487209" w:rsidRDefault="00425B2E"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4856DE2"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2CED533E" w14:textId="77777777" w:rsidTr="007D5144">
        <w:trPr>
          <w:trHeight w:val="1970"/>
          <w:jc w:val="center"/>
        </w:trPr>
        <w:tc>
          <w:tcPr>
            <w:tcW w:w="435" w:type="pct"/>
            <w:shd w:val="clear" w:color="auto" w:fill="auto"/>
            <w:vAlign w:val="center"/>
          </w:tcPr>
          <w:p w14:paraId="2C07B9CB"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2.4.</w:t>
            </w:r>
          </w:p>
        </w:tc>
        <w:tc>
          <w:tcPr>
            <w:tcW w:w="1369" w:type="pct"/>
            <w:gridSpan w:val="2"/>
            <w:shd w:val="clear" w:color="auto" w:fill="auto"/>
            <w:vAlign w:val="center"/>
          </w:tcPr>
          <w:p w14:paraId="3F6F6681" w14:textId="77777777" w:rsidR="00425B2E" w:rsidRPr="00487209" w:rsidRDefault="002B170D" w:rsidP="006C6323">
            <w:pPr>
              <w:jc w:val="both"/>
              <w:rPr>
                <w:rFonts w:ascii="Times New Roman" w:hAnsi="Times New Roman" w:cs="Times New Roman"/>
                <w:sz w:val="18"/>
                <w:szCs w:val="18"/>
              </w:rPr>
            </w:pPr>
            <w:r w:rsidRPr="00487209">
              <w:rPr>
                <w:rFonts w:ascii="Times New Roman" w:hAnsi="Times New Roman" w:cs="Times New Roman"/>
                <w:sz w:val="18"/>
                <w:szCs w:val="18"/>
              </w:rPr>
              <w:t>‘essential characteristics’ means those characteristics of the construction</w:t>
            </w:r>
            <w:r w:rsidR="00110F41" w:rsidRPr="00487209">
              <w:rPr>
                <w:rFonts w:ascii="Times New Roman" w:hAnsi="Times New Roman" w:cs="Times New Roman"/>
                <w:sz w:val="18"/>
                <w:szCs w:val="18"/>
              </w:rPr>
              <w:t xml:space="preserve">  </w:t>
            </w:r>
            <w:r w:rsidRPr="00487209">
              <w:rPr>
                <w:rFonts w:ascii="Times New Roman" w:hAnsi="Times New Roman" w:cs="Times New Roman"/>
                <w:sz w:val="18"/>
                <w:szCs w:val="18"/>
              </w:rPr>
              <w:t>product which relate to the basic requirements for construction works;</w:t>
            </w:r>
          </w:p>
        </w:tc>
        <w:tc>
          <w:tcPr>
            <w:tcW w:w="429" w:type="pct"/>
            <w:shd w:val="clear" w:color="auto" w:fill="auto"/>
            <w:vAlign w:val="center"/>
          </w:tcPr>
          <w:p w14:paraId="2FBC40D3"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640FAFF3" w14:textId="070E5D6B" w:rsidR="00425B2E" w:rsidRPr="00487209" w:rsidRDefault="00110F41" w:rsidP="00F9129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F91294">
              <w:rPr>
                <w:rFonts w:ascii="Times New Roman" w:hAnsi="Times New Roman" w:cs="Times New Roman"/>
                <w:sz w:val="18"/>
                <w:szCs w:val="18"/>
              </w:rPr>
              <w:t>3</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48DDDA30" w14:textId="77777777" w:rsidR="002B3B6B" w:rsidRPr="00487209" w:rsidRDefault="002B3B6B" w:rsidP="006C6323">
            <w:pPr>
              <w:jc w:val="both"/>
              <w:rPr>
                <w:rFonts w:ascii="Times New Roman" w:hAnsi="Times New Roman" w:cs="Times New Roman"/>
                <w:i/>
                <w:sz w:val="18"/>
                <w:szCs w:val="18"/>
                <w:lang w:val="sr-Cyrl-CS"/>
              </w:rPr>
            </w:pPr>
          </w:p>
          <w:p w14:paraId="02084646" w14:textId="77777777" w:rsidR="00425B2E" w:rsidRPr="00487209" w:rsidRDefault="00110F41" w:rsidP="006C6323">
            <w:pPr>
              <w:jc w:val="both"/>
              <w:rPr>
                <w:rFonts w:ascii="Times New Roman" w:hAnsi="Times New Roman" w:cs="Times New Roman"/>
                <w:sz w:val="18"/>
                <w:szCs w:val="18"/>
                <w:lang w:val="sr-Cyrl-CS"/>
              </w:rPr>
            </w:pPr>
            <w:r w:rsidRPr="00487209">
              <w:rPr>
                <w:rFonts w:ascii="Times New Roman" w:hAnsi="Times New Roman" w:cs="Times New Roman"/>
                <w:i/>
                <w:sz w:val="18"/>
                <w:szCs w:val="18"/>
                <w:lang w:val="sr-Cyrl-CS"/>
              </w:rPr>
              <w:t>битне</w:t>
            </w:r>
            <w:r w:rsidRPr="00487209">
              <w:rPr>
                <w:rFonts w:ascii="Times New Roman" w:hAnsi="Times New Roman" w:cs="Times New Roman"/>
                <w:i/>
                <w:sz w:val="18"/>
                <w:szCs w:val="18"/>
                <w:lang w:val="ru-RU"/>
              </w:rPr>
              <w:t xml:space="preserve"> </w:t>
            </w:r>
            <w:r w:rsidRPr="00487209">
              <w:rPr>
                <w:rFonts w:ascii="Times New Roman" w:hAnsi="Times New Roman" w:cs="Times New Roman"/>
                <w:i/>
                <w:sz w:val="18"/>
                <w:szCs w:val="18"/>
                <w:lang w:val="sr-Cyrl-CS"/>
              </w:rPr>
              <w:t>карактеристике</w:t>
            </w:r>
            <w:r w:rsidRPr="00487209">
              <w:rPr>
                <w:rFonts w:ascii="Times New Roman" w:hAnsi="Times New Roman" w:cs="Times New Roman"/>
                <w:sz w:val="18"/>
                <w:szCs w:val="18"/>
                <w:lang w:val="sr-Cyrl-CS"/>
              </w:rPr>
              <w:t xml:space="preserve"> </w:t>
            </w:r>
            <w:r w:rsidRPr="00487209">
              <w:rPr>
                <w:rFonts w:ascii="Times New Roman" w:hAnsi="Times New Roman" w:cs="Times New Roman"/>
                <w:i/>
                <w:sz w:val="18"/>
                <w:szCs w:val="18"/>
                <w:lang w:val="sr-Cyrl-CS"/>
              </w:rPr>
              <w:t xml:space="preserve">грађевинског производа </w:t>
            </w:r>
            <w:r w:rsidRPr="00487209">
              <w:rPr>
                <w:rFonts w:ascii="Times New Roman" w:hAnsi="Times New Roman" w:cs="Times New Roman"/>
                <w:sz w:val="18"/>
                <w:szCs w:val="18"/>
                <w:lang w:val="sr-Cyrl-CS"/>
              </w:rPr>
              <w:t>су оне карактеристике грађевинског производа које се односе на основне захтеве за објекте;</w:t>
            </w:r>
          </w:p>
        </w:tc>
        <w:tc>
          <w:tcPr>
            <w:tcW w:w="458" w:type="pct"/>
            <w:shd w:val="clear" w:color="auto" w:fill="auto"/>
            <w:vAlign w:val="center"/>
          </w:tcPr>
          <w:p w14:paraId="127C8EF3" w14:textId="77777777" w:rsidR="00425B2E" w:rsidRPr="00487209" w:rsidRDefault="00110F4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4F84B780" w14:textId="77777777" w:rsidR="00425B2E" w:rsidRPr="00487209" w:rsidRDefault="00425B2E"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1809553"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146B76BC" w14:textId="77777777" w:rsidTr="007D5144">
        <w:trPr>
          <w:trHeight w:val="1970"/>
          <w:jc w:val="center"/>
        </w:trPr>
        <w:tc>
          <w:tcPr>
            <w:tcW w:w="435" w:type="pct"/>
            <w:shd w:val="clear" w:color="auto" w:fill="auto"/>
            <w:vAlign w:val="center"/>
          </w:tcPr>
          <w:p w14:paraId="279F2CF2" w14:textId="77777777" w:rsidR="00110F41" w:rsidRPr="00487209" w:rsidRDefault="00110F4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2.5.</w:t>
            </w:r>
          </w:p>
        </w:tc>
        <w:tc>
          <w:tcPr>
            <w:tcW w:w="1369" w:type="pct"/>
            <w:gridSpan w:val="2"/>
            <w:shd w:val="clear" w:color="auto" w:fill="auto"/>
            <w:vAlign w:val="center"/>
          </w:tcPr>
          <w:tbl>
            <w:tblPr>
              <w:tblW w:w="5000" w:type="pct"/>
              <w:tblCellSpacing w:w="0" w:type="dxa"/>
              <w:tblCellMar>
                <w:left w:w="0" w:type="dxa"/>
                <w:right w:w="0" w:type="dxa"/>
              </w:tblCellMar>
              <w:tblLook w:val="04A0" w:firstRow="1" w:lastRow="0" w:firstColumn="1" w:lastColumn="0" w:noHBand="0" w:noVBand="1"/>
            </w:tblPr>
            <w:tblGrid>
              <w:gridCol w:w="3385"/>
              <w:gridCol w:w="6"/>
            </w:tblGrid>
            <w:tr w:rsidR="00EC7E34" w:rsidRPr="00487209" w14:paraId="4DCA2A18" w14:textId="77777777" w:rsidTr="003215BC">
              <w:trPr>
                <w:trHeight w:val="1406"/>
                <w:tblCellSpacing w:w="0" w:type="dxa"/>
              </w:trPr>
              <w:tc>
                <w:tcPr>
                  <w:tcW w:w="0" w:type="auto"/>
                  <w:hideMark/>
                </w:tcPr>
                <w:p w14:paraId="208BF4F7" w14:textId="77777777" w:rsidR="00110F41" w:rsidRPr="00487209" w:rsidRDefault="003215BC" w:rsidP="006C6323">
                  <w:pPr>
                    <w:jc w:val="both"/>
                    <w:rPr>
                      <w:rFonts w:ascii="Times New Roman" w:hAnsi="Times New Roman" w:cs="Times New Roman"/>
                      <w:sz w:val="18"/>
                      <w:szCs w:val="18"/>
                    </w:rPr>
                  </w:pPr>
                  <w:r w:rsidRPr="00487209">
                    <w:rPr>
                      <w:rFonts w:ascii="Times New Roman" w:hAnsi="Times New Roman" w:cs="Times New Roman"/>
                      <w:sz w:val="18"/>
                      <w:szCs w:val="18"/>
                    </w:rPr>
                    <w:t>‘performance of a construction product’ means the performance related to the relevant essential characteristics, expressed by level or class, or in a description;</w:t>
                  </w:r>
                </w:p>
              </w:tc>
              <w:tc>
                <w:tcPr>
                  <w:tcW w:w="0" w:type="auto"/>
                  <w:hideMark/>
                </w:tcPr>
                <w:p w14:paraId="34417249" w14:textId="77777777" w:rsidR="00110F41" w:rsidRPr="00487209" w:rsidRDefault="00110F41" w:rsidP="006C6323">
                  <w:pPr>
                    <w:rPr>
                      <w:rFonts w:ascii="Times New Roman" w:hAnsi="Times New Roman" w:cs="Times New Roman"/>
                      <w:sz w:val="18"/>
                      <w:szCs w:val="18"/>
                    </w:rPr>
                  </w:pPr>
                </w:p>
              </w:tc>
            </w:tr>
          </w:tbl>
          <w:p w14:paraId="5FBDB0CF" w14:textId="77777777" w:rsidR="00110F41" w:rsidRPr="00487209" w:rsidRDefault="00110F41" w:rsidP="006C6323">
            <w:pPr>
              <w:jc w:val="both"/>
              <w:rPr>
                <w:rFonts w:ascii="Times New Roman" w:hAnsi="Times New Roman" w:cs="Times New Roman"/>
                <w:sz w:val="18"/>
                <w:szCs w:val="18"/>
              </w:rPr>
            </w:pPr>
          </w:p>
        </w:tc>
        <w:tc>
          <w:tcPr>
            <w:tcW w:w="429" w:type="pct"/>
            <w:shd w:val="clear" w:color="auto" w:fill="auto"/>
            <w:vAlign w:val="center"/>
          </w:tcPr>
          <w:p w14:paraId="0B34EA17"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0805359F" w14:textId="62E510EB" w:rsidR="00110F41" w:rsidRPr="00487209" w:rsidRDefault="00110F41" w:rsidP="00F9129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F91294">
              <w:rPr>
                <w:rFonts w:ascii="Times New Roman" w:hAnsi="Times New Roman" w:cs="Times New Roman"/>
                <w:sz w:val="18"/>
                <w:szCs w:val="18"/>
              </w:rPr>
              <w:t>4</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4A20272B" w14:textId="77777777" w:rsidR="00F91294" w:rsidRPr="004C5EBD" w:rsidRDefault="00F91294" w:rsidP="004C5EBD">
            <w:pPr>
              <w:tabs>
                <w:tab w:val="left" w:pos="1080"/>
              </w:tabs>
              <w:spacing w:before="240"/>
              <w:ind w:right="-23"/>
              <w:jc w:val="both"/>
              <w:outlineLvl w:val="3"/>
              <w:rPr>
                <w:rFonts w:ascii="Times New Roman" w:eastAsia="Batang" w:hAnsi="Times New Roman" w:cs="Times New Roman"/>
                <w:b/>
                <w:sz w:val="18"/>
                <w:szCs w:val="18"/>
                <w:lang w:eastAsia="ko-KR"/>
              </w:rPr>
            </w:pPr>
            <w:r w:rsidRPr="004C5EBD">
              <w:rPr>
                <w:rFonts w:ascii="Times New Roman" w:eastAsia="Batang" w:hAnsi="Times New Roman" w:cs="Times New Roman"/>
                <w:i/>
                <w:sz w:val="18"/>
                <w:szCs w:val="18"/>
                <w:lang w:eastAsia="ko-KR"/>
              </w:rPr>
              <w:t>перформансе грађевинског производа</w:t>
            </w:r>
            <w:r w:rsidRPr="004C5EBD">
              <w:rPr>
                <w:rFonts w:ascii="Times New Roman" w:eastAsia="Batang" w:hAnsi="Times New Roman" w:cs="Times New Roman"/>
                <w:sz w:val="18"/>
                <w:szCs w:val="18"/>
                <w:lang w:eastAsia="ko-KR"/>
              </w:rPr>
              <w:t xml:space="preserve"> су показатељи којима се исказују одговарајуће битне карактеристике грађевинског производа (исказане нивоом, класом или описно);</w:t>
            </w:r>
          </w:p>
          <w:p w14:paraId="34CE1012" w14:textId="72AC72FB" w:rsidR="002B3B6B" w:rsidRPr="004C5EBD" w:rsidRDefault="002B3B6B" w:rsidP="006C6323">
            <w:pPr>
              <w:pStyle w:val="Propisi"/>
              <w:spacing w:before="240" w:after="0" w:line="240" w:lineRule="auto"/>
              <w:ind w:right="-23"/>
              <w:jc w:val="both"/>
              <w:outlineLvl w:val="3"/>
              <w:rPr>
                <w:sz w:val="18"/>
                <w:szCs w:val="18"/>
                <w:lang w:val="sr-Cyrl-CS"/>
              </w:rPr>
            </w:pPr>
          </w:p>
        </w:tc>
        <w:tc>
          <w:tcPr>
            <w:tcW w:w="458" w:type="pct"/>
            <w:shd w:val="clear" w:color="auto" w:fill="auto"/>
            <w:vAlign w:val="center"/>
          </w:tcPr>
          <w:p w14:paraId="604B527C" w14:textId="77777777" w:rsidR="00110F41" w:rsidRPr="00487209" w:rsidRDefault="00110F41" w:rsidP="006C6323">
            <w:pPr>
              <w:jc w:val="center"/>
              <w:rPr>
                <w:rFonts w:ascii="Times New Roman" w:hAnsi="Times New Roman" w:cs="Times New Roman"/>
                <w:sz w:val="18"/>
                <w:szCs w:val="18"/>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44A857FB" w14:textId="77777777" w:rsidR="00110F41" w:rsidRPr="00487209" w:rsidRDefault="00110F4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09441878" w14:textId="77777777" w:rsidR="00110F41" w:rsidRPr="00487209" w:rsidRDefault="00110F41" w:rsidP="006C6323">
            <w:pPr>
              <w:spacing w:before="120" w:after="120"/>
              <w:jc w:val="center"/>
              <w:rPr>
                <w:rFonts w:ascii="Times New Roman" w:hAnsi="Times New Roman" w:cs="Times New Roman"/>
                <w:sz w:val="18"/>
                <w:szCs w:val="18"/>
                <w:lang w:val="ru-RU"/>
              </w:rPr>
            </w:pPr>
          </w:p>
        </w:tc>
      </w:tr>
      <w:tr w:rsidR="00337554" w:rsidRPr="00487209" w14:paraId="0761B950" w14:textId="77777777" w:rsidTr="007D5144">
        <w:trPr>
          <w:trHeight w:val="1970"/>
          <w:jc w:val="center"/>
        </w:trPr>
        <w:tc>
          <w:tcPr>
            <w:tcW w:w="435" w:type="pct"/>
            <w:shd w:val="clear" w:color="auto" w:fill="auto"/>
            <w:vAlign w:val="center"/>
          </w:tcPr>
          <w:p w14:paraId="79B6B42E" w14:textId="77777777" w:rsidR="00110F41" w:rsidRPr="00487209" w:rsidRDefault="00110F4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2.6.</w:t>
            </w:r>
          </w:p>
        </w:tc>
        <w:tc>
          <w:tcPr>
            <w:tcW w:w="1369" w:type="pct"/>
            <w:gridSpan w:val="2"/>
            <w:shd w:val="clear" w:color="auto" w:fill="auto"/>
            <w:vAlign w:val="center"/>
          </w:tcPr>
          <w:p w14:paraId="712B3727" w14:textId="77777777" w:rsidR="00110F41" w:rsidRPr="00487209" w:rsidRDefault="00110F41" w:rsidP="006C6323">
            <w:pPr>
              <w:jc w:val="both"/>
              <w:rPr>
                <w:rFonts w:ascii="Times New Roman" w:hAnsi="Times New Roman" w:cs="Times New Roman"/>
                <w:sz w:val="18"/>
                <w:szCs w:val="18"/>
              </w:rPr>
            </w:pPr>
            <w:r w:rsidRPr="00487209">
              <w:rPr>
                <w:rFonts w:ascii="Times New Roman" w:hAnsi="Times New Roman" w:cs="Times New Roman"/>
                <w:sz w:val="18"/>
                <w:szCs w:val="18"/>
              </w:rPr>
              <w:t>‘level’ means the result of the assessment of the performance of a construction product in relation to its essential characteristics, expressed as a numerical value;</w:t>
            </w:r>
          </w:p>
        </w:tc>
        <w:tc>
          <w:tcPr>
            <w:tcW w:w="429" w:type="pct"/>
            <w:shd w:val="clear" w:color="auto" w:fill="auto"/>
            <w:vAlign w:val="center"/>
          </w:tcPr>
          <w:p w14:paraId="21EFC97B"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07114655" w14:textId="6632D349" w:rsidR="00110F41" w:rsidRPr="00487209" w:rsidRDefault="00110F41" w:rsidP="00F9129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F91294">
              <w:rPr>
                <w:rFonts w:ascii="Times New Roman" w:hAnsi="Times New Roman" w:cs="Times New Roman"/>
                <w:sz w:val="18"/>
                <w:szCs w:val="18"/>
              </w:rPr>
              <w:t>5</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6EE85BC0" w14:textId="2D87A9F3" w:rsidR="002B3B6B" w:rsidRPr="00487209" w:rsidRDefault="00C608DE" w:rsidP="006C6323">
            <w:pPr>
              <w:pStyle w:val="Propisi"/>
              <w:spacing w:before="240" w:after="0" w:line="240" w:lineRule="auto"/>
              <w:ind w:right="-23"/>
              <w:jc w:val="both"/>
              <w:outlineLvl w:val="3"/>
              <w:rPr>
                <w:sz w:val="18"/>
                <w:szCs w:val="18"/>
                <w:lang w:val="sr-Cyrl-CS"/>
              </w:rPr>
            </w:pPr>
            <w:r w:rsidRPr="00487209">
              <w:rPr>
                <w:i/>
                <w:sz w:val="18"/>
                <w:szCs w:val="18"/>
                <w:lang w:val="sr-Cyrl-CS"/>
              </w:rPr>
              <w:t>н</w:t>
            </w:r>
            <w:r w:rsidR="00110F41" w:rsidRPr="00487209">
              <w:rPr>
                <w:i/>
                <w:sz w:val="18"/>
                <w:szCs w:val="18"/>
                <w:lang w:val="sr-Cyrl-CS"/>
              </w:rPr>
              <w:t>иво</w:t>
            </w:r>
            <w:r w:rsidRPr="00487209">
              <w:rPr>
                <w:sz w:val="18"/>
                <w:szCs w:val="18"/>
                <w:lang w:val="sr-Cyrl-CS"/>
              </w:rPr>
              <w:t xml:space="preserve"> </w:t>
            </w:r>
            <w:r w:rsidR="00110F41" w:rsidRPr="00487209">
              <w:rPr>
                <w:sz w:val="18"/>
                <w:szCs w:val="18"/>
                <w:lang w:val="sr-Cyrl-CS"/>
              </w:rPr>
              <w:t>је резултат оцењивања перформансе грађевинског производа у вези са његовим битним карактеристикама исказан бројчаном  вредношћу;</w:t>
            </w:r>
          </w:p>
          <w:p w14:paraId="6314BFAC" w14:textId="77777777" w:rsidR="00110F41" w:rsidRPr="00487209" w:rsidRDefault="00110F41" w:rsidP="006C6323">
            <w:pPr>
              <w:jc w:val="both"/>
              <w:rPr>
                <w:rFonts w:ascii="Times New Roman" w:hAnsi="Times New Roman" w:cs="Times New Roman"/>
                <w:sz w:val="18"/>
                <w:szCs w:val="18"/>
                <w:lang w:val="sr-Cyrl-CS"/>
              </w:rPr>
            </w:pPr>
          </w:p>
        </w:tc>
        <w:tc>
          <w:tcPr>
            <w:tcW w:w="458" w:type="pct"/>
            <w:shd w:val="clear" w:color="auto" w:fill="auto"/>
            <w:vAlign w:val="center"/>
          </w:tcPr>
          <w:p w14:paraId="2E0A0B1E" w14:textId="77777777" w:rsidR="00110F41" w:rsidRPr="00487209" w:rsidRDefault="00110F41" w:rsidP="006C6323">
            <w:pPr>
              <w:jc w:val="center"/>
              <w:rPr>
                <w:rFonts w:ascii="Times New Roman" w:hAnsi="Times New Roman" w:cs="Times New Roman"/>
                <w:sz w:val="18"/>
                <w:szCs w:val="18"/>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52594B60" w14:textId="77777777" w:rsidR="00110F41" w:rsidRPr="00487209" w:rsidRDefault="00110F4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46AD74AC" w14:textId="77777777" w:rsidR="00110F41" w:rsidRPr="00487209" w:rsidRDefault="00110F41" w:rsidP="006C6323">
            <w:pPr>
              <w:spacing w:before="120" w:after="120"/>
              <w:jc w:val="center"/>
              <w:rPr>
                <w:rFonts w:ascii="Times New Roman" w:hAnsi="Times New Roman" w:cs="Times New Roman"/>
                <w:sz w:val="18"/>
                <w:szCs w:val="18"/>
                <w:lang w:val="ru-RU"/>
              </w:rPr>
            </w:pPr>
          </w:p>
        </w:tc>
      </w:tr>
      <w:tr w:rsidR="00337554" w:rsidRPr="00487209" w14:paraId="1B81DE20" w14:textId="77777777" w:rsidTr="007D5144">
        <w:trPr>
          <w:trHeight w:val="1970"/>
          <w:jc w:val="center"/>
        </w:trPr>
        <w:tc>
          <w:tcPr>
            <w:tcW w:w="435" w:type="pct"/>
            <w:shd w:val="clear" w:color="auto" w:fill="auto"/>
            <w:vAlign w:val="center"/>
          </w:tcPr>
          <w:p w14:paraId="4B0EE8D6"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2.7.</w:t>
            </w:r>
          </w:p>
        </w:tc>
        <w:tc>
          <w:tcPr>
            <w:tcW w:w="1369" w:type="pct"/>
            <w:gridSpan w:val="2"/>
            <w:shd w:val="clear" w:color="auto" w:fill="auto"/>
            <w:vAlign w:val="center"/>
          </w:tcPr>
          <w:p w14:paraId="16072B1E" w14:textId="77777777" w:rsidR="00425B2E" w:rsidRPr="00487209" w:rsidRDefault="002B170D" w:rsidP="006C6323">
            <w:pPr>
              <w:jc w:val="both"/>
              <w:rPr>
                <w:rFonts w:ascii="Times New Roman" w:hAnsi="Times New Roman" w:cs="Times New Roman"/>
                <w:sz w:val="18"/>
                <w:szCs w:val="18"/>
              </w:rPr>
            </w:pPr>
            <w:r w:rsidRPr="00487209">
              <w:rPr>
                <w:rFonts w:ascii="Times New Roman" w:hAnsi="Times New Roman" w:cs="Times New Roman"/>
                <w:sz w:val="18"/>
                <w:szCs w:val="18"/>
              </w:rPr>
              <w:t>‘class’ means a range of levels, delimited by a minimum and a maximum value, of performance of a construction product;</w:t>
            </w:r>
          </w:p>
        </w:tc>
        <w:tc>
          <w:tcPr>
            <w:tcW w:w="429" w:type="pct"/>
            <w:shd w:val="clear" w:color="auto" w:fill="auto"/>
            <w:vAlign w:val="center"/>
          </w:tcPr>
          <w:p w14:paraId="2C0DDB6B"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2AA75038" w14:textId="14E85681" w:rsidR="00425B2E" w:rsidRPr="00487209" w:rsidRDefault="00055E00" w:rsidP="00F9129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F91294">
              <w:rPr>
                <w:rFonts w:ascii="Times New Roman" w:hAnsi="Times New Roman" w:cs="Times New Roman"/>
                <w:sz w:val="18"/>
                <w:szCs w:val="18"/>
              </w:rPr>
              <w:t>6</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4A174DA5" w14:textId="488F9DBA" w:rsidR="00425B2E" w:rsidRPr="00487209" w:rsidRDefault="00055E00" w:rsidP="006C6323">
            <w:pPr>
              <w:pStyle w:val="Propisi"/>
              <w:spacing w:before="240" w:after="0" w:line="240" w:lineRule="auto"/>
              <w:ind w:right="-23"/>
              <w:jc w:val="both"/>
              <w:outlineLvl w:val="3"/>
              <w:rPr>
                <w:b/>
                <w:sz w:val="18"/>
                <w:szCs w:val="18"/>
                <w:lang w:val="sr-Cyrl-CS"/>
              </w:rPr>
            </w:pPr>
            <w:r w:rsidRPr="00487209">
              <w:rPr>
                <w:i/>
                <w:sz w:val="18"/>
                <w:szCs w:val="18"/>
                <w:lang w:val="sr-Cyrl-CS"/>
              </w:rPr>
              <w:t>класа</w:t>
            </w:r>
            <w:r w:rsidR="00C608DE" w:rsidRPr="00487209">
              <w:rPr>
                <w:sz w:val="18"/>
                <w:szCs w:val="18"/>
                <w:lang w:val="sr-Cyrl-CS"/>
              </w:rPr>
              <w:t xml:space="preserve"> </w:t>
            </w:r>
            <w:r w:rsidRPr="00487209">
              <w:rPr>
                <w:sz w:val="18"/>
                <w:szCs w:val="18"/>
                <w:lang w:val="sr-Cyrl-CS"/>
              </w:rPr>
              <w:t>је опсег нивоа перформансе грађевинског производа, од минималне до максималне вредности;</w:t>
            </w:r>
          </w:p>
        </w:tc>
        <w:tc>
          <w:tcPr>
            <w:tcW w:w="458" w:type="pct"/>
            <w:shd w:val="clear" w:color="auto" w:fill="auto"/>
            <w:vAlign w:val="center"/>
          </w:tcPr>
          <w:p w14:paraId="7B0A99AA" w14:textId="77777777" w:rsidR="00425B2E" w:rsidRPr="00487209" w:rsidRDefault="00055E00"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60B61015" w14:textId="77777777" w:rsidR="00425B2E" w:rsidRPr="00487209" w:rsidRDefault="00425B2E"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4393E340"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466614D4" w14:textId="77777777" w:rsidTr="007D5144">
        <w:trPr>
          <w:trHeight w:val="1970"/>
          <w:jc w:val="center"/>
        </w:trPr>
        <w:tc>
          <w:tcPr>
            <w:tcW w:w="435" w:type="pct"/>
            <w:shd w:val="clear" w:color="auto" w:fill="auto"/>
            <w:vAlign w:val="center"/>
          </w:tcPr>
          <w:p w14:paraId="60333D3A"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2.8.</w:t>
            </w:r>
          </w:p>
        </w:tc>
        <w:tc>
          <w:tcPr>
            <w:tcW w:w="1369" w:type="pct"/>
            <w:gridSpan w:val="2"/>
            <w:shd w:val="clear" w:color="auto" w:fill="auto"/>
            <w:vAlign w:val="center"/>
          </w:tcPr>
          <w:p w14:paraId="28C0BE7A" w14:textId="77777777" w:rsidR="00425B2E" w:rsidRPr="00487209" w:rsidRDefault="002B170D" w:rsidP="006C6323">
            <w:pPr>
              <w:jc w:val="both"/>
              <w:rPr>
                <w:rFonts w:ascii="Times New Roman" w:hAnsi="Times New Roman" w:cs="Times New Roman"/>
                <w:sz w:val="18"/>
                <w:szCs w:val="18"/>
              </w:rPr>
            </w:pPr>
            <w:r w:rsidRPr="00487209">
              <w:rPr>
                <w:rFonts w:ascii="Times New Roman" w:hAnsi="Times New Roman" w:cs="Times New Roman"/>
                <w:sz w:val="18"/>
                <w:szCs w:val="18"/>
              </w:rPr>
              <w:t>‘threshold level’ means a minimum or maximum performance level of an essential characteristic of a construction product;</w:t>
            </w:r>
          </w:p>
        </w:tc>
        <w:tc>
          <w:tcPr>
            <w:tcW w:w="429" w:type="pct"/>
            <w:shd w:val="clear" w:color="auto" w:fill="auto"/>
            <w:vAlign w:val="center"/>
          </w:tcPr>
          <w:p w14:paraId="05581116"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1E942667" w14:textId="300484DF" w:rsidR="00425B2E" w:rsidRPr="00487209" w:rsidRDefault="009368FB" w:rsidP="00F9129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F91294">
              <w:rPr>
                <w:rFonts w:ascii="Times New Roman" w:hAnsi="Times New Roman" w:cs="Times New Roman"/>
                <w:sz w:val="18"/>
                <w:szCs w:val="18"/>
              </w:rPr>
              <w:t>7</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3491F3BE" w14:textId="77777777" w:rsidR="00425B2E" w:rsidRPr="00487209" w:rsidRDefault="009368FB" w:rsidP="006C6323">
            <w:pPr>
              <w:jc w:val="both"/>
              <w:rPr>
                <w:rFonts w:ascii="Times New Roman" w:hAnsi="Times New Roman" w:cs="Times New Roman"/>
                <w:sz w:val="18"/>
                <w:szCs w:val="18"/>
                <w:lang w:val="sr-Cyrl-CS"/>
              </w:rPr>
            </w:pPr>
            <w:r w:rsidRPr="00487209">
              <w:rPr>
                <w:rFonts w:ascii="Times New Roman" w:hAnsi="Times New Roman" w:cs="Times New Roman"/>
                <w:i/>
                <w:sz w:val="18"/>
                <w:szCs w:val="18"/>
                <w:lang w:val="sr-Cyrl-CS"/>
              </w:rPr>
              <w:t>гранични ниво</w:t>
            </w:r>
            <w:r w:rsidRPr="00487209">
              <w:rPr>
                <w:rFonts w:ascii="Times New Roman" w:hAnsi="Times New Roman" w:cs="Times New Roman"/>
                <w:sz w:val="18"/>
                <w:szCs w:val="18"/>
                <w:lang w:val="sr-Cyrl-CS"/>
              </w:rPr>
              <w:t xml:space="preserve"> је минимална вредност перформансе грађевинског производа која мора да се постигне или максимална вредност која не сме да се прекорачи;</w:t>
            </w:r>
          </w:p>
        </w:tc>
        <w:tc>
          <w:tcPr>
            <w:tcW w:w="458" w:type="pct"/>
            <w:shd w:val="clear" w:color="auto" w:fill="auto"/>
            <w:vAlign w:val="center"/>
          </w:tcPr>
          <w:p w14:paraId="5E408DF3" w14:textId="77777777" w:rsidR="00425B2E" w:rsidRPr="00487209" w:rsidRDefault="009368FB"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6D927984" w14:textId="77777777" w:rsidR="00425B2E" w:rsidRPr="00487209" w:rsidRDefault="00425B2E" w:rsidP="006C6323">
            <w:pPr>
              <w:spacing w:before="120" w:after="120"/>
              <w:jc w:val="both"/>
              <w:rPr>
                <w:rFonts w:ascii="Times New Roman" w:hAnsi="Times New Roman" w:cs="Times New Roman"/>
                <w:sz w:val="18"/>
                <w:szCs w:val="18"/>
                <w:lang w:val="ru-RU"/>
              </w:rPr>
            </w:pPr>
          </w:p>
        </w:tc>
        <w:tc>
          <w:tcPr>
            <w:tcW w:w="480" w:type="pct"/>
            <w:shd w:val="clear" w:color="auto" w:fill="auto"/>
            <w:vAlign w:val="center"/>
          </w:tcPr>
          <w:p w14:paraId="274CBFC8" w14:textId="77777777" w:rsidR="00425B2E" w:rsidRPr="00487209" w:rsidRDefault="00425B2E" w:rsidP="006C6323">
            <w:pPr>
              <w:spacing w:before="120" w:after="120"/>
              <w:jc w:val="center"/>
              <w:rPr>
                <w:rFonts w:ascii="Times New Roman" w:hAnsi="Times New Roman" w:cs="Times New Roman"/>
                <w:sz w:val="18"/>
                <w:szCs w:val="18"/>
                <w:lang w:val="sr-Cyrl-CS"/>
              </w:rPr>
            </w:pPr>
          </w:p>
        </w:tc>
      </w:tr>
      <w:tr w:rsidR="00337554" w:rsidRPr="00487209" w14:paraId="0F4D260D" w14:textId="77777777" w:rsidTr="007D5144">
        <w:trPr>
          <w:trHeight w:val="1970"/>
          <w:jc w:val="center"/>
        </w:trPr>
        <w:tc>
          <w:tcPr>
            <w:tcW w:w="435" w:type="pct"/>
            <w:shd w:val="clear" w:color="auto" w:fill="auto"/>
            <w:vAlign w:val="center"/>
          </w:tcPr>
          <w:p w14:paraId="5539D332"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2.9.</w:t>
            </w:r>
          </w:p>
        </w:tc>
        <w:tc>
          <w:tcPr>
            <w:tcW w:w="1369" w:type="pct"/>
            <w:gridSpan w:val="2"/>
            <w:shd w:val="clear" w:color="auto" w:fill="auto"/>
            <w:vAlign w:val="center"/>
          </w:tcPr>
          <w:tbl>
            <w:tblPr>
              <w:tblW w:w="5000" w:type="pct"/>
              <w:tblCellSpacing w:w="0" w:type="dxa"/>
              <w:tblCellMar>
                <w:left w:w="0" w:type="dxa"/>
                <w:right w:w="0" w:type="dxa"/>
              </w:tblCellMar>
              <w:tblLook w:val="04A0" w:firstRow="1" w:lastRow="0" w:firstColumn="1" w:lastColumn="0" w:noHBand="0" w:noVBand="1"/>
            </w:tblPr>
            <w:tblGrid>
              <w:gridCol w:w="6"/>
              <w:gridCol w:w="3385"/>
            </w:tblGrid>
            <w:tr w:rsidR="00EC7E34" w:rsidRPr="00487209" w14:paraId="46BD4780" w14:textId="77777777" w:rsidTr="00EE4D88">
              <w:trPr>
                <w:tblCellSpacing w:w="0" w:type="dxa"/>
              </w:trPr>
              <w:tc>
                <w:tcPr>
                  <w:tcW w:w="0" w:type="auto"/>
                  <w:hideMark/>
                </w:tcPr>
                <w:p w14:paraId="2667F843" w14:textId="77777777" w:rsidR="00425B2E" w:rsidRPr="00487209" w:rsidRDefault="00425B2E" w:rsidP="006C6323">
                  <w:pPr>
                    <w:jc w:val="both"/>
                    <w:rPr>
                      <w:rFonts w:ascii="Times New Roman" w:hAnsi="Times New Roman" w:cs="Times New Roman"/>
                      <w:sz w:val="18"/>
                      <w:szCs w:val="18"/>
                      <w:lang w:val="ru-RU"/>
                    </w:rPr>
                  </w:pPr>
                </w:p>
              </w:tc>
              <w:tc>
                <w:tcPr>
                  <w:tcW w:w="0" w:type="auto"/>
                  <w:hideMark/>
                </w:tcPr>
                <w:p w14:paraId="7DABE6AC" w14:textId="77777777" w:rsidR="00425B2E" w:rsidRPr="00487209" w:rsidRDefault="002B170D"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lang w:val="ru-RU"/>
                    </w:rPr>
                    <w:t>‘</w:t>
                  </w:r>
                  <w:r w:rsidRPr="00487209">
                    <w:rPr>
                      <w:rFonts w:ascii="Times New Roman" w:hAnsi="Times New Roman" w:cs="Times New Roman"/>
                      <w:sz w:val="18"/>
                      <w:szCs w:val="18"/>
                    </w:rPr>
                    <w:t>product</w:t>
                  </w:r>
                  <w:r w:rsidRPr="00487209">
                    <w:rPr>
                      <w:rFonts w:ascii="Times New Roman" w:hAnsi="Times New Roman" w:cs="Times New Roman"/>
                      <w:sz w:val="18"/>
                      <w:szCs w:val="18"/>
                      <w:lang w:val="ru-RU"/>
                    </w:rPr>
                    <w:t>-</w:t>
                  </w:r>
                  <w:r w:rsidRPr="00487209">
                    <w:rPr>
                      <w:rFonts w:ascii="Times New Roman" w:hAnsi="Times New Roman" w:cs="Times New Roman"/>
                      <w:sz w:val="18"/>
                      <w:szCs w:val="18"/>
                    </w:rPr>
                    <w:t>type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means</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set</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of</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representative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performance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levels</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or</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classes</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of</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a</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construction</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product</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in</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relation</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to</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its essential characteristics, produced using a given combination of raw materials or other elements in a specific production process;</w:t>
                  </w:r>
                </w:p>
              </w:tc>
            </w:tr>
          </w:tbl>
          <w:p w14:paraId="666CCC72" w14:textId="77777777" w:rsidR="00425B2E" w:rsidRPr="00487209" w:rsidRDefault="00425B2E" w:rsidP="006C6323">
            <w:pPr>
              <w:jc w:val="both"/>
              <w:rPr>
                <w:rFonts w:ascii="Times New Roman" w:hAnsi="Times New Roman" w:cs="Times New Roman"/>
                <w:sz w:val="18"/>
                <w:szCs w:val="18"/>
              </w:rPr>
            </w:pPr>
          </w:p>
        </w:tc>
        <w:tc>
          <w:tcPr>
            <w:tcW w:w="429" w:type="pct"/>
            <w:shd w:val="clear" w:color="auto" w:fill="auto"/>
            <w:vAlign w:val="center"/>
          </w:tcPr>
          <w:p w14:paraId="76EC0E2C"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58E8A93D" w14:textId="0DC4AF09" w:rsidR="00425B2E" w:rsidRPr="00487209" w:rsidRDefault="006811F7" w:rsidP="00F9129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F91294">
              <w:rPr>
                <w:rFonts w:ascii="Times New Roman" w:hAnsi="Times New Roman" w:cs="Times New Roman"/>
                <w:sz w:val="18"/>
                <w:szCs w:val="18"/>
              </w:rPr>
              <w:t>8</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70B181B8" w14:textId="77777777" w:rsidR="00F54B8B" w:rsidRPr="00487209" w:rsidRDefault="00F54B8B" w:rsidP="006C6323">
            <w:pPr>
              <w:jc w:val="both"/>
              <w:rPr>
                <w:rFonts w:ascii="Times New Roman" w:hAnsi="Times New Roman" w:cs="Times New Roman"/>
                <w:i/>
                <w:sz w:val="18"/>
                <w:szCs w:val="18"/>
                <w:lang w:val="sr-Cyrl-CS"/>
              </w:rPr>
            </w:pPr>
          </w:p>
          <w:p w14:paraId="64CA53A5" w14:textId="77777777" w:rsidR="006811F7" w:rsidRPr="00487209" w:rsidRDefault="006811F7" w:rsidP="006C6323">
            <w:pPr>
              <w:jc w:val="both"/>
              <w:rPr>
                <w:rFonts w:ascii="Times New Roman" w:hAnsi="Times New Roman" w:cs="Times New Roman"/>
                <w:sz w:val="18"/>
                <w:szCs w:val="18"/>
                <w:lang w:val="sr-Cyrl-CS"/>
              </w:rPr>
            </w:pPr>
            <w:r w:rsidRPr="00487209">
              <w:rPr>
                <w:rFonts w:ascii="Times New Roman" w:hAnsi="Times New Roman" w:cs="Times New Roman"/>
                <w:i/>
                <w:sz w:val="18"/>
                <w:szCs w:val="18"/>
                <w:lang w:val="sr-Cyrl-CS"/>
              </w:rPr>
              <w:t>тип производа</w:t>
            </w:r>
            <w:r w:rsidRPr="00487209">
              <w:rPr>
                <w:rFonts w:ascii="Times New Roman" w:hAnsi="Times New Roman" w:cs="Times New Roman"/>
                <w:sz w:val="18"/>
                <w:szCs w:val="18"/>
                <w:lang w:val="sr-Cyrl-CS"/>
              </w:rPr>
              <w:t xml:space="preserve"> је скуп репрезентативних нивоа или класа перформанси грађевинског производа који се односи на његове битне карактеристике, а који је произведен коришћењем дате комбинације сировина или других елемената у одређеном производном процесу;</w:t>
            </w:r>
          </w:p>
          <w:p w14:paraId="40F7DF0C" w14:textId="77777777" w:rsidR="002B3B6B" w:rsidRPr="00487209" w:rsidRDefault="002B3B6B" w:rsidP="006C6323">
            <w:pPr>
              <w:jc w:val="both"/>
              <w:rPr>
                <w:rFonts w:ascii="Times New Roman" w:hAnsi="Times New Roman" w:cs="Times New Roman"/>
                <w:b/>
                <w:sz w:val="18"/>
                <w:szCs w:val="18"/>
                <w:lang w:val="sr-Cyrl-CS"/>
              </w:rPr>
            </w:pPr>
          </w:p>
          <w:p w14:paraId="00349DBD" w14:textId="77777777" w:rsidR="00425B2E" w:rsidRPr="00487209" w:rsidRDefault="00425B2E" w:rsidP="006C6323">
            <w:pPr>
              <w:jc w:val="both"/>
              <w:rPr>
                <w:rFonts w:ascii="Times New Roman" w:hAnsi="Times New Roman" w:cs="Times New Roman"/>
                <w:sz w:val="18"/>
                <w:szCs w:val="18"/>
                <w:lang w:val="sr-Cyrl-CS"/>
              </w:rPr>
            </w:pPr>
          </w:p>
        </w:tc>
        <w:tc>
          <w:tcPr>
            <w:tcW w:w="458" w:type="pct"/>
            <w:shd w:val="clear" w:color="auto" w:fill="auto"/>
            <w:vAlign w:val="center"/>
          </w:tcPr>
          <w:p w14:paraId="7D940EFC" w14:textId="77777777" w:rsidR="00425B2E" w:rsidRPr="00487209" w:rsidRDefault="00856C2D"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340FC3A6" w14:textId="77777777" w:rsidR="00425B2E" w:rsidRPr="00487209" w:rsidRDefault="00425B2E"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BD180F5"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2B96C6BE" w14:textId="77777777" w:rsidTr="007D5144">
        <w:trPr>
          <w:trHeight w:val="1970"/>
          <w:jc w:val="center"/>
        </w:trPr>
        <w:tc>
          <w:tcPr>
            <w:tcW w:w="435" w:type="pct"/>
            <w:shd w:val="clear" w:color="auto" w:fill="auto"/>
            <w:vAlign w:val="center"/>
          </w:tcPr>
          <w:p w14:paraId="1DB97B8B"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2.10.</w:t>
            </w:r>
          </w:p>
        </w:tc>
        <w:tc>
          <w:tcPr>
            <w:tcW w:w="1369" w:type="pct"/>
            <w:gridSpan w:val="2"/>
            <w:shd w:val="clear" w:color="auto" w:fill="auto"/>
            <w:vAlign w:val="center"/>
          </w:tcPr>
          <w:p w14:paraId="6FC54D86" w14:textId="77777777" w:rsidR="00425B2E" w:rsidRPr="00487209" w:rsidRDefault="002B170D" w:rsidP="006C6323">
            <w:pPr>
              <w:jc w:val="both"/>
              <w:rPr>
                <w:rFonts w:ascii="Times New Roman" w:hAnsi="Times New Roman" w:cs="Times New Roman"/>
                <w:sz w:val="18"/>
                <w:szCs w:val="18"/>
              </w:rPr>
            </w:pPr>
            <w:r w:rsidRPr="00487209">
              <w:rPr>
                <w:rFonts w:ascii="Times New Roman" w:hAnsi="Times New Roman" w:cs="Times New Roman"/>
                <w:sz w:val="18"/>
                <w:szCs w:val="18"/>
              </w:rPr>
              <w:t>‘harmonised technical specifications’ means harmonised standards and European Assessment Documents;</w:t>
            </w:r>
          </w:p>
        </w:tc>
        <w:tc>
          <w:tcPr>
            <w:tcW w:w="429" w:type="pct"/>
            <w:shd w:val="clear" w:color="auto" w:fill="auto"/>
            <w:vAlign w:val="center"/>
          </w:tcPr>
          <w:p w14:paraId="7F3BF933"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3AD40C8B" w14:textId="44C01DA7" w:rsidR="00425B2E" w:rsidRPr="00487209" w:rsidRDefault="00EE1CCB" w:rsidP="00F9129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F91294">
              <w:rPr>
                <w:rFonts w:ascii="Times New Roman" w:hAnsi="Times New Roman" w:cs="Times New Roman"/>
                <w:sz w:val="18"/>
                <w:szCs w:val="18"/>
              </w:rPr>
              <w:t>10</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73F20370" w14:textId="77777777" w:rsidR="00425B2E" w:rsidRPr="00487209" w:rsidRDefault="007C6F44" w:rsidP="006C6323">
            <w:pPr>
              <w:jc w:val="both"/>
              <w:rPr>
                <w:rFonts w:ascii="Times New Roman" w:hAnsi="Times New Roman" w:cs="Times New Roman"/>
                <w:i/>
                <w:sz w:val="18"/>
                <w:szCs w:val="18"/>
                <w:lang w:val="sr-Cyrl-CS"/>
              </w:rPr>
            </w:pPr>
            <w:r w:rsidRPr="00487209">
              <w:rPr>
                <w:rFonts w:ascii="Times New Roman" w:hAnsi="Times New Roman" w:cs="Times New Roman"/>
                <w:i/>
                <w:sz w:val="18"/>
                <w:szCs w:val="18"/>
                <w:lang w:val="sr-Cyrl-CS"/>
              </w:rPr>
              <w:t>хармонизована техничка спецификација</w:t>
            </w:r>
            <w:r w:rsidR="00C608DE"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lang w:val="sr-Cyrl-CS"/>
              </w:rPr>
              <w:t>је хармонизовани стандард и европски документ за оцењивање;</w:t>
            </w:r>
          </w:p>
        </w:tc>
        <w:tc>
          <w:tcPr>
            <w:tcW w:w="458" w:type="pct"/>
            <w:shd w:val="clear" w:color="auto" w:fill="auto"/>
            <w:vAlign w:val="center"/>
          </w:tcPr>
          <w:p w14:paraId="267AE2D0" w14:textId="77777777" w:rsidR="00425B2E" w:rsidRPr="00487209" w:rsidRDefault="00EE1CCB"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535C1A9B" w14:textId="77777777" w:rsidR="00425B2E" w:rsidRPr="00487209" w:rsidRDefault="00425B2E"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0F758C5F" w14:textId="77777777" w:rsidR="00425B2E" w:rsidRPr="00487209" w:rsidRDefault="00425B2E" w:rsidP="006C6323">
            <w:pPr>
              <w:spacing w:before="120" w:after="120"/>
              <w:jc w:val="center"/>
              <w:rPr>
                <w:rFonts w:ascii="Times New Roman" w:hAnsi="Times New Roman" w:cs="Times New Roman"/>
                <w:sz w:val="18"/>
                <w:szCs w:val="18"/>
                <w:lang w:val="sr-Cyrl-CS"/>
              </w:rPr>
            </w:pPr>
          </w:p>
        </w:tc>
      </w:tr>
      <w:tr w:rsidR="00337554" w:rsidRPr="00487209" w14:paraId="3E47D378" w14:textId="77777777" w:rsidTr="007D5144">
        <w:trPr>
          <w:trHeight w:val="560"/>
          <w:jc w:val="center"/>
        </w:trPr>
        <w:tc>
          <w:tcPr>
            <w:tcW w:w="435" w:type="pct"/>
            <w:shd w:val="clear" w:color="auto" w:fill="auto"/>
            <w:vAlign w:val="center"/>
          </w:tcPr>
          <w:p w14:paraId="525343A2"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2.11.</w:t>
            </w:r>
          </w:p>
        </w:tc>
        <w:tc>
          <w:tcPr>
            <w:tcW w:w="1369" w:type="pct"/>
            <w:gridSpan w:val="2"/>
            <w:shd w:val="clear" w:color="auto" w:fill="auto"/>
            <w:vAlign w:val="center"/>
          </w:tcPr>
          <w:p w14:paraId="5F568B2C" w14:textId="77777777" w:rsidR="00425B2E" w:rsidRPr="00487209" w:rsidRDefault="002B170D" w:rsidP="006C6323">
            <w:pPr>
              <w:jc w:val="both"/>
              <w:rPr>
                <w:rFonts w:ascii="Times New Roman" w:hAnsi="Times New Roman" w:cs="Times New Roman"/>
                <w:sz w:val="18"/>
                <w:szCs w:val="18"/>
              </w:rPr>
            </w:pPr>
            <w:r w:rsidRPr="00487209">
              <w:rPr>
                <w:rFonts w:ascii="Times New Roman" w:hAnsi="Times New Roman" w:cs="Times New Roman"/>
                <w:sz w:val="18"/>
                <w:szCs w:val="18"/>
              </w:rPr>
              <w:t>‘harmonised standard’ means a standard adopted by one of the European standardisation bodies listed in Annex I to Directive 98/34/EC, on the basis of a request issued by the Commission, in accordance with Article 6 of that Directive;</w:t>
            </w:r>
          </w:p>
        </w:tc>
        <w:tc>
          <w:tcPr>
            <w:tcW w:w="429" w:type="pct"/>
            <w:shd w:val="clear" w:color="auto" w:fill="auto"/>
            <w:vAlign w:val="center"/>
          </w:tcPr>
          <w:p w14:paraId="1625F15A"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48A8BF6B" w14:textId="43449CEA" w:rsidR="00425B2E" w:rsidRPr="00487209" w:rsidRDefault="006B3173" w:rsidP="00F91294">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2.1.</w:t>
            </w:r>
            <w:r w:rsidR="00F91294">
              <w:rPr>
                <w:rFonts w:ascii="Times New Roman" w:hAnsi="Times New Roman" w:cs="Times New Roman"/>
                <w:sz w:val="18"/>
                <w:szCs w:val="18"/>
              </w:rPr>
              <w:t>12</w:t>
            </w:r>
            <w:r w:rsidRPr="00487209">
              <w:rPr>
                <w:rFonts w:ascii="Times New Roman" w:hAnsi="Times New Roman" w:cs="Times New Roman"/>
                <w:sz w:val="18"/>
                <w:szCs w:val="18"/>
                <w:lang w:val="sr-Cyrl-CS"/>
              </w:rPr>
              <w:t>)</w:t>
            </w:r>
          </w:p>
        </w:tc>
        <w:tc>
          <w:tcPr>
            <w:tcW w:w="1231" w:type="pct"/>
            <w:gridSpan w:val="2"/>
            <w:shd w:val="clear" w:color="auto" w:fill="auto"/>
            <w:vAlign w:val="center"/>
          </w:tcPr>
          <w:p w14:paraId="0CC44EC8" w14:textId="77777777" w:rsidR="00425B2E" w:rsidRPr="00487209" w:rsidRDefault="00C608DE"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хармонизовани стандард </w:t>
            </w:r>
            <w:r w:rsidR="006B3173" w:rsidRPr="00487209">
              <w:rPr>
                <w:rFonts w:ascii="Times New Roman" w:hAnsi="Times New Roman" w:cs="Times New Roman"/>
                <w:sz w:val="18"/>
                <w:szCs w:val="18"/>
                <w:lang w:val="sr-Cyrl-CS"/>
              </w:rPr>
              <w:t>је европски стандард који је донет на основу захтева Европске комисије за примену у хармонизованом законодавству Европске уније;</w:t>
            </w:r>
          </w:p>
        </w:tc>
        <w:tc>
          <w:tcPr>
            <w:tcW w:w="458" w:type="pct"/>
            <w:shd w:val="clear" w:color="auto" w:fill="auto"/>
            <w:vAlign w:val="center"/>
          </w:tcPr>
          <w:p w14:paraId="620EF924" w14:textId="77777777" w:rsidR="00425B2E" w:rsidRPr="00487209" w:rsidRDefault="006B3173"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48633E02" w14:textId="3285600D" w:rsidR="002B3B6B" w:rsidRPr="00487209" w:rsidRDefault="008B6F40" w:rsidP="00036387">
            <w:pPr>
              <w:spacing w:before="120" w:after="120"/>
              <w:jc w:val="both"/>
              <w:rPr>
                <w:rFonts w:ascii="Times New Roman" w:hAnsi="Times New Roman" w:cs="Times New Roman"/>
                <w:bCs/>
                <w:sz w:val="18"/>
                <w:szCs w:val="18"/>
                <w:lang w:val="sr-Cyrl-CS"/>
              </w:rPr>
            </w:pPr>
            <w:bookmarkStart w:id="1" w:name="_Toc435710365"/>
            <w:r w:rsidRPr="00487209">
              <w:rPr>
                <w:rFonts w:ascii="Times New Roman" w:hAnsi="Times New Roman" w:cs="Times New Roman"/>
                <w:sz w:val="18"/>
                <w:szCs w:val="18"/>
                <w:lang w:val="ru-RU"/>
              </w:rPr>
              <w:t>Чл</w:t>
            </w:r>
            <w:r w:rsidR="00D34F05">
              <w:rPr>
                <w:rFonts w:ascii="Times New Roman" w:hAnsi="Times New Roman" w:cs="Times New Roman"/>
                <w:sz w:val="18"/>
                <w:szCs w:val="18"/>
                <w:lang w:val="ru-RU"/>
              </w:rPr>
              <w:t>ан</w:t>
            </w:r>
            <w:r w:rsidR="002F3889" w:rsidRPr="00487209">
              <w:rPr>
                <w:rFonts w:ascii="Times New Roman" w:hAnsi="Times New Roman" w:cs="Times New Roman"/>
                <w:sz w:val="18"/>
                <w:szCs w:val="18"/>
                <w:lang w:val="ru-RU"/>
              </w:rPr>
              <w:t xml:space="preserve"> 2.11.</w:t>
            </w:r>
            <w:r w:rsidR="002F3889" w:rsidRPr="00487209">
              <w:rPr>
                <w:rFonts w:ascii="Times New Roman" w:hAnsi="Times New Roman" w:cs="Times New Roman"/>
                <w:sz w:val="18"/>
                <w:szCs w:val="18"/>
                <w:lang w:val="sr-Cyrl-CS"/>
              </w:rPr>
              <w:t xml:space="preserve"> Уредбе 305/2011 (ЕУ) је у потпуности пренет</w:t>
            </w:r>
            <w:r w:rsidR="009179C8" w:rsidRPr="00487209">
              <w:rPr>
                <w:rFonts w:ascii="Times New Roman" w:hAnsi="Times New Roman" w:cs="Times New Roman"/>
                <w:sz w:val="18"/>
                <w:szCs w:val="18"/>
                <w:lang w:val="sr-Cyrl-CS"/>
              </w:rPr>
              <w:t xml:space="preserve"> </w:t>
            </w:r>
            <w:r w:rsidR="002F3889" w:rsidRPr="00487209">
              <w:rPr>
                <w:rFonts w:ascii="Times New Roman" w:hAnsi="Times New Roman" w:cs="Times New Roman"/>
                <w:sz w:val="18"/>
                <w:szCs w:val="18"/>
                <w:lang w:val="sr-Cyrl-CS"/>
              </w:rPr>
              <w:t xml:space="preserve"> </w:t>
            </w:r>
            <w:r w:rsidR="00D34F05">
              <w:rPr>
                <w:rFonts w:ascii="Times New Roman" w:hAnsi="Times New Roman" w:cs="Times New Roman"/>
                <w:sz w:val="18"/>
                <w:szCs w:val="18"/>
                <w:lang w:val="sr-Cyrl-CS"/>
              </w:rPr>
              <w:t>члан 2. став 1. тачка</w:t>
            </w:r>
            <w:r w:rsidR="0034270F" w:rsidRPr="00487209">
              <w:rPr>
                <w:rFonts w:ascii="Times New Roman" w:hAnsi="Times New Roman" w:cs="Times New Roman"/>
                <w:sz w:val="18"/>
                <w:szCs w:val="18"/>
                <w:lang w:val="sr-Cyrl-CS"/>
              </w:rPr>
              <w:t xml:space="preserve"> </w:t>
            </w:r>
            <w:r w:rsidR="00036387">
              <w:rPr>
                <w:rFonts w:ascii="Times New Roman" w:hAnsi="Times New Roman" w:cs="Times New Roman"/>
                <w:sz w:val="18"/>
                <w:szCs w:val="18"/>
                <w:lang w:val="sr-Cyrl-CS"/>
              </w:rPr>
              <w:t>12</w:t>
            </w:r>
            <w:r w:rsidR="0034270F"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2F3889" w:rsidRPr="00487209">
              <w:rPr>
                <w:rFonts w:ascii="Times New Roman" w:hAnsi="Times New Roman" w:cs="Times New Roman"/>
                <w:sz w:val="18"/>
                <w:szCs w:val="18"/>
                <w:lang w:val="sr-Cyrl-CS"/>
              </w:rPr>
              <w:t xml:space="preserve"> </w:t>
            </w:r>
            <w:r w:rsidR="009179C8" w:rsidRPr="00487209">
              <w:rPr>
                <w:rFonts w:ascii="Times New Roman" w:hAnsi="Times New Roman" w:cs="Times New Roman"/>
                <w:sz w:val="18"/>
                <w:szCs w:val="18"/>
                <w:lang w:val="sr-Cyrl-CS"/>
              </w:rPr>
              <w:t xml:space="preserve">који </w:t>
            </w:r>
            <w:r w:rsidR="002F3889" w:rsidRPr="00487209">
              <w:rPr>
                <w:rFonts w:ascii="Times New Roman" w:hAnsi="Times New Roman" w:cs="Times New Roman"/>
                <w:sz w:val="18"/>
                <w:szCs w:val="18"/>
                <w:lang w:val="sr-Cyrl-CS"/>
              </w:rPr>
              <w:t xml:space="preserve">утврђује </w:t>
            </w:r>
            <w:r w:rsidR="00D34F05">
              <w:rPr>
                <w:rFonts w:ascii="Times New Roman" w:hAnsi="Times New Roman" w:cs="Times New Roman"/>
                <w:sz w:val="18"/>
                <w:szCs w:val="18"/>
                <w:lang w:val="sr-Cyrl-CS"/>
              </w:rPr>
              <w:t xml:space="preserve">појам „хармонизовани стандардˮ </w:t>
            </w:r>
            <w:r w:rsidR="002F3889" w:rsidRPr="00487209">
              <w:rPr>
                <w:rFonts w:ascii="Times New Roman" w:hAnsi="Times New Roman" w:cs="Times New Roman"/>
                <w:sz w:val="18"/>
                <w:szCs w:val="18"/>
                <w:lang w:val="sr-Cyrl-CS"/>
              </w:rPr>
              <w:t>сагласно Закону о стандардизацији (</w:t>
            </w:r>
            <w:r w:rsidR="002F3889" w:rsidRPr="00487209">
              <w:rPr>
                <w:rFonts w:ascii="Times New Roman" w:hAnsi="Times New Roman" w:cs="Times New Roman"/>
                <w:bCs/>
                <w:sz w:val="18"/>
                <w:szCs w:val="18"/>
                <w:lang w:val="sr-Cyrl-CS"/>
              </w:rPr>
              <w:t>„Службени гласник РС”, бр. 36/09 и 46/15)</w:t>
            </w:r>
            <w:r w:rsidR="00EB0318" w:rsidRPr="00487209">
              <w:rPr>
                <w:rFonts w:ascii="Times New Roman" w:hAnsi="Times New Roman" w:cs="Times New Roman"/>
                <w:bCs/>
                <w:sz w:val="18"/>
                <w:szCs w:val="18"/>
                <w:lang w:val="sr-Cyrl-CS"/>
              </w:rPr>
              <w:t xml:space="preserve">, који је усклађен </w:t>
            </w:r>
            <w:r w:rsidR="00EB0318" w:rsidRPr="00487209">
              <w:rPr>
                <w:rFonts w:ascii="Times New Roman" w:hAnsi="Times New Roman" w:cs="Times New Roman"/>
                <w:bCs/>
                <w:sz w:val="18"/>
                <w:szCs w:val="18"/>
                <w:lang w:val="sr-Cyrl-CS"/>
              </w:rPr>
              <w:lastRenderedPageBreak/>
              <w:t>са Директивом 98/34/ЕЗ</w:t>
            </w:r>
            <w:r w:rsidR="002F3889" w:rsidRPr="00487209">
              <w:rPr>
                <w:rFonts w:ascii="Times New Roman" w:hAnsi="Times New Roman" w:cs="Times New Roman"/>
                <w:bCs/>
                <w:sz w:val="18"/>
                <w:szCs w:val="18"/>
                <w:lang w:val="sr-Cyrl-CS"/>
              </w:rPr>
              <w:t>.</w:t>
            </w:r>
            <w:bookmarkEnd w:id="1"/>
          </w:p>
        </w:tc>
        <w:tc>
          <w:tcPr>
            <w:tcW w:w="480" w:type="pct"/>
            <w:shd w:val="clear" w:color="auto" w:fill="auto"/>
            <w:vAlign w:val="center"/>
          </w:tcPr>
          <w:p w14:paraId="224EA620" w14:textId="77777777" w:rsidR="00425B2E" w:rsidRPr="00487209" w:rsidRDefault="00425B2E" w:rsidP="006C6323">
            <w:pPr>
              <w:spacing w:before="120" w:after="120"/>
              <w:jc w:val="center"/>
              <w:rPr>
                <w:rFonts w:ascii="Times New Roman" w:hAnsi="Times New Roman" w:cs="Times New Roman"/>
                <w:sz w:val="18"/>
                <w:szCs w:val="18"/>
                <w:lang w:val="sr-Cyrl-CS"/>
              </w:rPr>
            </w:pPr>
          </w:p>
        </w:tc>
      </w:tr>
      <w:tr w:rsidR="00337554" w:rsidRPr="00487209" w14:paraId="0311FD09" w14:textId="77777777" w:rsidTr="007D5144">
        <w:trPr>
          <w:trHeight w:val="1970"/>
          <w:jc w:val="center"/>
        </w:trPr>
        <w:tc>
          <w:tcPr>
            <w:tcW w:w="435" w:type="pct"/>
            <w:shd w:val="clear" w:color="auto" w:fill="auto"/>
            <w:vAlign w:val="center"/>
          </w:tcPr>
          <w:p w14:paraId="6488851F"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2.12.</w:t>
            </w:r>
          </w:p>
        </w:tc>
        <w:tc>
          <w:tcPr>
            <w:tcW w:w="1369" w:type="pct"/>
            <w:gridSpan w:val="2"/>
            <w:shd w:val="clear" w:color="auto" w:fill="auto"/>
            <w:vAlign w:val="center"/>
          </w:tcPr>
          <w:p w14:paraId="6467F0FE" w14:textId="77777777" w:rsidR="00425B2E" w:rsidRPr="00487209" w:rsidRDefault="002B170D" w:rsidP="006C6323">
            <w:pPr>
              <w:jc w:val="both"/>
              <w:rPr>
                <w:rFonts w:ascii="Times New Roman" w:hAnsi="Times New Roman" w:cs="Times New Roman"/>
                <w:sz w:val="18"/>
                <w:szCs w:val="18"/>
              </w:rPr>
            </w:pPr>
            <w:r w:rsidRPr="00487209">
              <w:rPr>
                <w:rFonts w:ascii="Times New Roman" w:hAnsi="Times New Roman" w:cs="Times New Roman"/>
                <w:sz w:val="18"/>
                <w:szCs w:val="18"/>
              </w:rPr>
              <w:t>‘European Assessment Document’ means a document adopted by the organisation of TABs for the purposes of issuing European Technical Assessments;</w:t>
            </w:r>
          </w:p>
        </w:tc>
        <w:tc>
          <w:tcPr>
            <w:tcW w:w="429" w:type="pct"/>
            <w:shd w:val="clear" w:color="auto" w:fill="auto"/>
            <w:vAlign w:val="center"/>
          </w:tcPr>
          <w:p w14:paraId="02952E59"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301FB94A" w14:textId="31D71917" w:rsidR="00425B2E" w:rsidRPr="00487209" w:rsidRDefault="00CC1751" w:rsidP="00F9129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F91294">
              <w:rPr>
                <w:rFonts w:ascii="Times New Roman" w:hAnsi="Times New Roman" w:cs="Times New Roman"/>
                <w:sz w:val="18"/>
                <w:szCs w:val="18"/>
              </w:rPr>
              <w:t>15</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4C142520" w14:textId="77777777" w:rsidR="00425B2E" w:rsidRPr="00487209" w:rsidRDefault="00CC1751" w:rsidP="006C6323">
            <w:pPr>
              <w:jc w:val="both"/>
              <w:rPr>
                <w:rFonts w:ascii="Times New Roman" w:hAnsi="Times New Roman" w:cs="Times New Roman"/>
                <w:sz w:val="18"/>
                <w:szCs w:val="18"/>
                <w:lang w:val="sr-Cyrl-CS"/>
              </w:rPr>
            </w:pPr>
            <w:r w:rsidRPr="00487209">
              <w:rPr>
                <w:rFonts w:ascii="Times New Roman" w:hAnsi="Times New Roman" w:cs="Times New Roman"/>
                <w:i/>
                <w:sz w:val="18"/>
                <w:szCs w:val="18"/>
                <w:lang w:val="sr-Cyrl-CS"/>
              </w:rPr>
              <w:t>Европски документ за</w:t>
            </w:r>
            <w:r w:rsidRPr="00487209">
              <w:rPr>
                <w:rFonts w:ascii="Times New Roman" w:hAnsi="Times New Roman" w:cs="Times New Roman"/>
                <w:i/>
                <w:sz w:val="18"/>
                <w:szCs w:val="18"/>
                <w:lang w:val="sr-Latn-CS"/>
              </w:rPr>
              <w:t xml:space="preserve"> </w:t>
            </w:r>
            <w:r w:rsidRPr="00487209">
              <w:rPr>
                <w:rFonts w:ascii="Times New Roman" w:hAnsi="Times New Roman" w:cs="Times New Roman"/>
                <w:i/>
                <w:sz w:val="18"/>
                <w:szCs w:val="18"/>
                <w:lang w:val="sr-Cyrl-CS"/>
              </w:rPr>
              <w:t>оцењивање</w:t>
            </w:r>
            <w:r w:rsidRPr="00487209">
              <w:rPr>
                <w:rFonts w:ascii="Times New Roman" w:hAnsi="Times New Roman" w:cs="Times New Roman"/>
                <w:sz w:val="18"/>
                <w:szCs w:val="18"/>
                <w:lang w:val="sr-Cyrl-CS"/>
              </w:rPr>
              <w:t xml:space="preserve"> је документ који је донела европска организац</w:t>
            </w:r>
            <w:r w:rsidR="00A10788" w:rsidRPr="00487209">
              <w:rPr>
                <w:rFonts w:ascii="Times New Roman" w:hAnsi="Times New Roman" w:cs="Times New Roman"/>
                <w:sz w:val="18"/>
                <w:szCs w:val="18"/>
                <w:lang w:val="sr-Cyrl-CS"/>
              </w:rPr>
              <w:t>ија</w:t>
            </w:r>
            <w:r w:rsidRPr="00487209">
              <w:rPr>
                <w:rFonts w:ascii="Times New Roman" w:hAnsi="Times New Roman" w:cs="Times New Roman"/>
                <w:sz w:val="18"/>
                <w:szCs w:val="18"/>
                <w:lang w:val="sr-Cyrl-CS"/>
              </w:rPr>
              <w:t xml:space="preserve"> тела за техничко оцењивање за потребе издавања европских техничких оцена;</w:t>
            </w:r>
          </w:p>
        </w:tc>
        <w:tc>
          <w:tcPr>
            <w:tcW w:w="458" w:type="pct"/>
            <w:shd w:val="clear" w:color="auto" w:fill="auto"/>
            <w:vAlign w:val="center"/>
          </w:tcPr>
          <w:p w14:paraId="3BE113EB" w14:textId="77777777" w:rsidR="00425B2E" w:rsidRPr="00487209" w:rsidRDefault="00CC175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44C5E94D" w14:textId="77777777" w:rsidR="00425B2E" w:rsidRPr="00487209" w:rsidRDefault="00425B2E"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793FB06"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3200DA6D" w14:textId="77777777" w:rsidTr="007D5144">
        <w:trPr>
          <w:trHeight w:val="1970"/>
          <w:jc w:val="center"/>
        </w:trPr>
        <w:tc>
          <w:tcPr>
            <w:tcW w:w="435" w:type="pct"/>
            <w:shd w:val="clear" w:color="auto" w:fill="auto"/>
            <w:vAlign w:val="center"/>
          </w:tcPr>
          <w:p w14:paraId="6424EC74"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2.13.</w:t>
            </w:r>
          </w:p>
        </w:tc>
        <w:tc>
          <w:tcPr>
            <w:tcW w:w="1369" w:type="pct"/>
            <w:gridSpan w:val="2"/>
            <w:shd w:val="clear" w:color="auto" w:fill="auto"/>
            <w:vAlign w:val="center"/>
          </w:tcPr>
          <w:p w14:paraId="77900218" w14:textId="77777777" w:rsidR="00425B2E" w:rsidRPr="00487209" w:rsidRDefault="002B170D" w:rsidP="006C6323">
            <w:pPr>
              <w:jc w:val="both"/>
              <w:rPr>
                <w:rFonts w:ascii="Times New Roman" w:hAnsi="Times New Roman" w:cs="Times New Roman"/>
                <w:sz w:val="18"/>
                <w:szCs w:val="18"/>
              </w:rPr>
            </w:pPr>
            <w:r w:rsidRPr="00487209">
              <w:rPr>
                <w:rFonts w:ascii="Times New Roman" w:hAnsi="Times New Roman" w:cs="Times New Roman"/>
                <w:sz w:val="18"/>
                <w:szCs w:val="18"/>
              </w:rPr>
              <w:t>‘European Technical Assessment’ means the documented assessment of the performance of a construction product, in relation to its essential characteristics, in accordance with the respective European Assessment Document;</w:t>
            </w:r>
          </w:p>
        </w:tc>
        <w:tc>
          <w:tcPr>
            <w:tcW w:w="429" w:type="pct"/>
            <w:shd w:val="clear" w:color="auto" w:fill="auto"/>
            <w:vAlign w:val="center"/>
          </w:tcPr>
          <w:p w14:paraId="6AAD4F66"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15CBDF7D" w14:textId="4C6B085C" w:rsidR="00425B2E" w:rsidRPr="00487209" w:rsidRDefault="00CC1751" w:rsidP="00F9129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F91294">
              <w:rPr>
                <w:rFonts w:ascii="Times New Roman" w:hAnsi="Times New Roman" w:cs="Times New Roman"/>
                <w:sz w:val="18"/>
                <w:szCs w:val="18"/>
              </w:rPr>
              <w:t>17</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4949734F" w14:textId="77777777" w:rsidR="00162D18" w:rsidRPr="00487209" w:rsidRDefault="00162D18" w:rsidP="006C6323">
            <w:pPr>
              <w:jc w:val="both"/>
              <w:rPr>
                <w:rFonts w:ascii="Times New Roman" w:hAnsi="Times New Roman" w:cs="Times New Roman"/>
                <w:i/>
                <w:sz w:val="18"/>
                <w:szCs w:val="18"/>
                <w:lang w:val="sr-Cyrl-CS"/>
              </w:rPr>
            </w:pPr>
          </w:p>
          <w:p w14:paraId="21D980AF" w14:textId="77777777" w:rsidR="00CC1751" w:rsidRPr="00487209" w:rsidRDefault="00CC1751" w:rsidP="006C6323">
            <w:pPr>
              <w:jc w:val="both"/>
              <w:rPr>
                <w:rFonts w:ascii="Times New Roman" w:hAnsi="Times New Roman" w:cs="Times New Roman"/>
                <w:b/>
                <w:sz w:val="18"/>
                <w:szCs w:val="18"/>
                <w:lang w:val="sr-Cyrl-CS"/>
              </w:rPr>
            </w:pPr>
            <w:r w:rsidRPr="00487209">
              <w:rPr>
                <w:rFonts w:ascii="Times New Roman" w:hAnsi="Times New Roman" w:cs="Times New Roman"/>
                <w:i/>
                <w:sz w:val="18"/>
                <w:szCs w:val="18"/>
                <w:lang w:val="sr-Cyrl-CS"/>
              </w:rPr>
              <w:t>Европска техничка оцена</w:t>
            </w:r>
            <w:r w:rsidRPr="00487209">
              <w:rPr>
                <w:rFonts w:ascii="Times New Roman" w:hAnsi="Times New Roman" w:cs="Times New Roman"/>
                <w:sz w:val="18"/>
                <w:szCs w:val="18"/>
                <w:lang w:val="sr-Cyrl-CS"/>
              </w:rPr>
              <w:t xml:space="preserve"> је документована оцена перформанси грађевинског производа која се односи на његове битне карактеристике издата у складу са одговарајућим европским документом за оцењивање;</w:t>
            </w:r>
          </w:p>
          <w:p w14:paraId="302A6B07" w14:textId="77777777" w:rsidR="00425B2E" w:rsidRPr="00487209" w:rsidRDefault="00425B2E" w:rsidP="006C6323">
            <w:pPr>
              <w:jc w:val="both"/>
              <w:rPr>
                <w:rFonts w:ascii="Times New Roman" w:hAnsi="Times New Roman" w:cs="Times New Roman"/>
                <w:sz w:val="18"/>
                <w:szCs w:val="18"/>
                <w:lang w:val="sr-Cyrl-CS"/>
              </w:rPr>
            </w:pPr>
          </w:p>
        </w:tc>
        <w:tc>
          <w:tcPr>
            <w:tcW w:w="458" w:type="pct"/>
            <w:shd w:val="clear" w:color="auto" w:fill="auto"/>
            <w:vAlign w:val="center"/>
          </w:tcPr>
          <w:p w14:paraId="6658C0E2" w14:textId="77777777" w:rsidR="00425B2E" w:rsidRPr="00487209" w:rsidRDefault="00CC175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75EC9A08" w14:textId="77777777" w:rsidR="00425B2E" w:rsidRPr="00487209" w:rsidRDefault="00425B2E"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10DE0F62"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7FB6D97B" w14:textId="77777777" w:rsidTr="007D5144">
        <w:trPr>
          <w:trHeight w:val="1970"/>
          <w:jc w:val="center"/>
        </w:trPr>
        <w:tc>
          <w:tcPr>
            <w:tcW w:w="435" w:type="pct"/>
            <w:shd w:val="clear" w:color="auto" w:fill="auto"/>
            <w:vAlign w:val="center"/>
          </w:tcPr>
          <w:p w14:paraId="65C8476F"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2.14.</w:t>
            </w:r>
          </w:p>
        </w:tc>
        <w:tc>
          <w:tcPr>
            <w:tcW w:w="1369" w:type="pct"/>
            <w:gridSpan w:val="2"/>
            <w:shd w:val="clear" w:color="auto" w:fill="auto"/>
            <w:vAlign w:val="center"/>
          </w:tcPr>
          <w:p w14:paraId="4F69643C" w14:textId="77777777" w:rsidR="00425B2E" w:rsidRPr="00487209" w:rsidRDefault="002B170D" w:rsidP="006C6323">
            <w:pPr>
              <w:jc w:val="both"/>
              <w:rPr>
                <w:rFonts w:ascii="Times New Roman" w:hAnsi="Times New Roman" w:cs="Times New Roman"/>
                <w:sz w:val="18"/>
                <w:szCs w:val="18"/>
              </w:rPr>
            </w:pPr>
            <w:r w:rsidRPr="00487209">
              <w:rPr>
                <w:rFonts w:ascii="Times New Roman" w:hAnsi="Times New Roman" w:cs="Times New Roman"/>
                <w:sz w:val="18"/>
                <w:szCs w:val="18"/>
              </w:rPr>
              <w:t>‘intended use’ means the intended use of the construction product as defined in the applicable harmonised technical specification;</w:t>
            </w:r>
          </w:p>
        </w:tc>
        <w:tc>
          <w:tcPr>
            <w:tcW w:w="429" w:type="pct"/>
            <w:shd w:val="clear" w:color="auto" w:fill="auto"/>
            <w:vAlign w:val="center"/>
          </w:tcPr>
          <w:p w14:paraId="193735C1"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7615EC6D" w14:textId="2A4FA989" w:rsidR="00425B2E" w:rsidRPr="00487209" w:rsidRDefault="00A10788" w:rsidP="00F9129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F91294">
              <w:rPr>
                <w:rFonts w:ascii="Times New Roman" w:hAnsi="Times New Roman" w:cs="Times New Roman"/>
                <w:sz w:val="18"/>
                <w:szCs w:val="18"/>
              </w:rPr>
              <w:t>19</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421BFE18" w14:textId="77777777" w:rsidR="00425B2E" w:rsidRPr="00487209" w:rsidRDefault="00C608DE"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предвиђена употреба</w:t>
            </w:r>
            <w:r w:rsidR="00895F2F" w:rsidRPr="00487209">
              <w:rPr>
                <w:rFonts w:ascii="Times New Roman" w:hAnsi="Times New Roman" w:cs="Times New Roman"/>
                <w:sz w:val="18"/>
                <w:szCs w:val="18"/>
                <w:lang w:val="sr-Cyrl-CS"/>
              </w:rPr>
              <w:t xml:space="preserve"> је употреба грађевинског производа на начин утврђен у одговарајућој техничкој спецификацији или техничком пропису;</w:t>
            </w:r>
          </w:p>
        </w:tc>
        <w:tc>
          <w:tcPr>
            <w:tcW w:w="458" w:type="pct"/>
            <w:shd w:val="clear" w:color="auto" w:fill="auto"/>
            <w:vAlign w:val="center"/>
          </w:tcPr>
          <w:p w14:paraId="46EFB928" w14:textId="77777777" w:rsidR="00425B2E" w:rsidRPr="00487209" w:rsidRDefault="009179C8"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П</w:t>
            </w:r>
            <w:r w:rsidR="00A10788" w:rsidRPr="00487209">
              <w:rPr>
                <w:rFonts w:ascii="Times New Roman" w:hAnsi="Times New Roman" w:cs="Times New Roman"/>
                <w:sz w:val="18"/>
                <w:szCs w:val="18"/>
                <w:lang w:val="ru-RU"/>
              </w:rPr>
              <w:t>У</w:t>
            </w:r>
          </w:p>
        </w:tc>
        <w:tc>
          <w:tcPr>
            <w:tcW w:w="598" w:type="pct"/>
            <w:gridSpan w:val="2"/>
            <w:shd w:val="clear" w:color="auto" w:fill="auto"/>
            <w:vAlign w:val="center"/>
          </w:tcPr>
          <w:p w14:paraId="73325746" w14:textId="77777777" w:rsidR="009179C8" w:rsidRPr="00487209" w:rsidRDefault="009179C8"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Напомена:</w:t>
            </w:r>
          </w:p>
          <w:p w14:paraId="73B51F57" w14:textId="2C73EF37" w:rsidR="002B3B6B" w:rsidRPr="00487209" w:rsidRDefault="00EB0318" w:rsidP="006A4A99">
            <w:pPr>
              <w:spacing w:before="120" w:after="120"/>
              <w:ind w:firstLine="21"/>
              <w:jc w:val="both"/>
              <w:rPr>
                <w:rFonts w:ascii="Times New Roman" w:hAnsi="Times New Roman" w:cs="Times New Roman"/>
                <w:sz w:val="18"/>
                <w:szCs w:val="18"/>
                <w:lang w:val="sr-Cyrl-CS"/>
              </w:rPr>
            </w:pPr>
            <w:r w:rsidRPr="00487209">
              <w:rPr>
                <w:rFonts w:ascii="Times New Roman" w:hAnsi="Times New Roman" w:cs="Times New Roman"/>
                <w:sz w:val="18"/>
                <w:szCs w:val="18"/>
                <w:lang w:val="ru-RU"/>
              </w:rPr>
              <w:t>Чл</w:t>
            </w:r>
            <w:r w:rsidR="00D34F05">
              <w:rPr>
                <w:rFonts w:ascii="Times New Roman" w:hAnsi="Times New Roman" w:cs="Times New Roman"/>
                <w:sz w:val="18"/>
                <w:szCs w:val="18"/>
                <w:lang w:val="ru-RU"/>
              </w:rPr>
              <w:t>ан</w:t>
            </w:r>
            <w:r w:rsidR="001A72B3" w:rsidRPr="00487209">
              <w:rPr>
                <w:rFonts w:ascii="Times New Roman" w:hAnsi="Times New Roman" w:cs="Times New Roman"/>
                <w:sz w:val="18"/>
                <w:szCs w:val="18"/>
                <w:lang w:val="ru-RU"/>
              </w:rPr>
              <w:t xml:space="preserve"> 2.14.</w:t>
            </w:r>
            <w:r w:rsidR="001A72B3" w:rsidRPr="00487209">
              <w:rPr>
                <w:rFonts w:ascii="Times New Roman" w:hAnsi="Times New Roman" w:cs="Times New Roman"/>
                <w:sz w:val="18"/>
                <w:szCs w:val="18"/>
                <w:lang w:val="sr-Cyrl-CS"/>
              </w:rPr>
              <w:t xml:space="preserve"> Уредбе 305/2011 (ЕУ) је </w:t>
            </w:r>
            <w:r w:rsidR="009179C8" w:rsidRPr="00487209">
              <w:rPr>
                <w:rFonts w:ascii="Times New Roman" w:hAnsi="Times New Roman" w:cs="Times New Roman"/>
                <w:sz w:val="18"/>
                <w:szCs w:val="18"/>
                <w:lang w:val="sr-Cyrl-CS"/>
              </w:rPr>
              <w:t>у потпуности</w:t>
            </w:r>
            <w:r w:rsidR="00D00A0A" w:rsidRPr="00487209">
              <w:rPr>
                <w:rFonts w:ascii="Times New Roman" w:hAnsi="Times New Roman" w:cs="Times New Roman"/>
                <w:sz w:val="18"/>
                <w:szCs w:val="18"/>
                <w:lang w:val="sr-Cyrl-CS"/>
              </w:rPr>
              <w:t xml:space="preserve"> </w:t>
            </w:r>
            <w:r w:rsidR="00CD75EF" w:rsidRPr="00487209">
              <w:rPr>
                <w:rFonts w:ascii="Times New Roman" w:hAnsi="Times New Roman" w:cs="Times New Roman"/>
                <w:sz w:val="18"/>
                <w:szCs w:val="18"/>
                <w:lang w:val="sr-Cyrl-CS"/>
              </w:rPr>
              <w:t xml:space="preserve">пренет </w:t>
            </w:r>
            <w:r w:rsidR="00D34F05">
              <w:rPr>
                <w:rFonts w:ascii="Times New Roman" w:hAnsi="Times New Roman" w:cs="Times New Roman"/>
                <w:sz w:val="18"/>
                <w:szCs w:val="18"/>
                <w:lang w:val="sr-Cyrl-CS"/>
              </w:rPr>
              <w:t xml:space="preserve"> члан 2. став 1. тачка</w:t>
            </w:r>
            <w:r w:rsidR="00D56087" w:rsidRPr="00487209">
              <w:rPr>
                <w:rFonts w:ascii="Times New Roman" w:hAnsi="Times New Roman" w:cs="Times New Roman"/>
                <w:sz w:val="18"/>
                <w:szCs w:val="18"/>
                <w:lang w:val="sr-Cyrl-CS"/>
              </w:rPr>
              <w:t xml:space="preserve"> </w:t>
            </w:r>
            <w:r w:rsidR="006A4A99">
              <w:rPr>
                <w:rFonts w:ascii="Times New Roman" w:hAnsi="Times New Roman" w:cs="Times New Roman"/>
                <w:sz w:val="18"/>
                <w:szCs w:val="18"/>
                <w:lang w:val="sr-Cyrl-CS"/>
              </w:rPr>
              <w:t>19</w:t>
            </w:r>
            <w:r w:rsidR="00D56087"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CD75EF" w:rsidRPr="00487209">
              <w:rPr>
                <w:rFonts w:ascii="Times New Roman" w:hAnsi="Times New Roman" w:cs="Times New Roman"/>
                <w:sz w:val="18"/>
                <w:szCs w:val="18"/>
                <w:lang w:val="sr-Cyrl-CS"/>
              </w:rPr>
              <w:t xml:space="preserve">, </w:t>
            </w:r>
            <w:r w:rsidR="009179C8" w:rsidRPr="00487209">
              <w:rPr>
                <w:rFonts w:ascii="Times New Roman" w:hAnsi="Times New Roman" w:cs="Times New Roman"/>
                <w:sz w:val="18"/>
                <w:szCs w:val="18"/>
                <w:lang w:val="sr-Cyrl-CS"/>
              </w:rPr>
              <w:t>уз напомену да је њоме поред хармонизоване обухваћена и нехармонизована област грађевинских производа.</w:t>
            </w:r>
          </w:p>
        </w:tc>
        <w:tc>
          <w:tcPr>
            <w:tcW w:w="480" w:type="pct"/>
            <w:shd w:val="clear" w:color="auto" w:fill="auto"/>
            <w:vAlign w:val="center"/>
          </w:tcPr>
          <w:p w14:paraId="0680367C"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236D3B73" w14:textId="77777777" w:rsidTr="007D5144">
        <w:trPr>
          <w:trHeight w:val="1970"/>
          <w:jc w:val="center"/>
        </w:trPr>
        <w:tc>
          <w:tcPr>
            <w:tcW w:w="435" w:type="pct"/>
            <w:shd w:val="clear" w:color="auto" w:fill="auto"/>
            <w:vAlign w:val="center"/>
          </w:tcPr>
          <w:p w14:paraId="24C24ADB"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2.15.</w:t>
            </w:r>
          </w:p>
        </w:tc>
        <w:tc>
          <w:tcPr>
            <w:tcW w:w="1369" w:type="pct"/>
            <w:gridSpan w:val="2"/>
            <w:shd w:val="clear" w:color="auto" w:fill="auto"/>
            <w:vAlign w:val="center"/>
          </w:tcPr>
          <w:p w14:paraId="4CBE811C" w14:textId="77777777" w:rsidR="00425B2E" w:rsidRPr="00487209" w:rsidRDefault="002B170D" w:rsidP="006C6323">
            <w:pPr>
              <w:jc w:val="both"/>
              <w:rPr>
                <w:rFonts w:ascii="Times New Roman" w:hAnsi="Times New Roman" w:cs="Times New Roman"/>
                <w:sz w:val="18"/>
                <w:szCs w:val="18"/>
              </w:rPr>
            </w:pPr>
            <w:r w:rsidRPr="00487209">
              <w:rPr>
                <w:rFonts w:ascii="Times New Roman" w:hAnsi="Times New Roman" w:cs="Times New Roman"/>
                <w:sz w:val="18"/>
                <w:szCs w:val="18"/>
              </w:rPr>
              <w:t>‘Specific Technical Documentation’ means documentation demonstrating that methods within the applicable system for assessment and verification of constancy of performance have been replaced by other methods, provided that the results obtained by those other methods are equivalent to the results obtained by the test methods of the corresponding harmonised standard;</w:t>
            </w:r>
          </w:p>
        </w:tc>
        <w:tc>
          <w:tcPr>
            <w:tcW w:w="429" w:type="pct"/>
            <w:shd w:val="clear" w:color="auto" w:fill="auto"/>
            <w:vAlign w:val="center"/>
          </w:tcPr>
          <w:p w14:paraId="436BE8F0"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1DD409E5" w14:textId="07248A8D" w:rsidR="00425B2E" w:rsidRPr="00487209" w:rsidRDefault="009F350A" w:rsidP="00F9129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F91294">
              <w:rPr>
                <w:rFonts w:ascii="Times New Roman" w:hAnsi="Times New Roman" w:cs="Times New Roman"/>
                <w:sz w:val="18"/>
                <w:szCs w:val="18"/>
              </w:rPr>
              <w:t>20</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6A8C4D56" w14:textId="77777777" w:rsidR="002B3B6B" w:rsidRPr="00487209" w:rsidRDefault="002B3B6B" w:rsidP="006C6323">
            <w:pPr>
              <w:jc w:val="both"/>
              <w:rPr>
                <w:rFonts w:ascii="Times New Roman" w:hAnsi="Times New Roman" w:cs="Times New Roman"/>
                <w:sz w:val="18"/>
                <w:szCs w:val="18"/>
                <w:lang w:val="sr-Cyrl-CS"/>
              </w:rPr>
            </w:pPr>
          </w:p>
          <w:p w14:paraId="237FD075" w14:textId="77777777" w:rsidR="002B3B6B" w:rsidRPr="00487209" w:rsidRDefault="002B3B6B" w:rsidP="006C6323">
            <w:pPr>
              <w:jc w:val="both"/>
              <w:rPr>
                <w:rFonts w:ascii="Times New Roman" w:hAnsi="Times New Roman" w:cs="Times New Roman"/>
                <w:sz w:val="18"/>
                <w:szCs w:val="18"/>
                <w:lang w:val="sr-Cyrl-CS"/>
              </w:rPr>
            </w:pPr>
          </w:p>
          <w:p w14:paraId="796CE7C6" w14:textId="77777777" w:rsidR="00425B2E" w:rsidRPr="00487209" w:rsidRDefault="00C608DE" w:rsidP="006C6323">
            <w:pPr>
              <w:jc w:val="both"/>
              <w:rPr>
                <w:rFonts w:ascii="Times New Roman" w:hAnsi="Times New Roman" w:cs="Times New Roman"/>
                <w:sz w:val="18"/>
                <w:szCs w:val="18"/>
                <w:lang w:val="sr-Cyrl-CS"/>
              </w:rPr>
            </w:pPr>
            <w:r w:rsidRPr="00487209">
              <w:rPr>
                <w:rFonts w:ascii="Times New Roman" w:hAnsi="Times New Roman" w:cs="Times New Roman"/>
                <w:i/>
                <w:sz w:val="18"/>
                <w:szCs w:val="18"/>
                <w:lang w:val="sr-Cyrl-CS"/>
              </w:rPr>
              <w:t>специфична техничка документација</w:t>
            </w:r>
            <w:r w:rsidRPr="00487209">
              <w:rPr>
                <w:rFonts w:ascii="Times New Roman" w:hAnsi="Times New Roman" w:cs="Times New Roman"/>
                <w:sz w:val="18"/>
                <w:szCs w:val="18"/>
                <w:lang w:val="sr-Cyrl-CS"/>
              </w:rPr>
              <w:t xml:space="preserve"> је документација којом се доказује да су методе у оквиру одговарајућег система оцењивања и верификације сталности перформанси замењене другим методама, под условом да су резултати добијени тим другим методама једнаки резултатима добијеним методама испитивања из одговарајућег српског стандарда са Списка 1;</w:t>
            </w:r>
          </w:p>
        </w:tc>
        <w:tc>
          <w:tcPr>
            <w:tcW w:w="458" w:type="pct"/>
            <w:shd w:val="clear" w:color="auto" w:fill="auto"/>
            <w:vAlign w:val="center"/>
          </w:tcPr>
          <w:p w14:paraId="62049DE0" w14:textId="77777777" w:rsidR="00425B2E" w:rsidRPr="00487209" w:rsidRDefault="002F303C"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w:t>
            </w:r>
            <w:r w:rsidR="009F350A" w:rsidRPr="00487209">
              <w:rPr>
                <w:rFonts w:ascii="Times New Roman" w:hAnsi="Times New Roman" w:cs="Times New Roman"/>
                <w:sz w:val="18"/>
                <w:szCs w:val="18"/>
                <w:lang w:val="ru-RU"/>
              </w:rPr>
              <w:t>У</w:t>
            </w:r>
          </w:p>
        </w:tc>
        <w:tc>
          <w:tcPr>
            <w:tcW w:w="598" w:type="pct"/>
            <w:gridSpan w:val="2"/>
            <w:shd w:val="clear" w:color="auto" w:fill="auto"/>
            <w:vAlign w:val="center"/>
          </w:tcPr>
          <w:p w14:paraId="60256A99" w14:textId="77777777" w:rsidR="00836A28" w:rsidRPr="00487209" w:rsidRDefault="00836A28"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Напомена:</w:t>
            </w:r>
          </w:p>
          <w:p w14:paraId="16775B68" w14:textId="01FB603A" w:rsidR="00425B2E" w:rsidRPr="00487209" w:rsidRDefault="00434C11" w:rsidP="006C6323">
            <w:pPr>
              <w:spacing w:before="120" w:after="120"/>
              <w:ind w:firstLine="21"/>
              <w:jc w:val="both"/>
              <w:rPr>
                <w:rFonts w:ascii="Times New Roman" w:hAnsi="Times New Roman" w:cs="Times New Roman"/>
                <w:sz w:val="18"/>
                <w:szCs w:val="18"/>
                <w:lang w:val="sr-Cyrl-CS"/>
              </w:rPr>
            </w:pPr>
            <w:r w:rsidRPr="00487209">
              <w:rPr>
                <w:rFonts w:ascii="Times New Roman" w:hAnsi="Times New Roman" w:cs="Times New Roman"/>
                <w:sz w:val="18"/>
                <w:szCs w:val="18"/>
                <w:lang w:val="ru-RU"/>
              </w:rPr>
              <w:t>Чл</w:t>
            </w:r>
            <w:r w:rsidR="00D34F05">
              <w:rPr>
                <w:rFonts w:ascii="Times New Roman" w:hAnsi="Times New Roman" w:cs="Times New Roman"/>
                <w:sz w:val="18"/>
                <w:szCs w:val="18"/>
                <w:lang w:val="ru-RU"/>
              </w:rPr>
              <w:t>ан</w:t>
            </w:r>
            <w:r w:rsidR="002F3889" w:rsidRPr="00487209">
              <w:rPr>
                <w:rFonts w:ascii="Times New Roman" w:hAnsi="Times New Roman" w:cs="Times New Roman"/>
                <w:sz w:val="18"/>
                <w:szCs w:val="18"/>
                <w:lang w:val="ru-RU"/>
              </w:rPr>
              <w:t xml:space="preserve"> 2.15.</w:t>
            </w:r>
            <w:r w:rsidR="002F3889" w:rsidRPr="00487209">
              <w:rPr>
                <w:rFonts w:ascii="Times New Roman" w:hAnsi="Times New Roman" w:cs="Times New Roman"/>
                <w:sz w:val="18"/>
                <w:szCs w:val="18"/>
                <w:lang w:val="sr-Cyrl-CS"/>
              </w:rPr>
              <w:t xml:space="preserve"> Уредбе 305/2011 (ЕУ) је </w:t>
            </w:r>
            <w:r w:rsidR="002F303C" w:rsidRPr="00487209">
              <w:rPr>
                <w:rFonts w:ascii="Times New Roman" w:hAnsi="Times New Roman" w:cs="Times New Roman"/>
                <w:sz w:val="18"/>
                <w:szCs w:val="18"/>
                <w:lang w:val="sr-Cyrl-CS"/>
              </w:rPr>
              <w:t>потпуно</w:t>
            </w:r>
            <w:r w:rsidR="00D34F05">
              <w:rPr>
                <w:rFonts w:ascii="Times New Roman" w:hAnsi="Times New Roman" w:cs="Times New Roman"/>
                <w:sz w:val="18"/>
                <w:szCs w:val="18"/>
                <w:lang w:val="sr-Cyrl-CS"/>
              </w:rPr>
              <w:t xml:space="preserve"> усклађен са чланом 2. став 1. тачка </w:t>
            </w:r>
            <w:r w:rsidR="006A4A99">
              <w:rPr>
                <w:rFonts w:ascii="Times New Roman" w:hAnsi="Times New Roman" w:cs="Times New Roman"/>
                <w:sz w:val="18"/>
                <w:szCs w:val="18"/>
                <w:lang w:val="sr-Cyrl-CS"/>
              </w:rPr>
              <w:t>20</w:t>
            </w:r>
            <w:r w:rsidR="00CF3F10"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836A28" w:rsidRPr="00487209">
              <w:rPr>
                <w:rFonts w:ascii="Times New Roman" w:hAnsi="Times New Roman" w:cs="Times New Roman"/>
                <w:sz w:val="18"/>
                <w:szCs w:val="18"/>
                <w:lang w:val="sr-Cyrl-CS"/>
              </w:rPr>
              <w:t>, с тим што ће</w:t>
            </w:r>
            <w:r w:rsidR="002F303C" w:rsidRPr="00487209">
              <w:rPr>
                <w:rFonts w:ascii="Times New Roman" w:hAnsi="Times New Roman" w:cs="Times New Roman"/>
                <w:sz w:val="18"/>
                <w:szCs w:val="18"/>
                <w:lang w:val="sr-Cyrl-CS"/>
              </w:rPr>
              <w:t xml:space="preserve"> хармонизовани српски стандарди чинити садржај Списка 1</w:t>
            </w:r>
            <w:r w:rsidR="007A290A" w:rsidRPr="00487209">
              <w:rPr>
                <w:rFonts w:ascii="Times New Roman" w:hAnsi="Times New Roman" w:cs="Times New Roman"/>
                <w:sz w:val="18"/>
                <w:szCs w:val="18"/>
                <w:lang w:val="sr-Cyrl-CS"/>
              </w:rPr>
              <w:t xml:space="preserve">. </w:t>
            </w:r>
          </w:p>
          <w:p w14:paraId="7BFA66DD" w14:textId="77777777" w:rsidR="00162D18" w:rsidRPr="00487209" w:rsidRDefault="00162D18"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5049346E"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4626E954" w14:textId="77777777" w:rsidTr="007D5144">
        <w:trPr>
          <w:trHeight w:val="346"/>
          <w:jc w:val="center"/>
        </w:trPr>
        <w:tc>
          <w:tcPr>
            <w:tcW w:w="435" w:type="pct"/>
            <w:shd w:val="clear" w:color="auto" w:fill="auto"/>
            <w:vAlign w:val="center"/>
          </w:tcPr>
          <w:p w14:paraId="308E7C4D"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2.16.</w:t>
            </w:r>
          </w:p>
        </w:tc>
        <w:tc>
          <w:tcPr>
            <w:tcW w:w="1369" w:type="pct"/>
            <w:gridSpan w:val="2"/>
            <w:shd w:val="clear" w:color="auto" w:fill="auto"/>
            <w:vAlign w:val="center"/>
          </w:tcPr>
          <w:p w14:paraId="6543616C" w14:textId="77777777" w:rsidR="00425B2E" w:rsidRPr="00487209" w:rsidRDefault="002B170D" w:rsidP="006C6323">
            <w:pPr>
              <w:jc w:val="both"/>
              <w:rPr>
                <w:rFonts w:ascii="Times New Roman" w:hAnsi="Times New Roman" w:cs="Times New Roman"/>
                <w:sz w:val="18"/>
                <w:szCs w:val="18"/>
              </w:rPr>
            </w:pPr>
            <w:r w:rsidRPr="00487209">
              <w:rPr>
                <w:rFonts w:ascii="Times New Roman" w:hAnsi="Times New Roman" w:cs="Times New Roman"/>
                <w:sz w:val="18"/>
                <w:szCs w:val="18"/>
              </w:rPr>
              <w:t>‘making available on the market’ means any supply of a construction product for distribution or use on the Union market in the course of a commercial activity, whether in return for payment or free of charge;</w:t>
            </w:r>
          </w:p>
        </w:tc>
        <w:tc>
          <w:tcPr>
            <w:tcW w:w="429" w:type="pct"/>
            <w:shd w:val="clear" w:color="auto" w:fill="auto"/>
            <w:vAlign w:val="center"/>
          </w:tcPr>
          <w:p w14:paraId="64FD6910"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68B47C2D" w14:textId="4FC358F4" w:rsidR="00425B2E" w:rsidRPr="00487209" w:rsidRDefault="00384689" w:rsidP="00F9129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F91294">
              <w:rPr>
                <w:rFonts w:ascii="Times New Roman" w:hAnsi="Times New Roman" w:cs="Times New Roman"/>
                <w:sz w:val="18"/>
                <w:szCs w:val="18"/>
              </w:rPr>
              <w:t>21</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473CE92F" w14:textId="77777777" w:rsidR="003773CF" w:rsidRPr="00487209" w:rsidRDefault="003773CF" w:rsidP="003773CF">
            <w:pPr>
              <w:tabs>
                <w:tab w:val="left" w:pos="226"/>
                <w:tab w:val="left" w:pos="798"/>
                <w:tab w:val="left" w:pos="1080"/>
              </w:tabs>
              <w:spacing w:before="120" w:after="120"/>
              <w:ind w:right="-23"/>
              <w:jc w:val="both"/>
              <w:rPr>
                <w:rFonts w:ascii="Times New Roman" w:eastAsia="Batang" w:hAnsi="Times New Roman" w:cs="Times New Roman"/>
                <w:sz w:val="18"/>
                <w:szCs w:val="18"/>
                <w:lang w:val="sr-Cyrl-CS" w:eastAsia="ko-KR"/>
              </w:rPr>
            </w:pPr>
            <w:r w:rsidRPr="00487209">
              <w:rPr>
                <w:rFonts w:ascii="Times New Roman" w:eastAsia="Times New Roman" w:hAnsi="Times New Roman" w:cs="Times New Roman"/>
                <w:i/>
                <w:sz w:val="18"/>
                <w:szCs w:val="18"/>
                <w:lang w:val="sr-Cyrl-CS"/>
              </w:rPr>
              <w:t>чињење доступним на тржишту</w:t>
            </w:r>
            <w:r w:rsidRPr="00487209">
              <w:rPr>
                <w:rFonts w:ascii="Times New Roman" w:eastAsia="Times New Roman" w:hAnsi="Times New Roman" w:cs="Times New Roman"/>
                <w:sz w:val="18"/>
                <w:szCs w:val="18"/>
                <w:lang w:val="sr-Cyrl-CS"/>
              </w:rPr>
              <w:t xml:space="preserve"> је свака испорука грађевинског производа ради дистрибуције или употребе, са или без накнаде;</w:t>
            </w:r>
          </w:p>
          <w:p w14:paraId="6F0CC3BB" w14:textId="0C4ED48D" w:rsidR="00425B2E" w:rsidRPr="00487209" w:rsidRDefault="00425B2E" w:rsidP="006C6323">
            <w:pPr>
              <w:jc w:val="both"/>
              <w:rPr>
                <w:rFonts w:ascii="Times New Roman" w:hAnsi="Times New Roman" w:cs="Times New Roman"/>
                <w:sz w:val="18"/>
                <w:szCs w:val="18"/>
                <w:lang w:val="sr-Cyrl-CS"/>
              </w:rPr>
            </w:pPr>
          </w:p>
        </w:tc>
        <w:tc>
          <w:tcPr>
            <w:tcW w:w="458" w:type="pct"/>
            <w:shd w:val="clear" w:color="auto" w:fill="auto"/>
            <w:vAlign w:val="center"/>
          </w:tcPr>
          <w:p w14:paraId="57BDC0A9" w14:textId="77777777" w:rsidR="00425B2E" w:rsidRPr="00487209" w:rsidRDefault="00E34193"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Д</w:t>
            </w:r>
            <w:r w:rsidR="00384689" w:rsidRPr="00487209">
              <w:rPr>
                <w:rFonts w:ascii="Times New Roman" w:hAnsi="Times New Roman" w:cs="Times New Roman"/>
                <w:sz w:val="18"/>
                <w:szCs w:val="18"/>
                <w:lang w:val="ru-RU"/>
              </w:rPr>
              <w:t>У</w:t>
            </w:r>
          </w:p>
        </w:tc>
        <w:tc>
          <w:tcPr>
            <w:tcW w:w="598" w:type="pct"/>
            <w:gridSpan w:val="2"/>
            <w:shd w:val="clear" w:color="auto" w:fill="auto"/>
            <w:vAlign w:val="center"/>
          </w:tcPr>
          <w:p w14:paraId="25950A9B" w14:textId="77777777" w:rsidR="00162D18" w:rsidRPr="00487209" w:rsidRDefault="00162D18" w:rsidP="006C6323">
            <w:pPr>
              <w:spacing w:before="120" w:after="120"/>
              <w:jc w:val="both"/>
              <w:rPr>
                <w:rFonts w:ascii="Times New Roman" w:hAnsi="Times New Roman" w:cs="Times New Roman"/>
                <w:sz w:val="18"/>
                <w:szCs w:val="18"/>
                <w:lang w:val="ru-RU"/>
              </w:rPr>
            </w:pPr>
          </w:p>
          <w:p w14:paraId="61C4B5C5" w14:textId="752B2C5A" w:rsidR="00425B2E" w:rsidRPr="00487209" w:rsidRDefault="00D34F05" w:rsidP="006C6323">
            <w:pPr>
              <w:spacing w:before="120" w:after="120"/>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E34193" w:rsidRPr="00487209">
              <w:rPr>
                <w:rFonts w:ascii="Times New Roman" w:hAnsi="Times New Roman" w:cs="Times New Roman"/>
                <w:sz w:val="18"/>
                <w:szCs w:val="18"/>
                <w:lang w:val="ru-RU"/>
              </w:rPr>
              <w:t xml:space="preserve"> 2.1</w:t>
            </w:r>
            <w:r w:rsidR="00A810F8" w:rsidRPr="00487209">
              <w:rPr>
                <w:rFonts w:ascii="Times New Roman" w:hAnsi="Times New Roman" w:cs="Times New Roman"/>
                <w:sz w:val="18"/>
                <w:szCs w:val="18"/>
                <w:lang w:val="ru-RU"/>
              </w:rPr>
              <w:t>6</w:t>
            </w:r>
            <w:r w:rsidR="00E34193" w:rsidRPr="00487209">
              <w:rPr>
                <w:rFonts w:ascii="Times New Roman" w:hAnsi="Times New Roman" w:cs="Times New Roman"/>
                <w:sz w:val="18"/>
                <w:szCs w:val="18"/>
                <w:lang w:val="ru-RU"/>
              </w:rPr>
              <w:t>.</w:t>
            </w:r>
            <w:r w:rsidR="00E34193" w:rsidRPr="00487209">
              <w:rPr>
                <w:rFonts w:ascii="Times New Roman" w:hAnsi="Times New Roman" w:cs="Times New Roman"/>
                <w:sz w:val="18"/>
                <w:szCs w:val="18"/>
                <w:lang w:val="sr-Cyrl-CS"/>
              </w:rPr>
              <w:t xml:space="preserve"> Уредбе 305/2011 (ЕУ) је делимично </w:t>
            </w:r>
            <w:r>
              <w:rPr>
                <w:rFonts w:ascii="Times New Roman" w:hAnsi="Times New Roman" w:cs="Times New Roman"/>
                <w:sz w:val="18"/>
                <w:szCs w:val="18"/>
                <w:lang w:val="sr-Cyrl-CS"/>
              </w:rPr>
              <w:t>усклађен са чланом 2. став 1. тачка</w:t>
            </w:r>
            <w:r w:rsidR="00A979F3" w:rsidRPr="00487209">
              <w:rPr>
                <w:rFonts w:ascii="Times New Roman" w:hAnsi="Times New Roman" w:cs="Times New Roman"/>
                <w:sz w:val="18"/>
                <w:szCs w:val="18"/>
                <w:lang w:val="sr-Cyrl-CS"/>
              </w:rPr>
              <w:t xml:space="preserve"> </w:t>
            </w:r>
            <w:r w:rsidR="006A4A99">
              <w:rPr>
                <w:rFonts w:ascii="Times New Roman" w:hAnsi="Times New Roman" w:cs="Times New Roman"/>
                <w:sz w:val="18"/>
                <w:szCs w:val="18"/>
                <w:lang w:val="sr-Cyrl-CS"/>
              </w:rPr>
              <w:t>21</w:t>
            </w:r>
            <w:r w:rsidR="00A979F3"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E34193" w:rsidRPr="00487209">
              <w:rPr>
                <w:rFonts w:ascii="Times New Roman" w:hAnsi="Times New Roman" w:cs="Times New Roman"/>
                <w:sz w:val="18"/>
                <w:szCs w:val="18"/>
                <w:lang w:val="sr-Cyrl-CS"/>
              </w:rPr>
              <w:t xml:space="preserve"> због статуса нечланице ЕУ. Потпуно усклађивање биће могуће након приступања ЕУ.</w:t>
            </w:r>
          </w:p>
          <w:p w14:paraId="527E421F" w14:textId="77777777" w:rsidR="00162D18" w:rsidRPr="00487209" w:rsidRDefault="00162D18" w:rsidP="006C6323">
            <w:pPr>
              <w:spacing w:before="120" w:after="120"/>
              <w:jc w:val="both"/>
              <w:rPr>
                <w:rFonts w:ascii="Times New Roman" w:hAnsi="Times New Roman" w:cs="Times New Roman"/>
                <w:b/>
                <w:bCs/>
                <w:sz w:val="18"/>
                <w:szCs w:val="18"/>
                <w:lang w:val="sr-Cyrl-CS"/>
              </w:rPr>
            </w:pPr>
          </w:p>
        </w:tc>
        <w:tc>
          <w:tcPr>
            <w:tcW w:w="480" w:type="pct"/>
            <w:shd w:val="clear" w:color="auto" w:fill="auto"/>
            <w:vAlign w:val="center"/>
          </w:tcPr>
          <w:p w14:paraId="50BB8D41" w14:textId="77777777" w:rsidR="00425B2E" w:rsidRPr="00487209" w:rsidRDefault="00425B2E" w:rsidP="006C6323">
            <w:pPr>
              <w:spacing w:before="120" w:after="120"/>
              <w:jc w:val="center"/>
              <w:rPr>
                <w:rFonts w:ascii="Times New Roman" w:hAnsi="Times New Roman" w:cs="Times New Roman"/>
                <w:sz w:val="18"/>
                <w:szCs w:val="18"/>
                <w:lang w:val="sr-Cyrl-CS"/>
              </w:rPr>
            </w:pPr>
          </w:p>
        </w:tc>
      </w:tr>
      <w:tr w:rsidR="00337554" w:rsidRPr="00487209" w14:paraId="2D0BA86B" w14:textId="77777777" w:rsidTr="007D5144">
        <w:trPr>
          <w:trHeight w:val="615"/>
          <w:jc w:val="center"/>
        </w:trPr>
        <w:tc>
          <w:tcPr>
            <w:tcW w:w="435" w:type="pct"/>
            <w:shd w:val="clear" w:color="auto" w:fill="auto"/>
            <w:vAlign w:val="center"/>
          </w:tcPr>
          <w:p w14:paraId="5DD218E0"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2.17.</w:t>
            </w:r>
          </w:p>
        </w:tc>
        <w:tc>
          <w:tcPr>
            <w:tcW w:w="1369" w:type="pct"/>
            <w:gridSpan w:val="2"/>
            <w:shd w:val="clear" w:color="auto" w:fill="auto"/>
            <w:vAlign w:val="center"/>
          </w:tcPr>
          <w:p w14:paraId="60112FA7" w14:textId="77777777" w:rsidR="00425B2E" w:rsidRPr="00487209" w:rsidRDefault="002B170D" w:rsidP="006C6323">
            <w:pPr>
              <w:jc w:val="both"/>
              <w:rPr>
                <w:rFonts w:ascii="Times New Roman" w:hAnsi="Times New Roman" w:cs="Times New Roman"/>
                <w:sz w:val="18"/>
                <w:szCs w:val="18"/>
              </w:rPr>
            </w:pPr>
            <w:r w:rsidRPr="00487209">
              <w:rPr>
                <w:rFonts w:ascii="Times New Roman" w:hAnsi="Times New Roman" w:cs="Times New Roman"/>
                <w:sz w:val="18"/>
                <w:szCs w:val="18"/>
              </w:rPr>
              <w:t>‘placing on the market’ means the first making available of a construction product on the Union market;</w:t>
            </w:r>
          </w:p>
        </w:tc>
        <w:tc>
          <w:tcPr>
            <w:tcW w:w="429" w:type="pct"/>
            <w:shd w:val="clear" w:color="auto" w:fill="auto"/>
            <w:vAlign w:val="center"/>
          </w:tcPr>
          <w:p w14:paraId="0E5DF130"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44FA77E8" w14:textId="4CEBCAF6" w:rsidR="00425B2E" w:rsidRPr="00487209" w:rsidRDefault="00384689" w:rsidP="00F9129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F91294">
              <w:rPr>
                <w:rFonts w:ascii="Times New Roman" w:hAnsi="Times New Roman" w:cs="Times New Roman"/>
                <w:sz w:val="18"/>
                <w:szCs w:val="18"/>
              </w:rPr>
              <w:t>22</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1E451914" w14:textId="77777777" w:rsidR="003773CF" w:rsidRPr="00487209" w:rsidRDefault="003773CF" w:rsidP="003773CF">
            <w:pPr>
              <w:tabs>
                <w:tab w:val="left" w:pos="708"/>
                <w:tab w:val="left" w:pos="1080"/>
              </w:tabs>
              <w:spacing w:before="120" w:after="120"/>
              <w:ind w:right="-23"/>
              <w:jc w:val="both"/>
              <w:outlineLvl w:val="3"/>
              <w:rPr>
                <w:rFonts w:ascii="Times New Roman" w:eastAsia="Batang" w:hAnsi="Times New Roman" w:cs="Times New Roman"/>
                <w:b/>
                <w:sz w:val="18"/>
                <w:szCs w:val="18"/>
                <w:lang w:val="sr-Cyrl-CS" w:eastAsia="ko-KR"/>
              </w:rPr>
            </w:pPr>
            <w:r w:rsidRPr="00487209">
              <w:rPr>
                <w:rFonts w:ascii="Times New Roman" w:eastAsia="Batang" w:hAnsi="Times New Roman" w:cs="Times New Roman"/>
                <w:i/>
                <w:sz w:val="18"/>
                <w:szCs w:val="18"/>
                <w:lang w:val="sr-Cyrl-CS" w:eastAsia="ko-KR"/>
              </w:rPr>
              <w:t>стављање на тржиште</w:t>
            </w:r>
            <w:r w:rsidRPr="00487209">
              <w:rPr>
                <w:rFonts w:ascii="Times New Roman" w:eastAsia="Batang" w:hAnsi="Times New Roman" w:cs="Times New Roman"/>
                <w:i/>
                <w:sz w:val="18"/>
                <w:szCs w:val="18"/>
                <w:lang w:eastAsia="ko-KR"/>
              </w:rPr>
              <w:t> </w:t>
            </w:r>
            <w:r w:rsidRPr="00487209">
              <w:rPr>
                <w:rFonts w:ascii="Times New Roman" w:eastAsia="Batang" w:hAnsi="Times New Roman" w:cs="Times New Roman"/>
                <w:sz w:val="18"/>
                <w:szCs w:val="18"/>
                <w:lang w:val="sr-Cyrl-CS" w:eastAsia="ko-KR"/>
              </w:rPr>
              <w:t>је прво чињење доступним грађевинског производа на тржишту Републике Србије;</w:t>
            </w:r>
          </w:p>
          <w:p w14:paraId="6A28D6DA" w14:textId="77777777" w:rsidR="00425B2E" w:rsidRPr="00487209" w:rsidRDefault="00425B2E" w:rsidP="006C6323">
            <w:pPr>
              <w:jc w:val="both"/>
              <w:rPr>
                <w:rFonts w:ascii="Times New Roman" w:hAnsi="Times New Roman" w:cs="Times New Roman"/>
                <w:sz w:val="18"/>
                <w:szCs w:val="18"/>
                <w:lang w:val="sr-Cyrl-CS"/>
              </w:rPr>
            </w:pPr>
          </w:p>
        </w:tc>
        <w:tc>
          <w:tcPr>
            <w:tcW w:w="458" w:type="pct"/>
            <w:shd w:val="clear" w:color="auto" w:fill="auto"/>
            <w:vAlign w:val="center"/>
          </w:tcPr>
          <w:p w14:paraId="3BC75564" w14:textId="77777777" w:rsidR="00425B2E" w:rsidRPr="00487209" w:rsidRDefault="00A810F8"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Д</w:t>
            </w:r>
            <w:r w:rsidR="00384689" w:rsidRPr="00487209">
              <w:rPr>
                <w:rFonts w:ascii="Times New Roman" w:hAnsi="Times New Roman" w:cs="Times New Roman"/>
                <w:sz w:val="18"/>
                <w:szCs w:val="18"/>
                <w:lang w:val="ru-RU"/>
              </w:rPr>
              <w:t>У</w:t>
            </w:r>
          </w:p>
        </w:tc>
        <w:tc>
          <w:tcPr>
            <w:tcW w:w="598" w:type="pct"/>
            <w:gridSpan w:val="2"/>
            <w:shd w:val="clear" w:color="auto" w:fill="auto"/>
            <w:vAlign w:val="center"/>
          </w:tcPr>
          <w:p w14:paraId="01E45475" w14:textId="1BB9E26A" w:rsidR="00C63FF5" w:rsidRPr="00487209" w:rsidRDefault="00D77E6C" w:rsidP="006A4A99">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 xml:space="preserve">Члан </w:t>
            </w:r>
            <w:r w:rsidR="00A810F8" w:rsidRPr="00487209">
              <w:rPr>
                <w:rFonts w:ascii="Times New Roman" w:hAnsi="Times New Roman" w:cs="Times New Roman"/>
                <w:sz w:val="18"/>
                <w:szCs w:val="18"/>
                <w:lang w:val="ru-RU"/>
              </w:rPr>
              <w:t>2.17.</w:t>
            </w:r>
            <w:r w:rsidR="00A810F8" w:rsidRPr="00487209">
              <w:rPr>
                <w:rFonts w:ascii="Times New Roman" w:hAnsi="Times New Roman" w:cs="Times New Roman"/>
                <w:sz w:val="18"/>
                <w:szCs w:val="18"/>
                <w:lang w:val="sr-Cyrl-CS"/>
              </w:rPr>
              <w:t xml:space="preserve"> Уредбе 305/2011 (ЕУ) је делимично </w:t>
            </w:r>
            <w:r>
              <w:rPr>
                <w:rFonts w:ascii="Times New Roman" w:hAnsi="Times New Roman" w:cs="Times New Roman"/>
                <w:sz w:val="18"/>
                <w:szCs w:val="18"/>
                <w:lang w:val="sr-Cyrl-CS"/>
              </w:rPr>
              <w:t>усклађен са чланом 2. став 1. тачка</w:t>
            </w:r>
            <w:r w:rsidR="005762B2" w:rsidRPr="00487209">
              <w:rPr>
                <w:rFonts w:ascii="Times New Roman" w:hAnsi="Times New Roman" w:cs="Times New Roman"/>
                <w:sz w:val="18"/>
                <w:szCs w:val="18"/>
                <w:lang w:val="sr-Cyrl-CS"/>
              </w:rPr>
              <w:t xml:space="preserve"> </w:t>
            </w:r>
            <w:r w:rsidR="006A4A99">
              <w:rPr>
                <w:rFonts w:ascii="Times New Roman" w:hAnsi="Times New Roman" w:cs="Times New Roman"/>
                <w:sz w:val="18"/>
                <w:szCs w:val="18"/>
                <w:lang w:val="sr-Cyrl-CS"/>
              </w:rPr>
              <w:t>22</w:t>
            </w:r>
            <w:r w:rsidR="005762B2"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A810F8" w:rsidRPr="00487209">
              <w:rPr>
                <w:rFonts w:ascii="Times New Roman" w:hAnsi="Times New Roman" w:cs="Times New Roman"/>
                <w:sz w:val="18"/>
                <w:szCs w:val="18"/>
                <w:lang w:val="sr-Cyrl-CS"/>
              </w:rPr>
              <w:t xml:space="preserve"> због статуса нечланице ЕУ. Потпуно усклађивање биће могуће након приступања ЕУ.</w:t>
            </w:r>
          </w:p>
        </w:tc>
        <w:tc>
          <w:tcPr>
            <w:tcW w:w="480" w:type="pct"/>
            <w:shd w:val="clear" w:color="auto" w:fill="auto"/>
            <w:vAlign w:val="center"/>
          </w:tcPr>
          <w:p w14:paraId="2F88C573"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79093F2A" w14:textId="77777777" w:rsidTr="007D5144">
        <w:trPr>
          <w:trHeight w:val="1970"/>
          <w:jc w:val="center"/>
        </w:trPr>
        <w:tc>
          <w:tcPr>
            <w:tcW w:w="435" w:type="pct"/>
            <w:shd w:val="clear" w:color="auto" w:fill="auto"/>
            <w:vAlign w:val="center"/>
          </w:tcPr>
          <w:p w14:paraId="3348E0F8"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2.18.</w:t>
            </w:r>
          </w:p>
        </w:tc>
        <w:tc>
          <w:tcPr>
            <w:tcW w:w="1369" w:type="pct"/>
            <w:gridSpan w:val="2"/>
            <w:shd w:val="clear" w:color="auto" w:fill="auto"/>
            <w:vAlign w:val="center"/>
          </w:tcPr>
          <w:p w14:paraId="0DEB6A9B" w14:textId="77777777" w:rsidR="00425B2E" w:rsidRPr="00487209" w:rsidRDefault="002B170D" w:rsidP="006C6323">
            <w:pPr>
              <w:jc w:val="both"/>
              <w:rPr>
                <w:rFonts w:ascii="Times New Roman" w:hAnsi="Times New Roman" w:cs="Times New Roman"/>
                <w:sz w:val="18"/>
                <w:szCs w:val="18"/>
              </w:rPr>
            </w:pPr>
            <w:r w:rsidRPr="00487209">
              <w:rPr>
                <w:rFonts w:ascii="Times New Roman" w:hAnsi="Times New Roman" w:cs="Times New Roman"/>
                <w:sz w:val="18"/>
                <w:szCs w:val="18"/>
              </w:rPr>
              <w:t>‘economic operator’ means the manufacturer, importer, distributor or authorised representative;</w:t>
            </w:r>
          </w:p>
        </w:tc>
        <w:tc>
          <w:tcPr>
            <w:tcW w:w="429" w:type="pct"/>
            <w:shd w:val="clear" w:color="auto" w:fill="auto"/>
            <w:vAlign w:val="center"/>
          </w:tcPr>
          <w:p w14:paraId="1B656DFD"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1D3946CC" w14:textId="7C7DDAF8" w:rsidR="00425B2E" w:rsidRPr="00487209" w:rsidRDefault="000E07A8" w:rsidP="002605F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2605FF">
              <w:rPr>
                <w:rFonts w:ascii="Times New Roman" w:hAnsi="Times New Roman" w:cs="Times New Roman"/>
                <w:sz w:val="18"/>
                <w:szCs w:val="18"/>
              </w:rPr>
              <w:t>23</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395DC951" w14:textId="77777777" w:rsidR="00425B2E" w:rsidRPr="00487209" w:rsidRDefault="000E07A8" w:rsidP="006C6323">
            <w:pPr>
              <w:jc w:val="both"/>
              <w:rPr>
                <w:rFonts w:ascii="Times New Roman" w:hAnsi="Times New Roman" w:cs="Times New Roman"/>
                <w:sz w:val="18"/>
                <w:szCs w:val="18"/>
                <w:lang w:val="sr-Cyrl-CS"/>
              </w:rPr>
            </w:pPr>
            <w:r w:rsidRPr="00487209">
              <w:rPr>
                <w:rFonts w:ascii="Times New Roman" w:hAnsi="Times New Roman" w:cs="Times New Roman"/>
                <w:i/>
                <w:sz w:val="18"/>
                <w:szCs w:val="18"/>
                <w:lang w:val="sr-Cyrl-CS"/>
              </w:rPr>
              <w:t>привредни субјекат</w:t>
            </w:r>
            <w:r w:rsidR="00C608DE" w:rsidRPr="00487209">
              <w:rPr>
                <w:rFonts w:ascii="Times New Roman" w:hAnsi="Times New Roman" w:cs="Times New Roman"/>
                <w:sz w:val="18"/>
                <w:szCs w:val="18"/>
                <w:lang w:val="sr-Cyrl-CS"/>
              </w:rPr>
              <w:t> </w:t>
            </w:r>
            <w:r w:rsidRPr="00487209">
              <w:rPr>
                <w:rFonts w:ascii="Times New Roman" w:hAnsi="Times New Roman" w:cs="Times New Roman"/>
                <w:sz w:val="18"/>
                <w:szCs w:val="18"/>
                <w:lang w:val="sr-Cyrl-CS"/>
              </w:rPr>
              <w:t>је произвођач, заступник, увозник или дистрибутер грађевинског производа;</w:t>
            </w:r>
          </w:p>
        </w:tc>
        <w:tc>
          <w:tcPr>
            <w:tcW w:w="458" w:type="pct"/>
            <w:shd w:val="clear" w:color="auto" w:fill="auto"/>
            <w:vAlign w:val="center"/>
          </w:tcPr>
          <w:p w14:paraId="5E00EDA8" w14:textId="77777777" w:rsidR="00425B2E" w:rsidRPr="00487209" w:rsidRDefault="000E07A8"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64AA3FF0" w14:textId="77777777" w:rsidR="00425B2E" w:rsidRPr="00487209" w:rsidRDefault="00425B2E"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263C854"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2E72321F" w14:textId="77777777" w:rsidTr="007D5144">
        <w:trPr>
          <w:trHeight w:val="1970"/>
          <w:jc w:val="center"/>
        </w:trPr>
        <w:tc>
          <w:tcPr>
            <w:tcW w:w="435" w:type="pct"/>
            <w:shd w:val="clear" w:color="auto" w:fill="auto"/>
            <w:vAlign w:val="center"/>
          </w:tcPr>
          <w:p w14:paraId="72C929D0"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2.19.</w:t>
            </w:r>
          </w:p>
        </w:tc>
        <w:tc>
          <w:tcPr>
            <w:tcW w:w="1369" w:type="pct"/>
            <w:gridSpan w:val="2"/>
            <w:shd w:val="clear" w:color="auto" w:fill="auto"/>
            <w:vAlign w:val="center"/>
          </w:tcPr>
          <w:p w14:paraId="2A55FEA2" w14:textId="77777777" w:rsidR="00425B2E" w:rsidRPr="00487209" w:rsidRDefault="002B170D" w:rsidP="006C6323">
            <w:pPr>
              <w:jc w:val="both"/>
              <w:rPr>
                <w:rFonts w:ascii="Times New Roman" w:hAnsi="Times New Roman" w:cs="Times New Roman"/>
                <w:sz w:val="18"/>
                <w:szCs w:val="18"/>
              </w:rPr>
            </w:pPr>
            <w:r w:rsidRPr="00487209">
              <w:rPr>
                <w:rFonts w:ascii="Times New Roman" w:hAnsi="Times New Roman" w:cs="Times New Roman"/>
                <w:sz w:val="18"/>
                <w:szCs w:val="18"/>
              </w:rPr>
              <w:t>‘manufacturer’ means any natural or legal person who manufactures a construction product or who has such a product designed or manufactured, and markets that product under his name or trademark;</w:t>
            </w:r>
          </w:p>
        </w:tc>
        <w:tc>
          <w:tcPr>
            <w:tcW w:w="429" w:type="pct"/>
            <w:shd w:val="clear" w:color="auto" w:fill="auto"/>
            <w:vAlign w:val="center"/>
          </w:tcPr>
          <w:p w14:paraId="4016603F"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35773118" w14:textId="7B35C551" w:rsidR="00425B2E" w:rsidRPr="00487209" w:rsidRDefault="000E07A8" w:rsidP="002605F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2605FF">
              <w:rPr>
                <w:rFonts w:ascii="Times New Roman" w:hAnsi="Times New Roman" w:cs="Times New Roman"/>
                <w:sz w:val="18"/>
                <w:szCs w:val="18"/>
              </w:rPr>
              <w:t>24</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38A34840" w14:textId="77777777" w:rsidR="00425B2E" w:rsidRPr="00487209" w:rsidRDefault="000E07A8" w:rsidP="006C6323">
            <w:pPr>
              <w:jc w:val="both"/>
              <w:rPr>
                <w:rFonts w:ascii="Times New Roman" w:hAnsi="Times New Roman" w:cs="Times New Roman"/>
                <w:b/>
                <w:sz w:val="18"/>
                <w:szCs w:val="18"/>
                <w:lang w:val="sr-Cyrl-CS"/>
              </w:rPr>
            </w:pPr>
            <w:r w:rsidRPr="00487209">
              <w:rPr>
                <w:rFonts w:ascii="Times New Roman" w:hAnsi="Times New Roman" w:cs="Times New Roman"/>
                <w:i/>
                <w:sz w:val="18"/>
                <w:szCs w:val="18"/>
                <w:lang w:val="sr-Cyrl-CS"/>
              </w:rPr>
              <w:t>произвођач</w:t>
            </w:r>
            <w:r w:rsidR="00C608DE" w:rsidRPr="00487209">
              <w:rPr>
                <w:rFonts w:ascii="Times New Roman" w:hAnsi="Times New Roman" w:cs="Times New Roman"/>
                <w:sz w:val="18"/>
                <w:szCs w:val="18"/>
                <w:lang w:val="sr-Cyrl-CS"/>
              </w:rPr>
              <w:t> </w:t>
            </w:r>
            <w:r w:rsidRPr="00487209">
              <w:rPr>
                <w:rFonts w:ascii="Times New Roman" w:hAnsi="Times New Roman" w:cs="Times New Roman"/>
                <w:sz w:val="18"/>
                <w:szCs w:val="18"/>
                <w:lang w:val="sr-Cyrl-CS"/>
              </w:rPr>
              <w:t>је правно лице или предузетник које производи грађевински производ или за кога се тај грађевински производ пројектује или производи и тргује њиме под својим именом или жигом;</w:t>
            </w:r>
          </w:p>
        </w:tc>
        <w:tc>
          <w:tcPr>
            <w:tcW w:w="458" w:type="pct"/>
            <w:shd w:val="clear" w:color="auto" w:fill="auto"/>
            <w:vAlign w:val="center"/>
          </w:tcPr>
          <w:p w14:paraId="6B17939E" w14:textId="77777777" w:rsidR="00425B2E" w:rsidRPr="00487209" w:rsidRDefault="000213CB"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02870279" w14:textId="77777777" w:rsidR="00425B2E" w:rsidRPr="00487209" w:rsidRDefault="00425B2E"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107688FE"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1F552628" w14:textId="77777777" w:rsidTr="007D5144">
        <w:trPr>
          <w:trHeight w:val="474"/>
          <w:jc w:val="center"/>
        </w:trPr>
        <w:tc>
          <w:tcPr>
            <w:tcW w:w="435" w:type="pct"/>
            <w:shd w:val="clear" w:color="auto" w:fill="auto"/>
            <w:vAlign w:val="center"/>
          </w:tcPr>
          <w:p w14:paraId="6DF9A26E"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2.20.</w:t>
            </w:r>
          </w:p>
        </w:tc>
        <w:tc>
          <w:tcPr>
            <w:tcW w:w="1369" w:type="pct"/>
            <w:gridSpan w:val="2"/>
            <w:shd w:val="clear" w:color="auto" w:fill="auto"/>
            <w:vAlign w:val="center"/>
          </w:tcPr>
          <w:tbl>
            <w:tblPr>
              <w:tblW w:w="5000" w:type="pct"/>
              <w:tblCellSpacing w:w="0" w:type="dxa"/>
              <w:tblCellMar>
                <w:left w:w="0" w:type="dxa"/>
                <w:right w:w="0" w:type="dxa"/>
              </w:tblCellMar>
              <w:tblLook w:val="04A0" w:firstRow="1" w:lastRow="0" w:firstColumn="1" w:lastColumn="0" w:noHBand="0" w:noVBand="1"/>
            </w:tblPr>
            <w:tblGrid>
              <w:gridCol w:w="6"/>
              <w:gridCol w:w="3385"/>
            </w:tblGrid>
            <w:tr w:rsidR="00EC7E34" w:rsidRPr="00487209" w14:paraId="7B12D6EE" w14:textId="77777777" w:rsidTr="00425B2E">
              <w:trPr>
                <w:tblCellSpacing w:w="0" w:type="dxa"/>
              </w:trPr>
              <w:tc>
                <w:tcPr>
                  <w:tcW w:w="0" w:type="auto"/>
                  <w:hideMark/>
                </w:tcPr>
                <w:p w14:paraId="1CD947A1" w14:textId="77777777" w:rsidR="00425B2E" w:rsidRPr="00487209" w:rsidRDefault="00425B2E" w:rsidP="006C6323">
                  <w:pPr>
                    <w:jc w:val="both"/>
                    <w:rPr>
                      <w:rFonts w:ascii="Times New Roman" w:hAnsi="Times New Roman" w:cs="Times New Roman"/>
                      <w:sz w:val="18"/>
                      <w:szCs w:val="18"/>
                    </w:rPr>
                  </w:pPr>
                </w:p>
              </w:tc>
              <w:tc>
                <w:tcPr>
                  <w:tcW w:w="0" w:type="auto"/>
                  <w:hideMark/>
                </w:tcPr>
                <w:p w14:paraId="569DB418" w14:textId="77777777" w:rsidR="00425B2E" w:rsidRPr="00487209" w:rsidRDefault="002B170D"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‘distributor’ means any natural or legal person in the supply chain, other than the manufacturer or the importer, who makes a construction product available on the market;</w:t>
                  </w:r>
                </w:p>
              </w:tc>
            </w:tr>
          </w:tbl>
          <w:p w14:paraId="1CCC5CFA" w14:textId="77777777" w:rsidR="00425B2E" w:rsidRPr="00487209" w:rsidRDefault="00425B2E" w:rsidP="006C6323">
            <w:pPr>
              <w:jc w:val="both"/>
              <w:rPr>
                <w:rFonts w:ascii="Times New Roman" w:hAnsi="Times New Roman" w:cs="Times New Roman"/>
                <w:sz w:val="18"/>
                <w:szCs w:val="18"/>
              </w:rPr>
            </w:pPr>
          </w:p>
        </w:tc>
        <w:tc>
          <w:tcPr>
            <w:tcW w:w="429" w:type="pct"/>
            <w:shd w:val="clear" w:color="auto" w:fill="auto"/>
            <w:vAlign w:val="center"/>
          </w:tcPr>
          <w:p w14:paraId="6717A7AD"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11889548" w14:textId="490B6E64" w:rsidR="00425B2E" w:rsidRPr="00487209" w:rsidRDefault="000213CB" w:rsidP="002605F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2605FF">
              <w:rPr>
                <w:rFonts w:ascii="Times New Roman" w:hAnsi="Times New Roman" w:cs="Times New Roman"/>
                <w:sz w:val="18"/>
                <w:szCs w:val="18"/>
              </w:rPr>
              <w:t>25</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1293FB98" w14:textId="77777777" w:rsidR="003773CF" w:rsidRPr="00487209" w:rsidRDefault="003773CF" w:rsidP="003773CF">
            <w:pPr>
              <w:tabs>
                <w:tab w:val="left" w:pos="708"/>
                <w:tab w:val="left" w:pos="1080"/>
              </w:tabs>
              <w:spacing w:before="120" w:after="120"/>
              <w:ind w:right="-23"/>
              <w:jc w:val="both"/>
              <w:outlineLvl w:val="3"/>
              <w:rPr>
                <w:rFonts w:ascii="Times New Roman" w:eastAsia="Batang" w:hAnsi="Times New Roman" w:cs="Times New Roman"/>
                <w:b/>
                <w:sz w:val="18"/>
                <w:szCs w:val="18"/>
                <w:lang w:val="sr-Cyrl-CS" w:eastAsia="ko-KR"/>
              </w:rPr>
            </w:pPr>
            <w:r w:rsidRPr="00487209">
              <w:rPr>
                <w:rFonts w:ascii="Times New Roman" w:eastAsia="Batang" w:hAnsi="Times New Roman" w:cs="Times New Roman"/>
                <w:i/>
                <w:sz w:val="18"/>
                <w:szCs w:val="18"/>
                <w:lang w:val="sr-Cyrl-CS" w:eastAsia="ko-KR"/>
              </w:rPr>
              <w:t xml:space="preserve">дистрибутер </w:t>
            </w:r>
            <w:r w:rsidRPr="00487209">
              <w:rPr>
                <w:rFonts w:ascii="Times New Roman" w:eastAsia="Batang" w:hAnsi="Times New Roman" w:cs="Times New Roman"/>
                <w:sz w:val="18"/>
                <w:szCs w:val="18"/>
                <w:lang w:val="sr-Cyrl-CS" w:eastAsia="ko-KR"/>
              </w:rPr>
              <w:t xml:space="preserve">је правно лице или предузетник регистрован у Републици Србији, које је укључено у ланац </w:t>
            </w:r>
            <w:r w:rsidRPr="00487209">
              <w:rPr>
                <w:rFonts w:ascii="Times New Roman" w:eastAsia="Batang" w:hAnsi="Times New Roman" w:cs="Times New Roman"/>
                <w:sz w:val="18"/>
                <w:szCs w:val="18"/>
                <w:lang w:val="sr-Cyrl-CS" w:eastAsia="ko-KR"/>
              </w:rPr>
              <w:lastRenderedPageBreak/>
              <w:t xml:space="preserve">испоруке и које у оквиру обављања своје делатности </w:t>
            </w:r>
            <w:r w:rsidRPr="00487209">
              <w:rPr>
                <w:rFonts w:ascii="Times New Roman" w:eastAsia="MS Mincho" w:hAnsi="Times New Roman" w:cs="Times New Roman"/>
                <w:sz w:val="18"/>
                <w:szCs w:val="18"/>
                <w:lang w:val="sr-Cyrl-CS"/>
              </w:rPr>
              <w:t>чини грађевински производ доступним на тржишту</w:t>
            </w:r>
            <w:r w:rsidRPr="00487209">
              <w:rPr>
                <w:rFonts w:ascii="Times New Roman" w:eastAsia="Batang" w:hAnsi="Times New Roman" w:cs="Times New Roman"/>
                <w:sz w:val="18"/>
                <w:szCs w:val="18"/>
                <w:lang w:val="sr-Cyrl-CS" w:eastAsia="ko-KR"/>
              </w:rPr>
              <w:t>, а није произвођач или увозник;</w:t>
            </w:r>
          </w:p>
          <w:p w14:paraId="34DB3A21" w14:textId="77777777" w:rsidR="00425B2E" w:rsidRPr="00487209" w:rsidRDefault="00425B2E" w:rsidP="006C6323">
            <w:pPr>
              <w:jc w:val="both"/>
              <w:rPr>
                <w:rFonts w:ascii="Times New Roman" w:hAnsi="Times New Roman" w:cs="Times New Roman"/>
                <w:sz w:val="18"/>
                <w:szCs w:val="18"/>
                <w:lang w:val="sr-Cyrl-CS"/>
              </w:rPr>
            </w:pPr>
          </w:p>
        </w:tc>
        <w:tc>
          <w:tcPr>
            <w:tcW w:w="458" w:type="pct"/>
            <w:shd w:val="clear" w:color="auto" w:fill="auto"/>
            <w:vAlign w:val="center"/>
          </w:tcPr>
          <w:p w14:paraId="5951C45A" w14:textId="77777777" w:rsidR="00425B2E" w:rsidRPr="00487209" w:rsidRDefault="00A810F8"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Д</w:t>
            </w:r>
            <w:r w:rsidR="000213CB" w:rsidRPr="00487209">
              <w:rPr>
                <w:rFonts w:ascii="Times New Roman" w:hAnsi="Times New Roman" w:cs="Times New Roman"/>
                <w:sz w:val="18"/>
                <w:szCs w:val="18"/>
                <w:lang w:val="ru-RU"/>
              </w:rPr>
              <w:t>У</w:t>
            </w:r>
          </w:p>
        </w:tc>
        <w:tc>
          <w:tcPr>
            <w:tcW w:w="598" w:type="pct"/>
            <w:gridSpan w:val="2"/>
            <w:shd w:val="clear" w:color="auto" w:fill="auto"/>
            <w:vAlign w:val="center"/>
          </w:tcPr>
          <w:p w14:paraId="6E75ABCC" w14:textId="65A19BF0" w:rsidR="00C63FF5" w:rsidRPr="00487209" w:rsidRDefault="00D77E6C" w:rsidP="006A4A99">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 xml:space="preserve">Члан </w:t>
            </w:r>
            <w:r w:rsidR="004E7021" w:rsidRPr="00487209">
              <w:rPr>
                <w:rFonts w:ascii="Times New Roman" w:hAnsi="Times New Roman" w:cs="Times New Roman"/>
                <w:sz w:val="18"/>
                <w:szCs w:val="18"/>
                <w:lang w:val="ru-RU"/>
              </w:rPr>
              <w:t>2.20.</w:t>
            </w:r>
            <w:r w:rsidR="004E7021" w:rsidRPr="00487209">
              <w:rPr>
                <w:rFonts w:ascii="Times New Roman" w:hAnsi="Times New Roman" w:cs="Times New Roman"/>
                <w:sz w:val="18"/>
                <w:szCs w:val="18"/>
                <w:lang w:val="sr-Cyrl-CS"/>
              </w:rPr>
              <w:t xml:space="preserve"> Уредбе 305/2011 (ЕУ) је </w:t>
            </w:r>
            <w:r>
              <w:rPr>
                <w:rFonts w:ascii="Times New Roman" w:hAnsi="Times New Roman" w:cs="Times New Roman"/>
                <w:sz w:val="18"/>
                <w:szCs w:val="18"/>
                <w:lang w:val="sr-Cyrl-CS"/>
              </w:rPr>
              <w:lastRenderedPageBreak/>
              <w:t>делимично усклађен са чланом 2. став 1. тачка</w:t>
            </w:r>
            <w:r w:rsidR="00DA28D0" w:rsidRPr="00487209">
              <w:rPr>
                <w:rFonts w:ascii="Times New Roman" w:hAnsi="Times New Roman" w:cs="Times New Roman"/>
                <w:sz w:val="18"/>
                <w:szCs w:val="18"/>
                <w:lang w:val="sr-Cyrl-CS"/>
              </w:rPr>
              <w:t xml:space="preserve"> </w:t>
            </w:r>
            <w:r w:rsidR="006A4A99">
              <w:rPr>
                <w:rFonts w:ascii="Times New Roman" w:hAnsi="Times New Roman" w:cs="Times New Roman"/>
                <w:sz w:val="18"/>
                <w:szCs w:val="18"/>
                <w:lang w:val="sr-Cyrl-CS"/>
              </w:rPr>
              <w:t>25</w:t>
            </w:r>
            <w:r w:rsidR="00DA28D0"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DA28D0" w:rsidRPr="00487209">
              <w:rPr>
                <w:rFonts w:ascii="Times New Roman" w:hAnsi="Times New Roman" w:cs="Times New Roman"/>
                <w:sz w:val="18"/>
                <w:szCs w:val="18"/>
                <w:lang w:val="sr-Cyrl-CS"/>
              </w:rPr>
              <w:t xml:space="preserve"> због статуса нечланице.</w:t>
            </w:r>
            <w:r w:rsidR="00C765E5" w:rsidRPr="00487209">
              <w:rPr>
                <w:rFonts w:ascii="Times New Roman" w:hAnsi="Times New Roman" w:cs="Times New Roman"/>
                <w:sz w:val="18"/>
                <w:szCs w:val="18"/>
                <w:lang w:val="sr-Cyrl-CS"/>
              </w:rPr>
              <w:t xml:space="preserve"> </w:t>
            </w:r>
            <w:r w:rsidR="00DA28D0" w:rsidRPr="00487209">
              <w:rPr>
                <w:rFonts w:ascii="Times New Roman" w:hAnsi="Times New Roman" w:cs="Times New Roman"/>
                <w:sz w:val="18"/>
                <w:szCs w:val="18"/>
                <w:lang w:val="sr-Cyrl-CS"/>
              </w:rPr>
              <w:t xml:space="preserve"> </w:t>
            </w:r>
            <w:r w:rsidR="00472936" w:rsidRPr="00487209">
              <w:rPr>
                <w:rFonts w:ascii="Times New Roman" w:hAnsi="Times New Roman" w:cs="Times New Roman"/>
                <w:sz w:val="18"/>
                <w:szCs w:val="18"/>
                <w:lang w:val="sr-Cyrl-CS"/>
              </w:rPr>
              <w:t>Потпуно усклађивање биће могуће након приступања ЕУ.</w:t>
            </w:r>
          </w:p>
        </w:tc>
        <w:tc>
          <w:tcPr>
            <w:tcW w:w="480" w:type="pct"/>
            <w:shd w:val="clear" w:color="auto" w:fill="auto"/>
            <w:vAlign w:val="center"/>
          </w:tcPr>
          <w:p w14:paraId="334CAB52" w14:textId="77777777" w:rsidR="00425B2E" w:rsidRPr="00487209" w:rsidRDefault="00425B2E" w:rsidP="006C6323">
            <w:pPr>
              <w:spacing w:before="120" w:after="120"/>
              <w:jc w:val="center"/>
              <w:rPr>
                <w:rFonts w:ascii="Times New Roman" w:hAnsi="Times New Roman" w:cs="Times New Roman"/>
                <w:b/>
                <w:bCs/>
                <w:sz w:val="18"/>
                <w:szCs w:val="18"/>
                <w:lang w:val="sr-Cyrl-CS"/>
              </w:rPr>
            </w:pPr>
          </w:p>
        </w:tc>
      </w:tr>
      <w:tr w:rsidR="00337554" w:rsidRPr="00487209" w14:paraId="27A3A30F" w14:textId="77777777" w:rsidTr="007D5144">
        <w:trPr>
          <w:trHeight w:val="1970"/>
          <w:jc w:val="center"/>
        </w:trPr>
        <w:tc>
          <w:tcPr>
            <w:tcW w:w="435" w:type="pct"/>
            <w:shd w:val="clear" w:color="auto" w:fill="auto"/>
            <w:vAlign w:val="center"/>
          </w:tcPr>
          <w:p w14:paraId="20A59D4E"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2.21.</w:t>
            </w:r>
          </w:p>
        </w:tc>
        <w:tc>
          <w:tcPr>
            <w:tcW w:w="1369" w:type="pct"/>
            <w:gridSpan w:val="2"/>
            <w:shd w:val="clear" w:color="auto" w:fill="auto"/>
            <w:vAlign w:val="center"/>
          </w:tcPr>
          <w:p w14:paraId="0C908BD6" w14:textId="77777777" w:rsidR="00425B2E" w:rsidRPr="00487209" w:rsidRDefault="002B170D" w:rsidP="006C6323">
            <w:pPr>
              <w:jc w:val="both"/>
              <w:rPr>
                <w:rFonts w:ascii="Times New Roman" w:hAnsi="Times New Roman" w:cs="Times New Roman"/>
                <w:sz w:val="18"/>
                <w:szCs w:val="18"/>
              </w:rPr>
            </w:pPr>
            <w:r w:rsidRPr="00487209">
              <w:rPr>
                <w:rFonts w:ascii="Times New Roman" w:hAnsi="Times New Roman" w:cs="Times New Roman"/>
                <w:sz w:val="18"/>
                <w:szCs w:val="18"/>
              </w:rPr>
              <w:t>‘importer’ means any natural or legal person established within the Union, who places a construction product from a third country on the Union market;</w:t>
            </w:r>
          </w:p>
        </w:tc>
        <w:tc>
          <w:tcPr>
            <w:tcW w:w="429" w:type="pct"/>
            <w:shd w:val="clear" w:color="auto" w:fill="auto"/>
            <w:vAlign w:val="center"/>
          </w:tcPr>
          <w:p w14:paraId="205143B2"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689ECAEB" w14:textId="4E2977D5" w:rsidR="00425B2E" w:rsidRPr="00487209" w:rsidRDefault="000213CB" w:rsidP="002605F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2605FF">
              <w:rPr>
                <w:rFonts w:ascii="Times New Roman" w:hAnsi="Times New Roman" w:cs="Times New Roman"/>
                <w:sz w:val="18"/>
                <w:szCs w:val="18"/>
              </w:rPr>
              <w:t>26</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2EDB8F9C" w14:textId="4FBBFE19" w:rsidR="000213CB" w:rsidRPr="00487209" w:rsidRDefault="003773CF" w:rsidP="006C6323">
            <w:pPr>
              <w:jc w:val="both"/>
              <w:rPr>
                <w:rFonts w:ascii="Times New Roman" w:hAnsi="Times New Roman" w:cs="Times New Roman"/>
                <w:b/>
                <w:sz w:val="18"/>
                <w:szCs w:val="18"/>
                <w:lang w:val="sr-Cyrl-CS"/>
              </w:rPr>
            </w:pPr>
            <w:r w:rsidRPr="00487209">
              <w:rPr>
                <w:rFonts w:ascii="Times New Roman" w:hAnsi="Times New Roman" w:cs="Times New Roman"/>
                <w:i/>
                <w:sz w:val="18"/>
                <w:szCs w:val="18"/>
                <w:lang w:val="sr-Cyrl-CS"/>
              </w:rPr>
              <w:t>у</w:t>
            </w:r>
            <w:r w:rsidR="000213CB" w:rsidRPr="00487209">
              <w:rPr>
                <w:rFonts w:ascii="Times New Roman" w:hAnsi="Times New Roman" w:cs="Times New Roman"/>
                <w:i/>
                <w:sz w:val="18"/>
                <w:szCs w:val="18"/>
                <w:lang w:val="sr-Cyrl-CS"/>
              </w:rPr>
              <w:t>возник</w:t>
            </w:r>
            <w:r w:rsidR="00C608DE" w:rsidRPr="00487209">
              <w:rPr>
                <w:rFonts w:ascii="Times New Roman" w:hAnsi="Times New Roman" w:cs="Times New Roman"/>
                <w:i/>
                <w:sz w:val="18"/>
                <w:szCs w:val="18"/>
                <w:lang w:val="sr-Cyrl-CS"/>
              </w:rPr>
              <w:t xml:space="preserve"> </w:t>
            </w:r>
            <w:r w:rsidR="000213CB" w:rsidRPr="00487209">
              <w:rPr>
                <w:rFonts w:ascii="Times New Roman" w:hAnsi="Times New Roman" w:cs="Times New Roman"/>
                <w:sz w:val="18"/>
                <w:szCs w:val="18"/>
                <w:lang w:val="sr-Cyrl-CS"/>
              </w:rPr>
              <w:t> је правно лице или предузетник регистрован у Републици Србији, које ставља на тржиште грађевински производ из других земаља;</w:t>
            </w:r>
          </w:p>
          <w:p w14:paraId="38211F46" w14:textId="77777777" w:rsidR="00425B2E" w:rsidRPr="00487209" w:rsidRDefault="00425B2E" w:rsidP="006C6323">
            <w:pPr>
              <w:jc w:val="both"/>
              <w:rPr>
                <w:rFonts w:ascii="Times New Roman" w:hAnsi="Times New Roman" w:cs="Times New Roman"/>
                <w:sz w:val="18"/>
                <w:szCs w:val="18"/>
                <w:lang w:val="sr-Cyrl-CS"/>
              </w:rPr>
            </w:pPr>
          </w:p>
        </w:tc>
        <w:tc>
          <w:tcPr>
            <w:tcW w:w="458" w:type="pct"/>
            <w:shd w:val="clear" w:color="auto" w:fill="auto"/>
            <w:vAlign w:val="center"/>
          </w:tcPr>
          <w:p w14:paraId="69B9A4D5" w14:textId="77777777" w:rsidR="00425B2E" w:rsidRPr="00487209" w:rsidRDefault="005D716D"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Д</w:t>
            </w:r>
            <w:r w:rsidR="005100FA" w:rsidRPr="00487209">
              <w:rPr>
                <w:rFonts w:ascii="Times New Roman" w:hAnsi="Times New Roman" w:cs="Times New Roman"/>
                <w:sz w:val="18"/>
                <w:szCs w:val="18"/>
                <w:lang w:val="ru-RU"/>
              </w:rPr>
              <w:t>У</w:t>
            </w:r>
          </w:p>
        </w:tc>
        <w:tc>
          <w:tcPr>
            <w:tcW w:w="598" w:type="pct"/>
            <w:gridSpan w:val="2"/>
            <w:shd w:val="clear" w:color="auto" w:fill="auto"/>
            <w:vAlign w:val="center"/>
          </w:tcPr>
          <w:p w14:paraId="0EB6F0A3" w14:textId="556B7A7C" w:rsidR="00425B2E" w:rsidRPr="00487209" w:rsidRDefault="00D77E6C" w:rsidP="00D77E6C">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5D716D" w:rsidRPr="00487209">
              <w:rPr>
                <w:rFonts w:ascii="Times New Roman" w:hAnsi="Times New Roman" w:cs="Times New Roman"/>
                <w:sz w:val="18"/>
                <w:szCs w:val="18"/>
                <w:lang w:val="ru-RU"/>
              </w:rPr>
              <w:t xml:space="preserve"> 2.21.</w:t>
            </w:r>
            <w:r w:rsidR="005D716D" w:rsidRPr="00487209">
              <w:rPr>
                <w:rFonts w:ascii="Times New Roman" w:hAnsi="Times New Roman" w:cs="Times New Roman"/>
                <w:sz w:val="18"/>
                <w:szCs w:val="18"/>
                <w:lang w:val="sr-Cyrl-CS"/>
              </w:rPr>
              <w:t xml:space="preserve"> Уредбе 305/2011 (ЕУ) је </w:t>
            </w:r>
            <w:r>
              <w:rPr>
                <w:rFonts w:ascii="Times New Roman" w:hAnsi="Times New Roman" w:cs="Times New Roman"/>
                <w:sz w:val="18"/>
                <w:szCs w:val="18"/>
                <w:lang w:val="sr-Cyrl-CS"/>
              </w:rPr>
              <w:t>делимично усклађен са чланом 2. став</w:t>
            </w:r>
            <w:r w:rsidR="00040987" w:rsidRPr="00487209">
              <w:rPr>
                <w:rFonts w:ascii="Times New Roman" w:hAnsi="Times New Roman" w:cs="Times New Roman"/>
                <w:sz w:val="18"/>
                <w:szCs w:val="18"/>
                <w:lang w:val="sr-Cyrl-CS"/>
              </w:rPr>
              <w:t xml:space="preserve"> 1. тач</w:t>
            </w:r>
            <w:r>
              <w:rPr>
                <w:rFonts w:ascii="Times New Roman" w:hAnsi="Times New Roman" w:cs="Times New Roman"/>
                <w:sz w:val="18"/>
                <w:szCs w:val="18"/>
                <w:lang w:val="sr-Cyrl-CS"/>
              </w:rPr>
              <w:t xml:space="preserve">ка </w:t>
            </w:r>
            <w:r w:rsidR="00040987" w:rsidRPr="00487209">
              <w:rPr>
                <w:rFonts w:ascii="Times New Roman" w:hAnsi="Times New Roman" w:cs="Times New Roman"/>
                <w:sz w:val="18"/>
                <w:szCs w:val="18"/>
                <w:lang w:val="sr-Cyrl-CS"/>
              </w:rPr>
              <w:t xml:space="preserve"> </w:t>
            </w:r>
            <w:r w:rsidR="006A4A99" w:rsidRPr="00487209">
              <w:rPr>
                <w:rFonts w:ascii="Times New Roman" w:hAnsi="Times New Roman" w:cs="Times New Roman"/>
                <w:sz w:val="18"/>
                <w:szCs w:val="18"/>
              </w:rPr>
              <w:t>2</w:t>
            </w:r>
            <w:r w:rsidR="006A4A99">
              <w:rPr>
                <w:rFonts w:ascii="Times New Roman" w:hAnsi="Times New Roman" w:cs="Times New Roman"/>
                <w:sz w:val="18"/>
                <w:szCs w:val="18"/>
                <w:lang w:val="sr-Cyrl-CS"/>
              </w:rPr>
              <w:t>6</w:t>
            </w:r>
            <w:r w:rsidR="00040987"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Pr>
                <w:rFonts w:ascii="Times New Roman" w:hAnsi="Times New Roman" w:cs="Times New Roman"/>
                <w:sz w:val="18"/>
                <w:szCs w:val="18"/>
                <w:lang w:val="sr-Cyrl-CS"/>
              </w:rPr>
              <w:t xml:space="preserve"> због </w:t>
            </w:r>
            <w:r w:rsidR="005D716D" w:rsidRPr="00487209">
              <w:rPr>
                <w:rFonts w:ascii="Times New Roman" w:hAnsi="Times New Roman" w:cs="Times New Roman"/>
                <w:sz w:val="18"/>
                <w:szCs w:val="18"/>
                <w:lang w:val="sr-Cyrl-CS"/>
              </w:rPr>
              <w:t xml:space="preserve">статуса нечланице ЕУ. </w:t>
            </w:r>
            <w:r w:rsidR="00B84DA2" w:rsidRPr="00487209">
              <w:rPr>
                <w:rFonts w:ascii="Times New Roman" w:hAnsi="Times New Roman" w:cs="Times New Roman"/>
                <w:sz w:val="18"/>
                <w:szCs w:val="18"/>
                <w:lang w:val="sr-Cyrl-CS"/>
              </w:rPr>
              <w:t>Потпуно усклађивање биће могуће након приступања ЕУ.</w:t>
            </w:r>
            <w:r>
              <w:rPr>
                <w:rFonts w:ascii="Times New Roman" w:hAnsi="Times New Roman" w:cs="Times New Roman"/>
                <w:sz w:val="18"/>
                <w:szCs w:val="18"/>
                <w:lang w:val="sr-Cyrl-CS"/>
              </w:rPr>
              <w:t xml:space="preserve"> </w:t>
            </w:r>
            <w:r w:rsidR="005D716D" w:rsidRPr="00487209">
              <w:rPr>
                <w:rFonts w:ascii="Times New Roman" w:hAnsi="Times New Roman" w:cs="Times New Roman"/>
                <w:sz w:val="18"/>
                <w:szCs w:val="18"/>
                <w:lang w:val="sr-Cyrl-CS"/>
              </w:rPr>
              <w:t>Потпуно усклађивање биће могуће након приступања ЕУ.</w:t>
            </w:r>
          </w:p>
        </w:tc>
        <w:tc>
          <w:tcPr>
            <w:tcW w:w="480" w:type="pct"/>
            <w:shd w:val="clear" w:color="auto" w:fill="auto"/>
            <w:vAlign w:val="center"/>
          </w:tcPr>
          <w:p w14:paraId="1B3A538A" w14:textId="77777777" w:rsidR="00425B2E" w:rsidRPr="00487209" w:rsidRDefault="00425B2E" w:rsidP="006C6323">
            <w:pPr>
              <w:spacing w:before="120" w:after="120"/>
              <w:jc w:val="center"/>
              <w:rPr>
                <w:rFonts w:ascii="Times New Roman" w:hAnsi="Times New Roman" w:cs="Times New Roman"/>
                <w:sz w:val="18"/>
                <w:szCs w:val="18"/>
                <w:lang w:val="sr-Cyrl-CS"/>
              </w:rPr>
            </w:pPr>
          </w:p>
        </w:tc>
      </w:tr>
      <w:tr w:rsidR="00337554" w:rsidRPr="00487209" w14:paraId="33BA0FE1" w14:textId="77777777" w:rsidTr="007D5144">
        <w:trPr>
          <w:trHeight w:val="629"/>
          <w:jc w:val="center"/>
        </w:trPr>
        <w:tc>
          <w:tcPr>
            <w:tcW w:w="435" w:type="pct"/>
            <w:shd w:val="clear" w:color="auto" w:fill="auto"/>
            <w:vAlign w:val="center"/>
          </w:tcPr>
          <w:p w14:paraId="4BB34CB1"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2.22.</w:t>
            </w:r>
          </w:p>
        </w:tc>
        <w:tc>
          <w:tcPr>
            <w:tcW w:w="1369" w:type="pct"/>
            <w:gridSpan w:val="2"/>
            <w:shd w:val="clear" w:color="auto" w:fill="auto"/>
            <w:vAlign w:val="center"/>
          </w:tcPr>
          <w:p w14:paraId="3891FEC3" w14:textId="77777777" w:rsidR="00425B2E" w:rsidRPr="00487209" w:rsidRDefault="002B170D" w:rsidP="006C6323">
            <w:pPr>
              <w:jc w:val="both"/>
              <w:rPr>
                <w:rFonts w:ascii="Times New Roman" w:hAnsi="Times New Roman" w:cs="Times New Roman"/>
                <w:sz w:val="18"/>
                <w:szCs w:val="18"/>
              </w:rPr>
            </w:pPr>
            <w:r w:rsidRPr="00487209">
              <w:rPr>
                <w:rFonts w:ascii="Times New Roman" w:hAnsi="Times New Roman" w:cs="Times New Roman"/>
                <w:sz w:val="18"/>
                <w:szCs w:val="18"/>
              </w:rPr>
              <w:t xml:space="preserve">‘authorised representative’ means any natural or legal person established within the Union who has received a written mandate from a </w:t>
            </w:r>
            <w:r w:rsidRPr="00487209">
              <w:rPr>
                <w:rFonts w:ascii="Times New Roman" w:hAnsi="Times New Roman" w:cs="Times New Roman"/>
                <w:sz w:val="18"/>
                <w:szCs w:val="18"/>
              </w:rPr>
              <w:lastRenderedPageBreak/>
              <w:t>manufacturer to act on his behalf in relation to specified tasks;</w:t>
            </w:r>
          </w:p>
        </w:tc>
        <w:tc>
          <w:tcPr>
            <w:tcW w:w="429" w:type="pct"/>
            <w:shd w:val="clear" w:color="auto" w:fill="auto"/>
            <w:vAlign w:val="center"/>
          </w:tcPr>
          <w:p w14:paraId="53E75E39"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01</w:t>
            </w:r>
          </w:p>
          <w:p w14:paraId="6E16934F" w14:textId="603CFD27" w:rsidR="00425B2E" w:rsidRPr="00487209" w:rsidRDefault="00522F88" w:rsidP="002605F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2605FF">
              <w:rPr>
                <w:rFonts w:ascii="Times New Roman" w:hAnsi="Times New Roman" w:cs="Times New Roman"/>
                <w:sz w:val="18"/>
                <w:szCs w:val="18"/>
              </w:rPr>
              <w:t>27</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731E3F66" w14:textId="77777777" w:rsidR="00522F88" w:rsidRPr="00487209" w:rsidRDefault="00522F88" w:rsidP="006C6323">
            <w:pPr>
              <w:jc w:val="both"/>
              <w:rPr>
                <w:rFonts w:ascii="Times New Roman" w:hAnsi="Times New Roman" w:cs="Times New Roman"/>
                <w:sz w:val="18"/>
                <w:szCs w:val="18"/>
                <w:lang w:val="sr-Cyrl-CS"/>
              </w:rPr>
            </w:pPr>
            <w:r w:rsidRPr="00487209">
              <w:rPr>
                <w:rFonts w:ascii="Times New Roman" w:hAnsi="Times New Roman" w:cs="Times New Roman"/>
                <w:i/>
                <w:sz w:val="18"/>
                <w:szCs w:val="18"/>
                <w:lang w:val="sr-Cyrl-CS"/>
              </w:rPr>
              <w:t>заступник</w:t>
            </w:r>
            <w:r w:rsidR="00C608DE"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lang w:val="sr-Cyrl-CS"/>
              </w:rPr>
              <w:t xml:space="preserve">је правно лице или предузетник регистрован у Републици Србији, које је произвођач овластио да </w:t>
            </w:r>
            <w:r w:rsidRPr="00487209">
              <w:rPr>
                <w:rFonts w:ascii="Times New Roman" w:hAnsi="Times New Roman" w:cs="Times New Roman"/>
                <w:sz w:val="18"/>
                <w:szCs w:val="18"/>
                <w:lang w:val="sr-Cyrl-CS"/>
              </w:rPr>
              <w:lastRenderedPageBreak/>
              <w:t>за његов рачун предузима радње из овлашћења, а у вези са стављањем грађевинског производа на тржиште Републике Србије;</w:t>
            </w:r>
          </w:p>
          <w:p w14:paraId="6A731613" w14:textId="77777777" w:rsidR="00425B2E" w:rsidRPr="00487209" w:rsidRDefault="00425B2E" w:rsidP="006C6323">
            <w:pPr>
              <w:jc w:val="both"/>
              <w:rPr>
                <w:rFonts w:ascii="Times New Roman" w:hAnsi="Times New Roman" w:cs="Times New Roman"/>
                <w:sz w:val="18"/>
                <w:szCs w:val="18"/>
                <w:lang w:val="sr-Cyrl-CS"/>
              </w:rPr>
            </w:pPr>
          </w:p>
        </w:tc>
        <w:tc>
          <w:tcPr>
            <w:tcW w:w="458" w:type="pct"/>
            <w:shd w:val="clear" w:color="auto" w:fill="auto"/>
            <w:vAlign w:val="center"/>
          </w:tcPr>
          <w:p w14:paraId="5C22D801" w14:textId="77777777" w:rsidR="00425B2E" w:rsidRPr="00487209" w:rsidRDefault="00472936"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Д</w:t>
            </w:r>
            <w:r w:rsidR="00522F88" w:rsidRPr="00487209">
              <w:rPr>
                <w:rFonts w:ascii="Times New Roman" w:hAnsi="Times New Roman" w:cs="Times New Roman"/>
                <w:sz w:val="18"/>
                <w:szCs w:val="18"/>
                <w:lang w:val="ru-RU"/>
              </w:rPr>
              <w:t>У</w:t>
            </w:r>
          </w:p>
        </w:tc>
        <w:tc>
          <w:tcPr>
            <w:tcW w:w="598" w:type="pct"/>
            <w:gridSpan w:val="2"/>
            <w:shd w:val="clear" w:color="auto" w:fill="auto"/>
            <w:vAlign w:val="center"/>
          </w:tcPr>
          <w:p w14:paraId="11BD4990" w14:textId="53CB980F" w:rsidR="00C63FF5" w:rsidRPr="00487209" w:rsidRDefault="00633885" w:rsidP="00633885">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DD25CB" w:rsidRPr="00487209">
              <w:rPr>
                <w:rFonts w:ascii="Times New Roman" w:hAnsi="Times New Roman" w:cs="Times New Roman"/>
                <w:sz w:val="18"/>
                <w:szCs w:val="18"/>
                <w:lang w:val="ru-RU"/>
              </w:rPr>
              <w:t xml:space="preserve"> 2.22.</w:t>
            </w:r>
            <w:r w:rsidR="00DD25CB" w:rsidRPr="00487209">
              <w:rPr>
                <w:rFonts w:ascii="Times New Roman" w:hAnsi="Times New Roman" w:cs="Times New Roman"/>
                <w:sz w:val="18"/>
                <w:szCs w:val="18"/>
                <w:lang w:val="sr-Cyrl-CS"/>
              </w:rPr>
              <w:t xml:space="preserve"> Уредбе 305/2011 (ЕУ) </w:t>
            </w:r>
            <w:r>
              <w:rPr>
                <w:rFonts w:ascii="Times New Roman" w:hAnsi="Times New Roman" w:cs="Times New Roman"/>
                <w:sz w:val="18"/>
                <w:szCs w:val="18"/>
                <w:lang w:val="sr-Cyrl-CS"/>
              </w:rPr>
              <w:t xml:space="preserve">је </w:t>
            </w:r>
            <w:r>
              <w:rPr>
                <w:rFonts w:ascii="Times New Roman" w:hAnsi="Times New Roman" w:cs="Times New Roman"/>
                <w:sz w:val="18"/>
                <w:szCs w:val="18"/>
                <w:lang w:val="sr-Cyrl-CS"/>
              </w:rPr>
              <w:lastRenderedPageBreak/>
              <w:t>делимично усклађен са чланом 2. став 1. тачка</w:t>
            </w:r>
            <w:r w:rsidR="001A2B2F" w:rsidRPr="00487209">
              <w:rPr>
                <w:rFonts w:ascii="Times New Roman" w:hAnsi="Times New Roman" w:cs="Times New Roman"/>
                <w:sz w:val="18"/>
                <w:szCs w:val="18"/>
                <w:lang w:val="sr-Cyrl-CS"/>
              </w:rPr>
              <w:t xml:space="preserve"> </w:t>
            </w:r>
            <w:r w:rsidR="006A4A99">
              <w:rPr>
                <w:rFonts w:ascii="Times New Roman" w:hAnsi="Times New Roman" w:cs="Times New Roman"/>
                <w:sz w:val="18"/>
                <w:szCs w:val="18"/>
                <w:lang w:val="sr-Cyrl-CS"/>
              </w:rPr>
              <w:t>27</w:t>
            </w:r>
            <w:r w:rsidR="001A2B2F"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Pr>
                <w:rFonts w:ascii="Times New Roman" w:hAnsi="Times New Roman" w:cs="Times New Roman"/>
                <w:sz w:val="18"/>
                <w:szCs w:val="18"/>
                <w:lang w:val="sr-Cyrl-CS"/>
              </w:rPr>
              <w:t xml:space="preserve"> због </w:t>
            </w:r>
            <w:r w:rsidR="00DD25CB" w:rsidRPr="00487209">
              <w:rPr>
                <w:rFonts w:ascii="Times New Roman" w:hAnsi="Times New Roman" w:cs="Times New Roman"/>
                <w:sz w:val="18"/>
                <w:szCs w:val="18"/>
                <w:lang w:val="sr-Cyrl-CS"/>
              </w:rPr>
              <w:t>статуса нечланице ЕУ. Потпуно усклађивање биће могуће након приступања ЕУ.</w:t>
            </w:r>
          </w:p>
        </w:tc>
        <w:tc>
          <w:tcPr>
            <w:tcW w:w="480" w:type="pct"/>
            <w:shd w:val="clear" w:color="auto" w:fill="auto"/>
            <w:vAlign w:val="center"/>
          </w:tcPr>
          <w:p w14:paraId="25BBE12C" w14:textId="77777777" w:rsidR="00425B2E" w:rsidRPr="00487209" w:rsidRDefault="00425B2E" w:rsidP="006C6323">
            <w:pPr>
              <w:spacing w:before="120" w:after="120"/>
              <w:jc w:val="center"/>
              <w:rPr>
                <w:rFonts w:ascii="Times New Roman" w:hAnsi="Times New Roman" w:cs="Times New Roman"/>
                <w:b/>
                <w:bCs/>
                <w:sz w:val="18"/>
                <w:szCs w:val="18"/>
                <w:lang w:val="sr-Cyrl-CS"/>
              </w:rPr>
            </w:pPr>
          </w:p>
        </w:tc>
      </w:tr>
      <w:tr w:rsidR="00337554" w:rsidRPr="00487209" w14:paraId="026F9727" w14:textId="77777777" w:rsidTr="007D5144">
        <w:trPr>
          <w:trHeight w:val="1607"/>
          <w:jc w:val="center"/>
        </w:trPr>
        <w:tc>
          <w:tcPr>
            <w:tcW w:w="435" w:type="pct"/>
            <w:shd w:val="clear" w:color="auto" w:fill="auto"/>
            <w:vAlign w:val="center"/>
          </w:tcPr>
          <w:p w14:paraId="03FFFBBD"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2.23.</w:t>
            </w:r>
          </w:p>
        </w:tc>
        <w:tc>
          <w:tcPr>
            <w:tcW w:w="1369" w:type="pct"/>
            <w:gridSpan w:val="2"/>
            <w:shd w:val="clear" w:color="auto" w:fill="auto"/>
            <w:vAlign w:val="center"/>
          </w:tcPr>
          <w:tbl>
            <w:tblPr>
              <w:tblW w:w="5000" w:type="pct"/>
              <w:tblCellSpacing w:w="0" w:type="dxa"/>
              <w:tblCellMar>
                <w:left w:w="0" w:type="dxa"/>
                <w:right w:w="0" w:type="dxa"/>
              </w:tblCellMar>
              <w:tblLook w:val="04A0" w:firstRow="1" w:lastRow="0" w:firstColumn="1" w:lastColumn="0" w:noHBand="0" w:noVBand="1"/>
            </w:tblPr>
            <w:tblGrid>
              <w:gridCol w:w="6"/>
              <w:gridCol w:w="3385"/>
            </w:tblGrid>
            <w:tr w:rsidR="00EC7E34" w:rsidRPr="00487209" w14:paraId="1E8FFA91" w14:textId="77777777" w:rsidTr="00425B2E">
              <w:trPr>
                <w:tblCellSpacing w:w="0" w:type="dxa"/>
              </w:trPr>
              <w:tc>
                <w:tcPr>
                  <w:tcW w:w="0" w:type="auto"/>
                  <w:hideMark/>
                </w:tcPr>
                <w:p w14:paraId="0E6942B4" w14:textId="77777777" w:rsidR="00425B2E" w:rsidRPr="00487209" w:rsidRDefault="00425B2E" w:rsidP="006C6323">
                  <w:pPr>
                    <w:jc w:val="both"/>
                    <w:rPr>
                      <w:rFonts w:ascii="Times New Roman" w:hAnsi="Times New Roman" w:cs="Times New Roman"/>
                      <w:sz w:val="18"/>
                      <w:szCs w:val="18"/>
                    </w:rPr>
                  </w:pPr>
                </w:p>
              </w:tc>
              <w:tc>
                <w:tcPr>
                  <w:tcW w:w="0" w:type="auto"/>
                  <w:hideMark/>
                </w:tcPr>
                <w:p w14:paraId="773099FA" w14:textId="77777777" w:rsidR="00425B2E" w:rsidRPr="00487209" w:rsidRDefault="002B170D"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‘withdrawal’ means any measure aimed at preventing a construction product in the supply chain from being made available on the market;</w:t>
                  </w:r>
                </w:p>
              </w:tc>
            </w:tr>
          </w:tbl>
          <w:p w14:paraId="148C5223" w14:textId="77777777" w:rsidR="00425B2E" w:rsidRPr="00487209" w:rsidRDefault="00425B2E" w:rsidP="006C6323">
            <w:pPr>
              <w:jc w:val="both"/>
              <w:rPr>
                <w:rFonts w:ascii="Times New Roman" w:hAnsi="Times New Roman" w:cs="Times New Roman"/>
                <w:sz w:val="18"/>
                <w:szCs w:val="18"/>
              </w:rPr>
            </w:pPr>
          </w:p>
        </w:tc>
        <w:tc>
          <w:tcPr>
            <w:tcW w:w="429" w:type="pct"/>
            <w:shd w:val="clear" w:color="auto" w:fill="auto"/>
            <w:vAlign w:val="center"/>
          </w:tcPr>
          <w:p w14:paraId="6637CACD"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056BFC42" w14:textId="11EAE165" w:rsidR="00425B2E" w:rsidRPr="00487209" w:rsidRDefault="00FA10AA" w:rsidP="002605F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2605FF">
              <w:rPr>
                <w:rFonts w:ascii="Times New Roman" w:hAnsi="Times New Roman" w:cs="Times New Roman"/>
                <w:sz w:val="18"/>
                <w:szCs w:val="18"/>
              </w:rPr>
              <w:t>28</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1AB92507" w14:textId="77777777" w:rsidR="00425B2E" w:rsidRPr="00487209" w:rsidRDefault="00FA10AA" w:rsidP="006C6323">
            <w:pPr>
              <w:jc w:val="both"/>
              <w:rPr>
                <w:rFonts w:ascii="Times New Roman" w:hAnsi="Times New Roman" w:cs="Times New Roman"/>
                <w:sz w:val="18"/>
                <w:szCs w:val="18"/>
                <w:lang w:val="sr-Cyrl-CS"/>
              </w:rPr>
            </w:pPr>
            <w:r w:rsidRPr="00487209">
              <w:rPr>
                <w:rFonts w:ascii="Times New Roman" w:hAnsi="Times New Roman" w:cs="Times New Roman"/>
                <w:i/>
                <w:sz w:val="18"/>
                <w:szCs w:val="18"/>
                <w:lang w:val="sr-Cyrl-CS"/>
              </w:rPr>
              <w:t>повлачење</w:t>
            </w:r>
            <w:r w:rsidRPr="00487209">
              <w:rPr>
                <w:rFonts w:ascii="Times New Roman" w:hAnsi="Times New Roman" w:cs="Times New Roman"/>
                <w:i/>
                <w:sz w:val="18"/>
                <w:szCs w:val="18"/>
                <w:lang w:val="ru-RU"/>
              </w:rPr>
              <w:t xml:space="preserve"> </w:t>
            </w:r>
            <w:r w:rsidRPr="00487209">
              <w:rPr>
                <w:rFonts w:ascii="Times New Roman" w:hAnsi="Times New Roman" w:cs="Times New Roman"/>
                <w:sz w:val="18"/>
                <w:szCs w:val="18"/>
                <w:lang w:val="sr-Cyrl-CS"/>
              </w:rPr>
              <w:t>је свака мера чији је циљ да спречи да грађевински производ у ланцу испоруке буде испоручен на тржиште;</w:t>
            </w:r>
          </w:p>
        </w:tc>
        <w:tc>
          <w:tcPr>
            <w:tcW w:w="458" w:type="pct"/>
            <w:shd w:val="clear" w:color="auto" w:fill="auto"/>
            <w:vAlign w:val="center"/>
          </w:tcPr>
          <w:p w14:paraId="4BCE4819" w14:textId="77777777" w:rsidR="00425B2E" w:rsidRPr="00487209" w:rsidRDefault="00FA10AA"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43B0B6A8" w14:textId="77777777" w:rsidR="00425B2E" w:rsidRPr="00487209" w:rsidRDefault="00425B2E"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D5C211F"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3FD1A20E" w14:textId="77777777" w:rsidTr="007D5144">
        <w:trPr>
          <w:trHeight w:val="1701"/>
          <w:jc w:val="center"/>
        </w:trPr>
        <w:tc>
          <w:tcPr>
            <w:tcW w:w="435" w:type="pct"/>
            <w:shd w:val="clear" w:color="auto" w:fill="auto"/>
            <w:vAlign w:val="center"/>
          </w:tcPr>
          <w:p w14:paraId="0E06746F"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2.24.</w:t>
            </w:r>
          </w:p>
        </w:tc>
        <w:tc>
          <w:tcPr>
            <w:tcW w:w="1369" w:type="pct"/>
            <w:gridSpan w:val="2"/>
            <w:shd w:val="clear" w:color="auto" w:fill="auto"/>
            <w:vAlign w:val="center"/>
          </w:tcPr>
          <w:p w14:paraId="28AD81D2" w14:textId="77777777" w:rsidR="00425B2E" w:rsidRPr="00487209" w:rsidRDefault="002B170D" w:rsidP="006C6323">
            <w:pPr>
              <w:jc w:val="both"/>
              <w:rPr>
                <w:rFonts w:ascii="Times New Roman" w:hAnsi="Times New Roman" w:cs="Times New Roman"/>
                <w:sz w:val="18"/>
                <w:szCs w:val="18"/>
              </w:rPr>
            </w:pPr>
            <w:r w:rsidRPr="00487209">
              <w:rPr>
                <w:rFonts w:ascii="Times New Roman" w:hAnsi="Times New Roman" w:cs="Times New Roman"/>
                <w:sz w:val="18"/>
                <w:szCs w:val="18"/>
              </w:rPr>
              <w:t>‘recall’ means any measure aimed at achieving the return of a construction product that has already been made available to the end-user;</w:t>
            </w:r>
          </w:p>
        </w:tc>
        <w:tc>
          <w:tcPr>
            <w:tcW w:w="429" w:type="pct"/>
            <w:shd w:val="clear" w:color="auto" w:fill="auto"/>
            <w:vAlign w:val="center"/>
          </w:tcPr>
          <w:p w14:paraId="235A2850"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54C9426E" w14:textId="5B57A730" w:rsidR="00425B2E" w:rsidRPr="00487209" w:rsidRDefault="00FA10AA" w:rsidP="002605F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2605FF">
              <w:rPr>
                <w:rFonts w:ascii="Times New Roman" w:hAnsi="Times New Roman" w:cs="Times New Roman"/>
                <w:sz w:val="18"/>
                <w:szCs w:val="18"/>
              </w:rPr>
              <w:t>29</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4C39FE51" w14:textId="77777777" w:rsidR="003773CF" w:rsidRPr="00487209" w:rsidRDefault="003773CF" w:rsidP="003773CF">
            <w:pPr>
              <w:tabs>
                <w:tab w:val="left" w:pos="708"/>
                <w:tab w:val="left" w:pos="1080"/>
              </w:tabs>
              <w:spacing w:before="120" w:after="120"/>
              <w:ind w:right="-23"/>
              <w:jc w:val="both"/>
              <w:outlineLvl w:val="3"/>
              <w:rPr>
                <w:rFonts w:ascii="Times New Roman" w:eastAsia="Batang" w:hAnsi="Times New Roman" w:cs="Times New Roman"/>
                <w:b/>
                <w:sz w:val="18"/>
                <w:szCs w:val="18"/>
                <w:lang w:val="sr-Cyrl-CS" w:eastAsia="ko-KR"/>
              </w:rPr>
            </w:pPr>
            <w:r w:rsidRPr="00487209">
              <w:rPr>
                <w:rFonts w:ascii="Times New Roman" w:eastAsia="Batang" w:hAnsi="Times New Roman" w:cs="Times New Roman"/>
                <w:i/>
                <w:sz w:val="18"/>
                <w:szCs w:val="18"/>
                <w:lang w:val="sr-Cyrl-CS" w:eastAsia="ko-KR"/>
              </w:rPr>
              <w:t>опозив</w:t>
            </w:r>
            <w:r w:rsidRPr="00487209">
              <w:rPr>
                <w:rFonts w:ascii="Times New Roman" w:eastAsia="Batang" w:hAnsi="Times New Roman" w:cs="Times New Roman"/>
                <w:sz w:val="18"/>
                <w:szCs w:val="18"/>
                <w:lang w:val="sr-Cyrl-CS" w:eastAsia="ko-KR"/>
              </w:rPr>
              <w:t xml:space="preserve"> је свака мера чији је циљ да постигне повраћај грађевинског производа који је већ учињен доступним крајњем кориснику;</w:t>
            </w:r>
          </w:p>
          <w:p w14:paraId="33D46CCB" w14:textId="77777777" w:rsidR="00425B2E" w:rsidRPr="00487209" w:rsidRDefault="00425B2E" w:rsidP="006C6323">
            <w:pPr>
              <w:jc w:val="both"/>
              <w:rPr>
                <w:rFonts w:ascii="Times New Roman" w:hAnsi="Times New Roman" w:cs="Times New Roman"/>
                <w:sz w:val="18"/>
                <w:szCs w:val="18"/>
                <w:lang w:val="sr-Cyrl-CS"/>
              </w:rPr>
            </w:pPr>
          </w:p>
        </w:tc>
        <w:tc>
          <w:tcPr>
            <w:tcW w:w="458" w:type="pct"/>
            <w:shd w:val="clear" w:color="auto" w:fill="auto"/>
            <w:vAlign w:val="center"/>
          </w:tcPr>
          <w:p w14:paraId="775E810F" w14:textId="77777777" w:rsidR="00425B2E" w:rsidRPr="00487209" w:rsidRDefault="00FA10AA"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7F8A0A11" w14:textId="77777777" w:rsidR="00425B2E" w:rsidRPr="00487209" w:rsidRDefault="00425B2E"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DB1247C"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10232575" w14:textId="77777777" w:rsidTr="007D5144">
        <w:trPr>
          <w:trHeight w:val="1970"/>
          <w:jc w:val="center"/>
        </w:trPr>
        <w:tc>
          <w:tcPr>
            <w:tcW w:w="435" w:type="pct"/>
            <w:shd w:val="clear" w:color="auto" w:fill="auto"/>
            <w:vAlign w:val="center"/>
          </w:tcPr>
          <w:p w14:paraId="6842DA69"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2.25.</w:t>
            </w:r>
          </w:p>
        </w:tc>
        <w:tc>
          <w:tcPr>
            <w:tcW w:w="1369" w:type="pct"/>
            <w:gridSpan w:val="2"/>
            <w:shd w:val="clear" w:color="auto" w:fill="auto"/>
            <w:vAlign w:val="center"/>
          </w:tcPr>
          <w:p w14:paraId="67C1DA7D" w14:textId="77777777" w:rsidR="00425B2E" w:rsidRPr="00487209" w:rsidRDefault="002B170D" w:rsidP="006C6323">
            <w:pPr>
              <w:jc w:val="both"/>
              <w:rPr>
                <w:rFonts w:ascii="Times New Roman" w:hAnsi="Times New Roman" w:cs="Times New Roman"/>
                <w:sz w:val="18"/>
                <w:szCs w:val="18"/>
              </w:rPr>
            </w:pPr>
            <w:r w:rsidRPr="00487209">
              <w:rPr>
                <w:rFonts w:ascii="Times New Roman" w:hAnsi="Times New Roman" w:cs="Times New Roman"/>
                <w:sz w:val="18"/>
                <w:szCs w:val="18"/>
              </w:rPr>
              <w:t>‘accreditation’ has the meaning assigned to it by Regulation (EC) No 765/2008;</w:t>
            </w:r>
          </w:p>
        </w:tc>
        <w:tc>
          <w:tcPr>
            <w:tcW w:w="429" w:type="pct"/>
            <w:shd w:val="clear" w:color="auto" w:fill="auto"/>
            <w:vAlign w:val="center"/>
          </w:tcPr>
          <w:p w14:paraId="12E7E047"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6493C8BA" w14:textId="352ED365" w:rsidR="00425B2E" w:rsidRPr="00487209" w:rsidRDefault="003859E6" w:rsidP="003773CF">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2.2</w:t>
            </w:r>
          </w:p>
        </w:tc>
        <w:tc>
          <w:tcPr>
            <w:tcW w:w="1231" w:type="pct"/>
            <w:gridSpan w:val="2"/>
            <w:shd w:val="clear" w:color="auto" w:fill="auto"/>
            <w:vAlign w:val="center"/>
          </w:tcPr>
          <w:p w14:paraId="4FAEC393" w14:textId="21F08180" w:rsidR="00425B2E" w:rsidRPr="00487209" w:rsidRDefault="003859E6" w:rsidP="006C6323">
            <w:pPr>
              <w:jc w:val="both"/>
              <w:rPr>
                <w:rFonts w:ascii="Times New Roman" w:hAnsi="Times New Roman" w:cs="Times New Roman"/>
                <w:sz w:val="18"/>
                <w:szCs w:val="18"/>
                <w:lang w:val="sr-Cyrl-CS"/>
              </w:rPr>
            </w:pPr>
            <w:r w:rsidRPr="003859E6">
              <w:rPr>
                <w:rFonts w:ascii="Times New Roman" w:hAnsi="Times New Roman" w:cs="Times New Roman"/>
                <w:i/>
                <w:sz w:val="18"/>
                <w:szCs w:val="18"/>
                <w:lang w:val="sr-Cyrl-CS"/>
              </w:rPr>
              <w:t>Други појмови  који се употребљавају у овом закону а нису дефинисани у ставу 1. овог члана имају значење утврђено прописима којима се уређује грађење, технички захтеви за производе и оцењивање усаглашености, општа безбедност производа, управљање хемикалијама, тржишни надзор, акредитација и стандардизација.</w:t>
            </w:r>
          </w:p>
        </w:tc>
        <w:tc>
          <w:tcPr>
            <w:tcW w:w="458" w:type="pct"/>
            <w:shd w:val="clear" w:color="auto" w:fill="auto"/>
            <w:vAlign w:val="center"/>
          </w:tcPr>
          <w:p w14:paraId="7E91B730" w14:textId="77777777" w:rsidR="00425B2E" w:rsidRPr="00487209" w:rsidRDefault="00772108"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w:t>
            </w:r>
            <w:r w:rsidR="00647880" w:rsidRPr="00487209">
              <w:rPr>
                <w:rFonts w:ascii="Times New Roman" w:hAnsi="Times New Roman" w:cs="Times New Roman"/>
                <w:sz w:val="18"/>
                <w:szCs w:val="18"/>
                <w:lang w:val="ru-RU"/>
              </w:rPr>
              <w:t>У</w:t>
            </w:r>
          </w:p>
        </w:tc>
        <w:tc>
          <w:tcPr>
            <w:tcW w:w="598" w:type="pct"/>
            <w:gridSpan w:val="2"/>
            <w:shd w:val="clear" w:color="auto" w:fill="auto"/>
            <w:vAlign w:val="center"/>
          </w:tcPr>
          <w:p w14:paraId="3BE3E1F9" w14:textId="6D8CCBDE" w:rsidR="00425B2E" w:rsidRPr="00487209" w:rsidRDefault="00015F0D" w:rsidP="003859E6">
            <w:pPr>
              <w:spacing w:before="120" w:after="120"/>
              <w:jc w:val="both"/>
              <w:rPr>
                <w:rFonts w:ascii="Times New Roman" w:hAnsi="Times New Roman" w:cs="Times New Roman"/>
                <w:b/>
                <w:bCs/>
                <w:sz w:val="18"/>
                <w:szCs w:val="18"/>
                <w:lang w:val="sr-Cyrl-CS"/>
              </w:rPr>
            </w:pPr>
            <w:r w:rsidRPr="00487209">
              <w:rPr>
                <w:rFonts w:ascii="Times New Roman" w:hAnsi="Times New Roman" w:cs="Times New Roman"/>
                <w:sz w:val="18"/>
                <w:szCs w:val="18"/>
                <w:lang w:val="ru-RU"/>
              </w:rPr>
              <w:t>Чл</w:t>
            </w:r>
            <w:r w:rsidR="00633885">
              <w:rPr>
                <w:rFonts w:ascii="Times New Roman" w:hAnsi="Times New Roman" w:cs="Times New Roman"/>
                <w:sz w:val="18"/>
                <w:szCs w:val="18"/>
                <w:lang w:val="ru-RU"/>
              </w:rPr>
              <w:t>ан</w:t>
            </w:r>
            <w:r w:rsidR="00647880" w:rsidRPr="00487209">
              <w:rPr>
                <w:rFonts w:ascii="Times New Roman" w:hAnsi="Times New Roman" w:cs="Times New Roman"/>
                <w:sz w:val="18"/>
                <w:szCs w:val="18"/>
                <w:lang w:val="ru-RU"/>
              </w:rPr>
              <w:t xml:space="preserve"> 2.25.</w:t>
            </w:r>
            <w:r w:rsidR="00647880" w:rsidRPr="00487209">
              <w:rPr>
                <w:rFonts w:ascii="Times New Roman" w:hAnsi="Times New Roman" w:cs="Times New Roman"/>
                <w:sz w:val="18"/>
                <w:szCs w:val="18"/>
                <w:lang w:val="sr-Cyrl-CS"/>
              </w:rPr>
              <w:t xml:space="preserve"> Уредбе 305/2011 (ЕУ) је у потпуности </w:t>
            </w:r>
            <w:r w:rsidR="00633885">
              <w:rPr>
                <w:rFonts w:ascii="Times New Roman" w:hAnsi="Times New Roman" w:cs="Times New Roman"/>
                <w:sz w:val="18"/>
                <w:szCs w:val="18"/>
                <w:lang w:val="sr-Cyrl-CS"/>
              </w:rPr>
              <w:t>усклађен са члан 2. став</w:t>
            </w:r>
            <w:r w:rsidR="002B5C04" w:rsidRPr="00487209">
              <w:rPr>
                <w:rFonts w:ascii="Times New Roman" w:hAnsi="Times New Roman" w:cs="Times New Roman"/>
                <w:sz w:val="18"/>
                <w:szCs w:val="18"/>
                <w:lang w:val="sr-Cyrl-CS"/>
              </w:rPr>
              <w:t xml:space="preserve"> </w:t>
            </w:r>
            <w:r w:rsidR="003859E6">
              <w:rPr>
                <w:rFonts w:ascii="Times New Roman" w:hAnsi="Times New Roman" w:cs="Times New Roman"/>
                <w:sz w:val="18"/>
                <w:szCs w:val="18"/>
                <w:lang w:val="sr-Cyrl-CS"/>
              </w:rPr>
              <w:t>2.</w:t>
            </w:r>
            <w:r w:rsidR="002B5C04"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6540D1" w:rsidRPr="00487209">
              <w:rPr>
                <w:rFonts w:ascii="Times New Roman" w:hAnsi="Times New Roman" w:cs="Times New Roman"/>
                <w:sz w:val="18"/>
                <w:szCs w:val="18"/>
                <w:lang w:val="sr-Cyrl-CS"/>
              </w:rPr>
              <w:t xml:space="preserve"> јер</w:t>
            </w:r>
            <w:r w:rsidR="00647880" w:rsidRPr="00487209">
              <w:rPr>
                <w:rFonts w:ascii="Times New Roman" w:hAnsi="Times New Roman" w:cs="Times New Roman"/>
                <w:sz w:val="18"/>
                <w:szCs w:val="18"/>
                <w:lang w:val="sr-Cyrl-CS"/>
              </w:rPr>
              <w:t xml:space="preserve"> утврђује појам </w:t>
            </w:r>
            <w:r w:rsidR="00633885">
              <w:rPr>
                <w:rFonts w:ascii="Times New Roman" w:hAnsi="Times New Roman" w:cs="Times New Roman"/>
                <w:sz w:val="18"/>
                <w:szCs w:val="18"/>
                <w:lang w:val="sr-Cyrl-CS"/>
              </w:rPr>
              <w:lastRenderedPageBreak/>
              <w:t>„акредитацијаˮ</w:t>
            </w:r>
            <w:r w:rsidR="00647880" w:rsidRPr="00487209">
              <w:rPr>
                <w:rFonts w:ascii="Times New Roman" w:hAnsi="Times New Roman" w:cs="Times New Roman"/>
                <w:sz w:val="18"/>
                <w:szCs w:val="18"/>
                <w:lang w:val="sr-Cyrl-CS"/>
              </w:rPr>
              <w:t xml:space="preserve"> сагласно прописима којима је уређена област акредитације</w:t>
            </w:r>
            <w:r w:rsidR="00772108" w:rsidRPr="00487209">
              <w:rPr>
                <w:rFonts w:ascii="Times New Roman" w:hAnsi="Times New Roman" w:cs="Times New Roman"/>
                <w:sz w:val="18"/>
                <w:szCs w:val="18"/>
                <w:lang w:val="sr-Cyrl-CS"/>
              </w:rPr>
              <w:t>, кој</w:t>
            </w:r>
            <w:r w:rsidR="006540D1" w:rsidRPr="00487209">
              <w:rPr>
                <w:rFonts w:ascii="Times New Roman" w:hAnsi="Times New Roman" w:cs="Times New Roman"/>
                <w:sz w:val="18"/>
                <w:szCs w:val="18"/>
                <w:lang w:val="sr-Cyrl-CS"/>
              </w:rPr>
              <w:t>и су усклађени са</w:t>
            </w:r>
            <w:r w:rsidR="00772108" w:rsidRPr="00487209">
              <w:rPr>
                <w:rFonts w:ascii="Times New Roman" w:hAnsi="Times New Roman" w:cs="Times New Roman"/>
                <w:sz w:val="18"/>
                <w:szCs w:val="18"/>
                <w:lang w:val="sr-Cyrl-CS"/>
              </w:rPr>
              <w:t xml:space="preserve"> Уредб</w:t>
            </w:r>
            <w:r w:rsidR="006540D1" w:rsidRPr="00487209">
              <w:rPr>
                <w:rFonts w:ascii="Times New Roman" w:hAnsi="Times New Roman" w:cs="Times New Roman"/>
                <w:sz w:val="18"/>
                <w:szCs w:val="18"/>
                <w:lang w:val="sr-Cyrl-CS"/>
              </w:rPr>
              <w:t>ом</w:t>
            </w:r>
            <w:r w:rsidR="00772108" w:rsidRPr="00487209">
              <w:rPr>
                <w:rFonts w:ascii="Times New Roman" w:hAnsi="Times New Roman" w:cs="Times New Roman"/>
                <w:sz w:val="18"/>
                <w:szCs w:val="18"/>
                <w:lang w:val="sr-Cyrl-CS"/>
              </w:rPr>
              <w:t xml:space="preserve"> (Е</w:t>
            </w:r>
            <w:r w:rsidR="00EB0318" w:rsidRPr="00487209">
              <w:rPr>
                <w:rFonts w:ascii="Times New Roman" w:hAnsi="Times New Roman" w:cs="Times New Roman"/>
                <w:sz w:val="18"/>
                <w:szCs w:val="18"/>
                <w:lang w:val="sr-Cyrl-CS"/>
              </w:rPr>
              <w:t>З) 765/2008.</w:t>
            </w:r>
          </w:p>
        </w:tc>
        <w:tc>
          <w:tcPr>
            <w:tcW w:w="480" w:type="pct"/>
            <w:shd w:val="clear" w:color="auto" w:fill="auto"/>
            <w:vAlign w:val="center"/>
          </w:tcPr>
          <w:p w14:paraId="3060E44D" w14:textId="77777777" w:rsidR="00425B2E" w:rsidRPr="00487209" w:rsidRDefault="00425B2E" w:rsidP="006C6323">
            <w:pPr>
              <w:spacing w:before="120" w:after="120"/>
              <w:jc w:val="center"/>
              <w:rPr>
                <w:rFonts w:ascii="Times New Roman" w:hAnsi="Times New Roman" w:cs="Times New Roman"/>
                <w:b/>
                <w:bCs/>
                <w:sz w:val="18"/>
                <w:szCs w:val="18"/>
                <w:lang w:val="sr-Cyrl-CS"/>
              </w:rPr>
            </w:pPr>
          </w:p>
        </w:tc>
      </w:tr>
      <w:tr w:rsidR="00337554" w:rsidRPr="00487209" w14:paraId="0F4C316F" w14:textId="77777777" w:rsidTr="007D5144">
        <w:trPr>
          <w:trHeight w:val="1970"/>
          <w:jc w:val="center"/>
        </w:trPr>
        <w:tc>
          <w:tcPr>
            <w:tcW w:w="435" w:type="pct"/>
            <w:shd w:val="clear" w:color="auto" w:fill="auto"/>
            <w:vAlign w:val="center"/>
          </w:tcPr>
          <w:p w14:paraId="2F60B7EC"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2.26.</w:t>
            </w:r>
          </w:p>
        </w:tc>
        <w:tc>
          <w:tcPr>
            <w:tcW w:w="1369" w:type="pct"/>
            <w:gridSpan w:val="2"/>
            <w:shd w:val="clear" w:color="auto" w:fill="auto"/>
            <w:vAlign w:val="center"/>
          </w:tcPr>
          <w:p w14:paraId="2C7C97FA" w14:textId="77777777" w:rsidR="00425B2E" w:rsidRPr="00487209" w:rsidRDefault="002B170D" w:rsidP="006C6323">
            <w:pPr>
              <w:jc w:val="both"/>
              <w:rPr>
                <w:rFonts w:ascii="Times New Roman" w:hAnsi="Times New Roman" w:cs="Times New Roman"/>
                <w:sz w:val="18"/>
                <w:szCs w:val="18"/>
              </w:rPr>
            </w:pPr>
            <w:r w:rsidRPr="00487209">
              <w:rPr>
                <w:rFonts w:ascii="Times New Roman" w:hAnsi="Times New Roman" w:cs="Times New Roman"/>
                <w:sz w:val="18"/>
                <w:szCs w:val="18"/>
              </w:rPr>
              <w:t>‘factory production control’ means the documented, permanent and internal control of production in a factory, in accordance with the relevant harmonised technical specifications;</w:t>
            </w:r>
          </w:p>
        </w:tc>
        <w:tc>
          <w:tcPr>
            <w:tcW w:w="429" w:type="pct"/>
            <w:shd w:val="clear" w:color="auto" w:fill="auto"/>
            <w:vAlign w:val="center"/>
          </w:tcPr>
          <w:p w14:paraId="42DF10FC"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029B721C" w14:textId="795FC798" w:rsidR="00425B2E" w:rsidRPr="00487209" w:rsidRDefault="009415B8" w:rsidP="002605F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2605FF">
              <w:rPr>
                <w:rFonts w:ascii="Times New Roman" w:hAnsi="Times New Roman" w:cs="Times New Roman"/>
                <w:sz w:val="18"/>
                <w:szCs w:val="18"/>
              </w:rPr>
              <w:t>30</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2075587E" w14:textId="77777777" w:rsidR="00425B2E" w:rsidRPr="00487209" w:rsidRDefault="009415B8" w:rsidP="006C6323">
            <w:pPr>
              <w:jc w:val="both"/>
              <w:rPr>
                <w:rFonts w:ascii="Times New Roman" w:hAnsi="Times New Roman" w:cs="Times New Roman"/>
                <w:sz w:val="18"/>
                <w:szCs w:val="18"/>
                <w:lang w:val="sr-Cyrl-CS"/>
              </w:rPr>
            </w:pPr>
            <w:r w:rsidRPr="00487209">
              <w:rPr>
                <w:rFonts w:ascii="Times New Roman" w:hAnsi="Times New Roman" w:cs="Times New Roman"/>
                <w:i/>
                <w:sz w:val="18"/>
                <w:szCs w:val="18"/>
                <w:lang w:val="sr-Cyrl-CS"/>
              </w:rPr>
              <w:t>фабричка контрола производње</w:t>
            </w:r>
            <w:r w:rsidR="00C608DE"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lang w:val="sr-Cyrl-CS"/>
              </w:rPr>
              <w:t>је документована, стална и интерна контрола производње у фабрици у складу са одговарајућом техничком спецификацијом или техничким прописом;</w:t>
            </w:r>
          </w:p>
        </w:tc>
        <w:tc>
          <w:tcPr>
            <w:tcW w:w="458" w:type="pct"/>
            <w:shd w:val="clear" w:color="auto" w:fill="auto"/>
            <w:vAlign w:val="center"/>
          </w:tcPr>
          <w:p w14:paraId="50D095B8" w14:textId="77777777" w:rsidR="00425B2E" w:rsidRPr="00487209" w:rsidRDefault="00BF02E7"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П</w:t>
            </w:r>
            <w:r w:rsidR="009415B8" w:rsidRPr="00487209">
              <w:rPr>
                <w:rFonts w:ascii="Times New Roman" w:hAnsi="Times New Roman" w:cs="Times New Roman"/>
                <w:sz w:val="18"/>
                <w:szCs w:val="18"/>
                <w:lang w:val="ru-RU"/>
              </w:rPr>
              <w:t>У</w:t>
            </w:r>
          </w:p>
        </w:tc>
        <w:tc>
          <w:tcPr>
            <w:tcW w:w="598" w:type="pct"/>
            <w:gridSpan w:val="2"/>
            <w:shd w:val="clear" w:color="auto" w:fill="auto"/>
            <w:vAlign w:val="center"/>
          </w:tcPr>
          <w:p w14:paraId="1522EA12" w14:textId="77777777" w:rsidR="00BF02E7" w:rsidRPr="00487209" w:rsidRDefault="00BF02E7"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Напомена: </w:t>
            </w:r>
          </w:p>
          <w:p w14:paraId="2CF27EC4" w14:textId="64115149" w:rsidR="002C40E4" w:rsidRPr="00487209" w:rsidRDefault="00633885" w:rsidP="006A4A99">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 xml:space="preserve">Члан </w:t>
            </w:r>
            <w:r w:rsidR="00BF02E7" w:rsidRPr="00487209">
              <w:rPr>
                <w:rFonts w:ascii="Times New Roman" w:hAnsi="Times New Roman" w:cs="Times New Roman"/>
                <w:sz w:val="18"/>
                <w:szCs w:val="18"/>
                <w:lang w:val="ru-RU"/>
              </w:rPr>
              <w:t>2.26.</w:t>
            </w:r>
            <w:r w:rsidR="00BF02E7" w:rsidRPr="00487209">
              <w:rPr>
                <w:rFonts w:ascii="Times New Roman" w:hAnsi="Times New Roman" w:cs="Times New Roman"/>
                <w:sz w:val="18"/>
                <w:szCs w:val="18"/>
                <w:lang w:val="sr-Cyrl-CS"/>
              </w:rPr>
              <w:t xml:space="preserve"> Уредбе 305/2011 </w:t>
            </w:r>
            <w:r>
              <w:rPr>
                <w:rFonts w:ascii="Times New Roman" w:hAnsi="Times New Roman" w:cs="Times New Roman"/>
                <w:sz w:val="18"/>
                <w:szCs w:val="18"/>
                <w:lang w:val="sr-Cyrl-CS"/>
              </w:rPr>
              <w:t>(ЕУ) је у потпуности пренет  чланом  2. став 1. тачка</w:t>
            </w:r>
            <w:r w:rsidR="00BF02E7" w:rsidRPr="00487209">
              <w:rPr>
                <w:rFonts w:ascii="Times New Roman" w:hAnsi="Times New Roman" w:cs="Times New Roman"/>
                <w:sz w:val="18"/>
                <w:szCs w:val="18"/>
                <w:lang w:val="sr-Cyrl-CS"/>
              </w:rPr>
              <w:t xml:space="preserve"> </w:t>
            </w:r>
            <w:r w:rsidR="006A4A99">
              <w:rPr>
                <w:rFonts w:ascii="Times New Roman" w:hAnsi="Times New Roman" w:cs="Times New Roman"/>
                <w:sz w:val="18"/>
                <w:szCs w:val="18"/>
                <w:lang w:val="sr-Cyrl-CS"/>
              </w:rPr>
              <w:t>30</w:t>
            </w:r>
            <w:r w:rsidR="00BF02E7"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BF02E7" w:rsidRPr="00487209">
              <w:rPr>
                <w:rFonts w:ascii="Times New Roman" w:hAnsi="Times New Roman" w:cs="Times New Roman"/>
                <w:sz w:val="18"/>
                <w:szCs w:val="18"/>
                <w:lang w:val="sr-Cyrl-CS"/>
              </w:rPr>
              <w:t>, уз напомену да је њоме поред хармонизоване обухваћена и нехармонизована област грађевинских производа.</w:t>
            </w:r>
          </w:p>
        </w:tc>
        <w:tc>
          <w:tcPr>
            <w:tcW w:w="480" w:type="pct"/>
            <w:shd w:val="clear" w:color="auto" w:fill="auto"/>
            <w:vAlign w:val="center"/>
          </w:tcPr>
          <w:p w14:paraId="6DF5F1DA"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49FAFAA0" w14:textId="77777777" w:rsidTr="007D5144">
        <w:trPr>
          <w:trHeight w:val="1550"/>
          <w:jc w:val="center"/>
        </w:trPr>
        <w:tc>
          <w:tcPr>
            <w:tcW w:w="435" w:type="pct"/>
            <w:shd w:val="clear" w:color="auto" w:fill="auto"/>
            <w:vAlign w:val="center"/>
          </w:tcPr>
          <w:p w14:paraId="79111EE7" w14:textId="77777777" w:rsidR="006B777E" w:rsidRPr="00487209" w:rsidRDefault="006B777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2.27.</w:t>
            </w:r>
          </w:p>
        </w:tc>
        <w:tc>
          <w:tcPr>
            <w:tcW w:w="1369" w:type="pct"/>
            <w:gridSpan w:val="2"/>
            <w:shd w:val="clear" w:color="auto" w:fill="auto"/>
            <w:vAlign w:val="center"/>
          </w:tcPr>
          <w:tbl>
            <w:tblPr>
              <w:tblW w:w="5000" w:type="pct"/>
              <w:tblCellSpacing w:w="0" w:type="dxa"/>
              <w:tblCellMar>
                <w:left w:w="0" w:type="dxa"/>
                <w:right w:w="0" w:type="dxa"/>
              </w:tblCellMar>
              <w:tblLook w:val="04A0" w:firstRow="1" w:lastRow="0" w:firstColumn="1" w:lastColumn="0" w:noHBand="0" w:noVBand="1"/>
            </w:tblPr>
            <w:tblGrid>
              <w:gridCol w:w="6"/>
              <w:gridCol w:w="3385"/>
            </w:tblGrid>
            <w:tr w:rsidR="00EC7E34" w:rsidRPr="00487209" w14:paraId="362F86CD" w14:textId="77777777" w:rsidTr="00425B2E">
              <w:trPr>
                <w:tblCellSpacing w:w="0" w:type="dxa"/>
              </w:trPr>
              <w:tc>
                <w:tcPr>
                  <w:tcW w:w="0" w:type="auto"/>
                  <w:hideMark/>
                </w:tcPr>
                <w:p w14:paraId="20DB6ADF" w14:textId="77777777" w:rsidR="006B777E" w:rsidRPr="00487209" w:rsidRDefault="006B777E" w:rsidP="006C6323">
                  <w:pPr>
                    <w:jc w:val="both"/>
                    <w:rPr>
                      <w:rFonts w:ascii="Times New Roman" w:hAnsi="Times New Roman" w:cs="Times New Roman"/>
                      <w:sz w:val="18"/>
                      <w:szCs w:val="18"/>
                    </w:rPr>
                  </w:pPr>
                </w:p>
              </w:tc>
              <w:tc>
                <w:tcPr>
                  <w:tcW w:w="0" w:type="auto"/>
                  <w:hideMark/>
                </w:tcPr>
                <w:p w14:paraId="1C9FB6AB" w14:textId="77777777" w:rsidR="006B777E" w:rsidRPr="00487209" w:rsidRDefault="006B777E" w:rsidP="006C6323">
                  <w:pPr>
                    <w:pStyle w:val="Normal1"/>
                    <w:jc w:val="both"/>
                    <w:rPr>
                      <w:rFonts w:ascii="Times New Roman" w:eastAsia="Calibri" w:hAnsi="Times New Roman" w:cs="Times New Roman"/>
                      <w:sz w:val="18"/>
                      <w:szCs w:val="18"/>
                    </w:rPr>
                  </w:pPr>
                  <w:r w:rsidRPr="00487209">
                    <w:rPr>
                      <w:rFonts w:ascii="Times New Roman" w:eastAsia="Calibri" w:hAnsi="Times New Roman" w:cs="Times New Roman"/>
                      <w:sz w:val="18"/>
                      <w:szCs w:val="18"/>
                    </w:rPr>
                    <w:t>‘micro-enterprise’ means a micro-enterprise as defined in the Commission Recommendation of 6 May 2003 concerning the definition of micro, small and medium-sized enterprises;</w:t>
                  </w:r>
                </w:p>
              </w:tc>
            </w:tr>
          </w:tbl>
          <w:p w14:paraId="585347A7" w14:textId="77777777" w:rsidR="006B777E" w:rsidRPr="00487209" w:rsidRDefault="006B777E" w:rsidP="006C6323">
            <w:pPr>
              <w:jc w:val="both"/>
              <w:rPr>
                <w:rFonts w:ascii="Times New Roman" w:hAnsi="Times New Roman" w:cs="Times New Roman"/>
                <w:sz w:val="18"/>
                <w:szCs w:val="18"/>
              </w:rPr>
            </w:pPr>
          </w:p>
        </w:tc>
        <w:tc>
          <w:tcPr>
            <w:tcW w:w="429" w:type="pct"/>
            <w:shd w:val="clear" w:color="auto" w:fill="auto"/>
            <w:vAlign w:val="center"/>
          </w:tcPr>
          <w:p w14:paraId="0DF0C210"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6851A4F8" w14:textId="7A484DC9" w:rsidR="006B777E" w:rsidRPr="00487209" w:rsidRDefault="006B777E" w:rsidP="002605F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2605FF">
              <w:rPr>
                <w:rFonts w:ascii="Times New Roman" w:hAnsi="Times New Roman" w:cs="Times New Roman"/>
                <w:sz w:val="18"/>
                <w:szCs w:val="18"/>
              </w:rPr>
              <w:t>31</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1F32B109" w14:textId="77777777" w:rsidR="006B777E" w:rsidRPr="00487209" w:rsidRDefault="006B777E" w:rsidP="006C6323">
            <w:pPr>
              <w:jc w:val="both"/>
              <w:rPr>
                <w:rFonts w:ascii="Times New Roman" w:hAnsi="Times New Roman" w:cs="Times New Roman"/>
                <w:b/>
                <w:sz w:val="18"/>
                <w:szCs w:val="18"/>
                <w:lang w:val="sr-Cyrl-CS"/>
              </w:rPr>
            </w:pPr>
            <w:r w:rsidRPr="00487209">
              <w:rPr>
                <w:rFonts w:ascii="Times New Roman" w:hAnsi="Times New Roman" w:cs="Times New Roman"/>
                <w:i/>
                <w:sz w:val="18"/>
                <w:szCs w:val="18"/>
                <w:lang w:val="sr-Cyrl-CS"/>
              </w:rPr>
              <w:t>микро правно лице</w:t>
            </w:r>
            <w:r w:rsidR="00C608DE" w:rsidRPr="00487209">
              <w:rPr>
                <w:rFonts w:ascii="Times New Roman" w:hAnsi="Times New Roman" w:cs="Times New Roman"/>
                <w:i/>
                <w:sz w:val="18"/>
                <w:szCs w:val="18"/>
                <w:lang w:val="ru-RU"/>
              </w:rPr>
              <w:t xml:space="preserve"> </w:t>
            </w:r>
            <w:r w:rsidRPr="00487209">
              <w:rPr>
                <w:rFonts w:ascii="Times New Roman" w:hAnsi="Times New Roman" w:cs="Times New Roman"/>
                <w:sz w:val="18"/>
                <w:szCs w:val="18"/>
                <w:lang w:val="sr-Cyrl-CS"/>
              </w:rPr>
              <w:t>има значење сагласно посебним прописима којима је уређено разврставање правних лица;</w:t>
            </w:r>
          </w:p>
        </w:tc>
        <w:tc>
          <w:tcPr>
            <w:tcW w:w="458" w:type="pct"/>
            <w:shd w:val="clear" w:color="auto" w:fill="auto"/>
            <w:vAlign w:val="center"/>
          </w:tcPr>
          <w:p w14:paraId="76BE722B" w14:textId="77777777" w:rsidR="006B777E" w:rsidRPr="00487209" w:rsidRDefault="006B777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ДУ</w:t>
            </w:r>
          </w:p>
        </w:tc>
        <w:tc>
          <w:tcPr>
            <w:tcW w:w="598" w:type="pct"/>
            <w:gridSpan w:val="2"/>
            <w:shd w:val="clear" w:color="auto" w:fill="auto"/>
            <w:vAlign w:val="center"/>
          </w:tcPr>
          <w:p w14:paraId="7D9D566E" w14:textId="5DA41C38" w:rsidR="00C63FF5" w:rsidRPr="00487209" w:rsidRDefault="00633885" w:rsidP="004758F8">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6B777E" w:rsidRPr="00487209">
              <w:rPr>
                <w:rFonts w:ascii="Times New Roman" w:hAnsi="Times New Roman" w:cs="Times New Roman"/>
                <w:sz w:val="18"/>
                <w:szCs w:val="18"/>
                <w:lang w:val="ru-RU"/>
              </w:rPr>
              <w:t xml:space="preserve"> 2.27.</w:t>
            </w:r>
            <w:r w:rsidR="006B777E" w:rsidRPr="00487209">
              <w:rPr>
                <w:rFonts w:ascii="Times New Roman" w:hAnsi="Times New Roman" w:cs="Times New Roman"/>
                <w:sz w:val="18"/>
                <w:szCs w:val="18"/>
                <w:lang w:val="sr-Cyrl-CS"/>
              </w:rPr>
              <w:t xml:space="preserve"> Уредбе 305/2011 (ЕУ) је делимично пренет због статуса нечланице ЕУ. </w:t>
            </w:r>
            <w:r w:rsidR="00CB2B28" w:rsidRPr="00487209">
              <w:rPr>
                <w:rFonts w:ascii="Times New Roman" w:hAnsi="Times New Roman" w:cs="Times New Roman"/>
                <w:sz w:val="18"/>
                <w:szCs w:val="18"/>
                <w:lang w:val="sr-Cyrl-CS"/>
              </w:rPr>
              <w:t xml:space="preserve">Разврставање правних лица </w:t>
            </w:r>
            <w:r w:rsidR="00CB2B28" w:rsidRPr="00487209">
              <w:rPr>
                <w:rFonts w:ascii="Times New Roman" w:hAnsi="Times New Roman" w:cs="Times New Roman"/>
                <w:sz w:val="18"/>
                <w:szCs w:val="18"/>
                <w:lang w:val="sr-Cyrl-CS"/>
              </w:rPr>
              <w:lastRenderedPageBreak/>
              <w:t xml:space="preserve">уређено је Законом о рачуноводству („Службени гласник РС”, број 62/13). </w:t>
            </w:r>
            <w:r w:rsidR="006B777E" w:rsidRPr="00487209">
              <w:rPr>
                <w:rFonts w:ascii="Times New Roman" w:hAnsi="Times New Roman" w:cs="Times New Roman"/>
                <w:sz w:val="18"/>
                <w:szCs w:val="18"/>
                <w:lang w:val="sr-Cyrl-CS"/>
              </w:rPr>
              <w:t>Потпуно усклађивање биће могуће након приступања ЕУ.</w:t>
            </w:r>
          </w:p>
        </w:tc>
        <w:tc>
          <w:tcPr>
            <w:tcW w:w="480" w:type="pct"/>
            <w:shd w:val="clear" w:color="auto" w:fill="auto"/>
            <w:vAlign w:val="center"/>
          </w:tcPr>
          <w:p w14:paraId="1809C5EE" w14:textId="77777777" w:rsidR="006B777E" w:rsidRPr="00487209" w:rsidRDefault="006B777E" w:rsidP="006C6323">
            <w:pPr>
              <w:spacing w:before="120" w:after="120"/>
              <w:jc w:val="center"/>
              <w:rPr>
                <w:rFonts w:ascii="Times New Roman" w:hAnsi="Times New Roman" w:cs="Times New Roman"/>
                <w:sz w:val="18"/>
                <w:szCs w:val="18"/>
                <w:lang w:val="ru-RU"/>
              </w:rPr>
            </w:pPr>
          </w:p>
        </w:tc>
      </w:tr>
      <w:tr w:rsidR="00337554" w:rsidRPr="00487209" w14:paraId="0DC41A08" w14:textId="77777777" w:rsidTr="007D5144">
        <w:trPr>
          <w:trHeight w:val="1970"/>
          <w:jc w:val="center"/>
        </w:trPr>
        <w:tc>
          <w:tcPr>
            <w:tcW w:w="435" w:type="pct"/>
            <w:shd w:val="clear" w:color="auto" w:fill="auto"/>
            <w:vAlign w:val="center"/>
          </w:tcPr>
          <w:p w14:paraId="3C6DAAAF"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2.28.</w:t>
            </w:r>
          </w:p>
        </w:tc>
        <w:tc>
          <w:tcPr>
            <w:tcW w:w="1369" w:type="pct"/>
            <w:gridSpan w:val="2"/>
            <w:shd w:val="clear" w:color="auto" w:fill="auto"/>
            <w:vAlign w:val="center"/>
          </w:tcPr>
          <w:p w14:paraId="5639DE41" w14:textId="77777777" w:rsidR="00425B2E" w:rsidRPr="00487209" w:rsidRDefault="009F0509" w:rsidP="006C6323">
            <w:pPr>
              <w:jc w:val="both"/>
              <w:rPr>
                <w:rFonts w:ascii="Times New Roman" w:hAnsi="Times New Roman" w:cs="Times New Roman"/>
                <w:sz w:val="18"/>
                <w:szCs w:val="18"/>
              </w:rPr>
            </w:pPr>
            <w:r w:rsidRPr="00487209">
              <w:rPr>
                <w:rFonts w:ascii="Times New Roman" w:hAnsi="Times New Roman" w:cs="Times New Roman"/>
                <w:sz w:val="18"/>
                <w:szCs w:val="18"/>
                <w:lang w:val="ru-RU"/>
              </w:rPr>
              <w:t>‘</w:t>
            </w:r>
            <w:r w:rsidRPr="00487209">
              <w:rPr>
                <w:rFonts w:ascii="Times New Roman" w:hAnsi="Times New Roman" w:cs="Times New Roman"/>
                <w:sz w:val="18"/>
                <w:szCs w:val="18"/>
              </w:rPr>
              <w:t>life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cycle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means</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consecutive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and</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interlinked</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stages</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of</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a</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construction</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product</w:t>
            </w:r>
            <w:r w:rsidRPr="00487209">
              <w:rPr>
                <w:rFonts w:ascii="Times New Roman" w:hAnsi="Times New Roman" w:cs="Times New Roman"/>
                <w:sz w:val="18"/>
                <w:szCs w:val="18"/>
                <w:lang w:val="ru-RU"/>
              </w:rPr>
              <w:t>’</w:t>
            </w:r>
            <w:r w:rsidRPr="00487209">
              <w:rPr>
                <w:rFonts w:ascii="Times New Roman" w:hAnsi="Times New Roman" w:cs="Times New Roman"/>
                <w:sz w:val="18"/>
                <w:szCs w:val="18"/>
              </w:rPr>
              <w:t>s</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life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from</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raw</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material</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acquisition or generation from natural resources to final disposal.</w:t>
            </w:r>
          </w:p>
        </w:tc>
        <w:tc>
          <w:tcPr>
            <w:tcW w:w="429" w:type="pct"/>
            <w:shd w:val="clear" w:color="auto" w:fill="auto"/>
            <w:vAlign w:val="center"/>
          </w:tcPr>
          <w:p w14:paraId="051045EC" w14:textId="77777777" w:rsidR="009D25FC" w:rsidRPr="00487209" w:rsidRDefault="009D25F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5C572E32" w14:textId="0020B2D9" w:rsidR="00425B2E" w:rsidRPr="00487209" w:rsidRDefault="002A7EAC" w:rsidP="002605F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2.1.</w:t>
            </w:r>
            <w:r w:rsidR="002605FF">
              <w:rPr>
                <w:rFonts w:ascii="Times New Roman" w:hAnsi="Times New Roman" w:cs="Times New Roman"/>
                <w:sz w:val="18"/>
                <w:szCs w:val="18"/>
              </w:rPr>
              <w:t>32</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17942E9A" w14:textId="77777777" w:rsidR="00425B2E" w:rsidRPr="00487209" w:rsidRDefault="002A7EAC" w:rsidP="006C6323">
            <w:pPr>
              <w:jc w:val="both"/>
              <w:rPr>
                <w:rFonts w:ascii="Times New Roman" w:hAnsi="Times New Roman" w:cs="Times New Roman"/>
                <w:b/>
                <w:sz w:val="18"/>
                <w:szCs w:val="18"/>
                <w:lang w:val="sr-Cyrl-CS"/>
              </w:rPr>
            </w:pPr>
            <w:r w:rsidRPr="00487209">
              <w:rPr>
                <w:rFonts w:ascii="Times New Roman" w:hAnsi="Times New Roman" w:cs="Times New Roman"/>
                <w:i/>
                <w:sz w:val="18"/>
                <w:szCs w:val="18"/>
                <w:lang w:val="sr-Cyrl-CS"/>
              </w:rPr>
              <w:t>животни циклус</w:t>
            </w:r>
            <w:r w:rsidR="00C608DE"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lang w:val="sr-Cyrl-CS"/>
              </w:rPr>
              <w:t>су узастопне и међусобно повезане фазе века трајања грађевинског производа, од набавке сировина или израде од природних ресурса до трајног одлагања;</w:t>
            </w:r>
          </w:p>
        </w:tc>
        <w:tc>
          <w:tcPr>
            <w:tcW w:w="458" w:type="pct"/>
            <w:shd w:val="clear" w:color="auto" w:fill="auto"/>
            <w:vAlign w:val="center"/>
          </w:tcPr>
          <w:p w14:paraId="2ACC75C8" w14:textId="77777777" w:rsidR="00425B2E" w:rsidRPr="00487209" w:rsidRDefault="002A7EAC"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00CF371A" w14:textId="77777777" w:rsidR="00425B2E" w:rsidRPr="00487209" w:rsidRDefault="00425B2E"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288191D3"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2E162CC7" w14:textId="77777777" w:rsidTr="007D5144">
        <w:trPr>
          <w:trHeight w:val="346"/>
          <w:jc w:val="center"/>
        </w:trPr>
        <w:tc>
          <w:tcPr>
            <w:tcW w:w="435" w:type="pct"/>
            <w:shd w:val="clear" w:color="auto" w:fill="auto"/>
            <w:vAlign w:val="center"/>
          </w:tcPr>
          <w:p w14:paraId="372763BC"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3.1.</w:t>
            </w:r>
          </w:p>
        </w:tc>
        <w:tc>
          <w:tcPr>
            <w:tcW w:w="1369" w:type="pct"/>
            <w:gridSpan w:val="2"/>
            <w:shd w:val="clear" w:color="auto" w:fill="auto"/>
            <w:vAlign w:val="center"/>
          </w:tcPr>
          <w:p w14:paraId="7D29F5AD" w14:textId="77777777" w:rsidR="00425B2E" w:rsidRPr="00487209" w:rsidRDefault="009F0509"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The basic requirements for construction works set out in Annex I shall constitute the basis for the preparation of standardisation mandates and harmonised technical specifications.</w:t>
            </w:r>
          </w:p>
        </w:tc>
        <w:tc>
          <w:tcPr>
            <w:tcW w:w="429" w:type="pct"/>
            <w:shd w:val="clear" w:color="auto" w:fill="auto"/>
            <w:vAlign w:val="center"/>
          </w:tcPr>
          <w:p w14:paraId="7F0B29AA"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380D833B" w14:textId="367068B5" w:rsidR="00425B2E" w:rsidRDefault="002C3500"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5.</w:t>
            </w:r>
            <w:r w:rsidR="002605FF">
              <w:rPr>
                <w:rFonts w:ascii="Times New Roman" w:hAnsi="Times New Roman" w:cs="Times New Roman"/>
                <w:sz w:val="18"/>
                <w:szCs w:val="18"/>
              </w:rPr>
              <w:t>2</w:t>
            </w:r>
            <w:r w:rsidRPr="00487209">
              <w:rPr>
                <w:rFonts w:ascii="Times New Roman" w:hAnsi="Times New Roman" w:cs="Times New Roman"/>
                <w:sz w:val="18"/>
                <w:szCs w:val="18"/>
                <w:lang w:val="ru-RU"/>
              </w:rPr>
              <w:t>.</w:t>
            </w:r>
          </w:p>
          <w:p w14:paraId="4B6C8C4C" w14:textId="3165E306" w:rsidR="002605FF" w:rsidRPr="0060135E" w:rsidRDefault="002605FF" w:rsidP="006C6323">
            <w:pPr>
              <w:spacing w:before="120" w:after="120"/>
              <w:ind w:firstLine="5"/>
              <w:jc w:val="center"/>
              <w:rPr>
                <w:rFonts w:ascii="Times New Roman" w:hAnsi="Times New Roman" w:cs="Times New Roman"/>
                <w:sz w:val="18"/>
                <w:szCs w:val="18"/>
              </w:rPr>
            </w:pPr>
            <w:r>
              <w:rPr>
                <w:rFonts w:ascii="Times New Roman" w:hAnsi="Times New Roman" w:cs="Times New Roman"/>
                <w:sz w:val="18"/>
                <w:szCs w:val="18"/>
              </w:rPr>
              <w:t>5.4.</w:t>
            </w:r>
          </w:p>
        </w:tc>
        <w:tc>
          <w:tcPr>
            <w:tcW w:w="1231" w:type="pct"/>
            <w:gridSpan w:val="2"/>
            <w:shd w:val="clear" w:color="auto" w:fill="auto"/>
            <w:vAlign w:val="center"/>
          </w:tcPr>
          <w:p w14:paraId="74FE33E8" w14:textId="77777777" w:rsidR="002605FF" w:rsidRPr="0060135E" w:rsidRDefault="002605FF" w:rsidP="0060135E">
            <w:pPr>
              <w:tabs>
                <w:tab w:val="left" w:pos="708"/>
              </w:tabs>
              <w:ind w:right="-23"/>
              <w:jc w:val="both"/>
              <w:outlineLvl w:val="3"/>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 xml:space="preserve">Грађевински производ који је произведен и стављен на тржиште ради сталне уградње у објекте или њихове делове мора да има перформансе </w:t>
            </w:r>
            <w:r w:rsidRPr="0060135E">
              <w:rPr>
                <w:rFonts w:ascii="Times New Roman" w:hAnsi="Times New Roman" w:cs="Times New Roman"/>
                <w:sz w:val="18"/>
                <w:szCs w:val="18"/>
                <w:lang w:eastAsia="hr-HR"/>
              </w:rPr>
              <w:t xml:space="preserve">у вези са његовим битним карактеристикама </w:t>
            </w:r>
            <w:r w:rsidRPr="0060135E">
              <w:rPr>
                <w:rFonts w:ascii="Times New Roman" w:eastAsia="Batang" w:hAnsi="Times New Roman" w:cs="Times New Roman"/>
                <w:sz w:val="18"/>
                <w:szCs w:val="18"/>
                <w:lang w:eastAsia="ko-KR"/>
              </w:rPr>
              <w:t>које имају утицај на перформансе објекта током уобичајеног</w:t>
            </w:r>
            <w:r w:rsidRPr="0060135E">
              <w:rPr>
                <w:rFonts w:ascii="Times New Roman" w:eastAsia="Batang" w:hAnsi="Times New Roman" w:cs="Times New Roman"/>
                <w:sz w:val="18"/>
                <w:szCs w:val="18"/>
                <w:lang w:val="sr-Latn-CS" w:eastAsia="ko-KR"/>
              </w:rPr>
              <w:t xml:space="preserve"> </w:t>
            </w:r>
            <w:r w:rsidRPr="0060135E">
              <w:rPr>
                <w:rFonts w:ascii="Times New Roman" w:eastAsia="Batang" w:hAnsi="Times New Roman" w:cs="Times New Roman"/>
                <w:sz w:val="18"/>
                <w:szCs w:val="18"/>
                <w:lang w:eastAsia="ko-KR"/>
              </w:rPr>
              <w:t>одржавања и економски прихватљивог века употребе објекта, а у погледу следећих основних захтева за објекте:</w:t>
            </w:r>
          </w:p>
          <w:p w14:paraId="571A5047" w14:textId="77777777" w:rsidR="002605FF" w:rsidRPr="0060135E" w:rsidRDefault="002605FF" w:rsidP="0060135E">
            <w:pPr>
              <w:numPr>
                <w:ilvl w:val="0"/>
                <w:numId w:val="67"/>
              </w:numPr>
              <w:tabs>
                <w:tab w:val="left" w:pos="202"/>
              </w:tabs>
              <w:ind w:left="274" w:right="-23" w:hanging="11"/>
              <w:jc w:val="both"/>
              <w:outlineLvl w:val="3"/>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Механичка отпорност и стабилност, односно објекти морају бити пројектовани и изведени на такав начин да оптерећења која на њих делују током изградње и употребе не доводе до:</w:t>
            </w:r>
          </w:p>
          <w:p w14:paraId="27869D85" w14:textId="77777777" w:rsidR="002605FF" w:rsidRPr="0060135E" w:rsidRDefault="002605FF" w:rsidP="0060135E">
            <w:pPr>
              <w:numPr>
                <w:ilvl w:val="0"/>
                <w:numId w:val="8"/>
              </w:numPr>
              <w:tabs>
                <w:tab w:val="left" w:pos="509"/>
              </w:tabs>
              <w:ind w:left="943" w:right="-23" w:hanging="380"/>
              <w:jc w:val="both"/>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 xml:space="preserve"> рушења читавог објекта или неког његовог дела;</w:t>
            </w:r>
          </w:p>
          <w:p w14:paraId="7255B61B" w14:textId="77777777" w:rsidR="002605FF" w:rsidRPr="0060135E" w:rsidRDefault="002605FF" w:rsidP="0060135E">
            <w:pPr>
              <w:numPr>
                <w:ilvl w:val="0"/>
                <w:numId w:val="8"/>
              </w:numPr>
              <w:tabs>
                <w:tab w:val="left" w:pos="509"/>
              </w:tabs>
              <w:ind w:left="943" w:right="-23" w:hanging="380"/>
              <w:jc w:val="both"/>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 xml:space="preserve"> деформација већих од </w:t>
            </w:r>
            <w:r w:rsidRPr="0060135E">
              <w:rPr>
                <w:rFonts w:ascii="Times New Roman" w:eastAsia="Batang" w:hAnsi="Times New Roman" w:cs="Times New Roman"/>
                <w:sz w:val="18"/>
                <w:szCs w:val="18"/>
                <w:lang w:eastAsia="ko-KR"/>
              </w:rPr>
              <w:lastRenderedPageBreak/>
              <w:t>допуштених;</w:t>
            </w:r>
          </w:p>
          <w:p w14:paraId="5D380BE3" w14:textId="77777777" w:rsidR="002605FF" w:rsidRPr="0060135E" w:rsidRDefault="002605FF" w:rsidP="0060135E">
            <w:pPr>
              <w:numPr>
                <w:ilvl w:val="0"/>
                <w:numId w:val="8"/>
              </w:numPr>
              <w:tabs>
                <w:tab w:val="left" w:pos="509"/>
              </w:tabs>
              <w:ind w:left="943" w:right="-23" w:hanging="380"/>
              <w:jc w:val="both"/>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 xml:space="preserve"> оштећења других делова објекта, инсталација или инсталиране опреме као резултат великих деформација носеће конструкције;</w:t>
            </w:r>
          </w:p>
          <w:p w14:paraId="4A2CFAD3" w14:textId="77777777" w:rsidR="002605FF" w:rsidRPr="0060135E" w:rsidRDefault="002605FF" w:rsidP="0060135E">
            <w:pPr>
              <w:numPr>
                <w:ilvl w:val="0"/>
                <w:numId w:val="8"/>
              </w:numPr>
              <w:tabs>
                <w:tab w:val="left" w:pos="509"/>
              </w:tabs>
              <w:ind w:left="943" w:right="-23" w:hanging="380"/>
              <w:jc w:val="both"/>
              <w:rPr>
                <w:rFonts w:ascii="Times New Roman" w:eastAsia="Batang" w:hAnsi="Times New Roman" w:cs="Times New Roman"/>
                <w:sz w:val="18"/>
                <w:szCs w:val="18"/>
                <w:lang w:val="sr-Latn-BA" w:eastAsia="ko-KR"/>
              </w:rPr>
            </w:pPr>
            <w:r w:rsidRPr="0060135E">
              <w:rPr>
                <w:rFonts w:ascii="Times New Roman" w:eastAsia="Batang" w:hAnsi="Times New Roman" w:cs="Times New Roman"/>
                <w:sz w:val="18"/>
                <w:szCs w:val="18"/>
                <w:lang w:eastAsia="ko-KR"/>
              </w:rPr>
              <w:t xml:space="preserve"> оштећења услед догађаја у обиму који је несразмеран изворном узроку.</w:t>
            </w:r>
          </w:p>
          <w:p w14:paraId="3A9F580E" w14:textId="77777777" w:rsidR="002605FF" w:rsidRPr="0060135E" w:rsidRDefault="002605FF" w:rsidP="0060135E">
            <w:pPr>
              <w:numPr>
                <w:ilvl w:val="0"/>
                <w:numId w:val="67"/>
              </w:numPr>
              <w:tabs>
                <w:tab w:val="left" w:pos="202"/>
              </w:tabs>
              <w:ind w:left="274" w:right="-23" w:hanging="11"/>
              <w:outlineLvl w:val="3"/>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Безбедност у случају пожара, односно објекти морају бити пројектовани и изведени на такав начин да у случају избијања пожара:</w:t>
            </w:r>
          </w:p>
          <w:p w14:paraId="0E01DE0A" w14:textId="77777777" w:rsidR="002605FF" w:rsidRPr="0060135E" w:rsidRDefault="002605FF" w:rsidP="0060135E">
            <w:pPr>
              <w:numPr>
                <w:ilvl w:val="0"/>
                <w:numId w:val="71"/>
              </w:numPr>
              <w:tabs>
                <w:tab w:val="left" w:pos="504"/>
              </w:tabs>
              <w:ind w:left="943" w:right="-23" w:hanging="442"/>
              <w:jc w:val="both"/>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val="sr-Latn-BA" w:eastAsia="ko-KR"/>
              </w:rPr>
              <w:t xml:space="preserve"> </w:t>
            </w:r>
            <w:r w:rsidRPr="0060135E">
              <w:rPr>
                <w:rFonts w:ascii="Times New Roman" w:eastAsia="Batang" w:hAnsi="Times New Roman" w:cs="Times New Roman"/>
                <w:sz w:val="18"/>
                <w:szCs w:val="18"/>
                <w:lang w:eastAsia="ko-KR"/>
              </w:rPr>
              <w:t>носивост конструкције може бити очувана током одређеног периода;</w:t>
            </w:r>
          </w:p>
          <w:p w14:paraId="78AFEE03" w14:textId="77777777" w:rsidR="002605FF" w:rsidRPr="0060135E" w:rsidRDefault="002605FF" w:rsidP="0060135E">
            <w:pPr>
              <w:numPr>
                <w:ilvl w:val="0"/>
                <w:numId w:val="71"/>
              </w:numPr>
              <w:tabs>
                <w:tab w:val="left" w:pos="504"/>
              </w:tabs>
              <w:ind w:left="943" w:right="-23" w:hanging="442"/>
              <w:jc w:val="both"/>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val="sr-Latn-BA" w:eastAsia="ko-KR"/>
              </w:rPr>
              <w:t xml:space="preserve"> </w:t>
            </w:r>
            <w:r w:rsidRPr="0060135E">
              <w:rPr>
                <w:rFonts w:ascii="Times New Roman" w:eastAsia="Batang" w:hAnsi="Times New Roman" w:cs="Times New Roman"/>
                <w:sz w:val="18"/>
                <w:szCs w:val="18"/>
                <w:lang w:eastAsia="ko-KR"/>
              </w:rPr>
              <w:t>настајање и ширење пожара и дима у објекту буде ограничено;</w:t>
            </w:r>
          </w:p>
          <w:p w14:paraId="104AD4C4" w14:textId="77777777" w:rsidR="002605FF" w:rsidRPr="0060135E" w:rsidRDefault="002605FF" w:rsidP="0060135E">
            <w:pPr>
              <w:numPr>
                <w:ilvl w:val="0"/>
                <w:numId w:val="71"/>
              </w:numPr>
              <w:tabs>
                <w:tab w:val="left" w:pos="504"/>
              </w:tabs>
              <w:ind w:left="943" w:right="-23" w:hanging="442"/>
              <w:jc w:val="both"/>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val="sr-Latn-BA" w:eastAsia="ko-KR"/>
              </w:rPr>
              <w:t xml:space="preserve"> </w:t>
            </w:r>
            <w:r w:rsidRPr="0060135E">
              <w:rPr>
                <w:rFonts w:ascii="Times New Roman" w:eastAsia="Batang" w:hAnsi="Times New Roman" w:cs="Times New Roman"/>
                <w:sz w:val="18"/>
                <w:szCs w:val="18"/>
                <w:lang w:eastAsia="ko-KR"/>
              </w:rPr>
              <w:t>ширење пожара на суседне  објекте</w:t>
            </w:r>
            <w:r w:rsidRPr="0060135E">
              <w:rPr>
                <w:rFonts w:ascii="Times New Roman" w:eastAsia="Batang" w:hAnsi="Times New Roman" w:cs="Times New Roman"/>
                <w:sz w:val="18"/>
                <w:szCs w:val="18"/>
                <w:lang w:val="sr-Latn-BA" w:eastAsia="ko-KR"/>
              </w:rPr>
              <w:t xml:space="preserve"> </w:t>
            </w:r>
            <w:r w:rsidRPr="0060135E">
              <w:rPr>
                <w:rFonts w:ascii="Times New Roman" w:eastAsia="Batang" w:hAnsi="Times New Roman" w:cs="Times New Roman"/>
                <w:sz w:val="18"/>
                <w:szCs w:val="18"/>
                <w:lang w:eastAsia="ko-KR"/>
              </w:rPr>
              <w:t>буде ограничено;</w:t>
            </w:r>
          </w:p>
          <w:p w14:paraId="21D1176E" w14:textId="77777777" w:rsidR="002605FF" w:rsidRPr="0060135E" w:rsidRDefault="002605FF" w:rsidP="0060135E">
            <w:pPr>
              <w:numPr>
                <w:ilvl w:val="0"/>
                <w:numId w:val="71"/>
              </w:numPr>
              <w:tabs>
                <w:tab w:val="left" w:pos="504"/>
              </w:tabs>
              <w:ind w:left="943" w:right="-23" w:hanging="442"/>
              <w:jc w:val="both"/>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val="sr-Latn-BA" w:eastAsia="ko-KR"/>
              </w:rPr>
              <w:t xml:space="preserve"> </w:t>
            </w:r>
            <w:r w:rsidRPr="0060135E">
              <w:rPr>
                <w:rFonts w:ascii="Times New Roman" w:eastAsia="Batang" w:hAnsi="Times New Roman" w:cs="Times New Roman"/>
                <w:sz w:val="18"/>
                <w:szCs w:val="18"/>
                <w:lang w:eastAsia="ko-KR"/>
              </w:rPr>
              <w:t>корисници могу да напусте објекте или могу бити спасени на други начин;</w:t>
            </w:r>
          </w:p>
          <w:p w14:paraId="6D7CA196" w14:textId="77777777" w:rsidR="002605FF" w:rsidRPr="0060135E" w:rsidRDefault="002605FF" w:rsidP="0060135E">
            <w:pPr>
              <w:numPr>
                <w:ilvl w:val="0"/>
                <w:numId w:val="71"/>
              </w:numPr>
              <w:tabs>
                <w:tab w:val="left" w:pos="504"/>
              </w:tabs>
              <w:ind w:left="943" w:right="-23" w:hanging="442"/>
              <w:jc w:val="both"/>
              <w:rPr>
                <w:rFonts w:ascii="Times New Roman" w:eastAsia="Batang" w:hAnsi="Times New Roman" w:cs="Times New Roman"/>
                <w:sz w:val="18"/>
                <w:szCs w:val="18"/>
                <w:lang w:val="sr-Latn-BA" w:eastAsia="ko-KR"/>
              </w:rPr>
            </w:pPr>
            <w:r w:rsidRPr="0060135E">
              <w:rPr>
                <w:rFonts w:ascii="Times New Roman" w:eastAsia="Batang" w:hAnsi="Times New Roman" w:cs="Times New Roman"/>
                <w:sz w:val="18"/>
                <w:szCs w:val="18"/>
                <w:lang w:val="sr-Latn-BA" w:eastAsia="ko-KR"/>
              </w:rPr>
              <w:t xml:space="preserve"> </w:t>
            </w:r>
            <w:r w:rsidRPr="0060135E">
              <w:rPr>
                <w:rFonts w:ascii="Times New Roman" w:eastAsia="Batang" w:hAnsi="Times New Roman" w:cs="Times New Roman"/>
                <w:sz w:val="18"/>
                <w:szCs w:val="18"/>
                <w:lang w:eastAsia="ko-KR"/>
              </w:rPr>
              <w:t>буде узета у обзир безбедност спасилачких тимова.</w:t>
            </w:r>
          </w:p>
          <w:p w14:paraId="614FF465" w14:textId="77777777" w:rsidR="002605FF" w:rsidRPr="0060135E" w:rsidRDefault="002605FF" w:rsidP="0060135E">
            <w:pPr>
              <w:numPr>
                <w:ilvl w:val="0"/>
                <w:numId w:val="67"/>
              </w:numPr>
              <w:tabs>
                <w:tab w:val="left" w:pos="202"/>
              </w:tabs>
              <w:ind w:left="274" w:right="-23" w:hanging="11"/>
              <w:jc w:val="both"/>
              <w:outlineLvl w:val="3"/>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 xml:space="preserve">Хигијена, здравље и животна средина, односно објекти морају бити пројектовани и изведени на такав начин да, током свог животног циклуса, не представљају претњу по хигијену или здравље и безбедност радника, </w:t>
            </w:r>
            <w:r w:rsidRPr="0060135E">
              <w:rPr>
                <w:rFonts w:ascii="Times New Roman" w:eastAsia="Batang" w:hAnsi="Times New Roman" w:cs="Times New Roman"/>
                <w:sz w:val="18"/>
                <w:szCs w:val="18"/>
                <w:lang w:val="sr-Latn-BA" w:eastAsia="ko-KR"/>
              </w:rPr>
              <w:t>кори</w:t>
            </w:r>
            <w:r w:rsidRPr="0060135E">
              <w:rPr>
                <w:rFonts w:ascii="Times New Roman" w:eastAsia="Batang" w:hAnsi="Times New Roman" w:cs="Times New Roman"/>
                <w:sz w:val="18"/>
                <w:szCs w:val="18"/>
                <w:lang w:eastAsia="ko-KR"/>
              </w:rPr>
              <w:t xml:space="preserve">сника или суседа, нити имају прекомерно велики утицај, током свог читавог животног циклуса, на квалитет </w:t>
            </w:r>
            <w:r w:rsidRPr="0060135E">
              <w:rPr>
                <w:rFonts w:ascii="Times New Roman" w:eastAsia="Batang" w:hAnsi="Times New Roman" w:cs="Times New Roman"/>
                <w:sz w:val="18"/>
                <w:szCs w:val="18"/>
                <w:lang w:eastAsia="ko-KR"/>
              </w:rPr>
              <w:lastRenderedPageBreak/>
              <w:t>животне средине или на климу током изградње, употребе и рушења, а нарочито као резултат следећег:</w:t>
            </w:r>
          </w:p>
          <w:p w14:paraId="535FBF1A" w14:textId="77777777" w:rsidR="002605FF" w:rsidRPr="0060135E" w:rsidRDefault="002605FF" w:rsidP="0060135E">
            <w:pPr>
              <w:numPr>
                <w:ilvl w:val="0"/>
                <w:numId w:val="88"/>
              </w:numPr>
              <w:tabs>
                <w:tab w:val="left" w:pos="504"/>
              </w:tabs>
              <w:ind w:left="943" w:right="-23" w:hanging="284"/>
              <w:jc w:val="both"/>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val="sr-Latn-BA" w:eastAsia="ko-KR"/>
              </w:rPr>
              <w:t xml:space="preserve"> </w:t>
            </w:r>
            <w:r w:rsidRPr="0060135E">
              <w:rPr>
                <w:rFonts w:ascii="Times New Roman" w:eastAsia="Batang" w:hAnsi="Times New Roman" w:cs="Times New Roman"/>
                <w:sz w:val="18"/>
                <w:szCs w:val="18"/>
                <w:lang w:eastAsia="ko-KR"/>
              </w:rPr>
              <w:t>испуштања отровних гасова;</w:t>
            </w:r>
          </w:p>
          <w:p w14:paraId="1B331E51" w14:textId="77777777" w:rsidR="002605FF" w:rsidRPr="0060135E" w:rsidRDefault="002605FF" w:rsidP="0060135E">
            <w:pPr>
              <w:numPr>
                <w:ilvl w:val="0"/>
                <w:numId w:val="88"/>
              </w:numPr>
              <w:tabs>
                <w:tab w:val="left" w:pos="504"/>
              </w:tabs>
              <w:ind w:left="943" w:right="-23" w:hanging="284"/>
              <w:jc w:val="both"/>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 xml:space="preserve"> емисије опасних материја, испарљивих органских једињења, гасова с ефектом стаклене баште или опасних честица у унутрашњи или спољашњи ваздух;</w:t>
            </w:r>
          </w:p>
          <w:p w14:paraId="131EC30C" w14:textId="77777777" w:rsidR="002605FF" w:rsidRPr="0060135E" w:rsidRDefault="002605FF" w:rsidP="0060135E">
            <w:pPr>
              <w:numPr>
                <w:ilvl w:val="0"/>
                <w:numId w:val="88"/>
              </w:numPr>
              <w:tabs>
                <w:tab w:val="left" w:pos="504"/>
              </w:tabs>
              <w:ind w:left="943" w:right="-23" w:hanging="284"/>
              <w:jc w:val="both"/>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 xml:space="preserve"> емисије опасног зрачења;</w:t>
            </w:r>
          </w:p>
          <w:p w14:paraId="1E2D70FD" w14:textId="77777777" w:rsidR="002605FF" w:rsidRPr="0060135E" w:rsidRDefault="002605FF" w:rsidP="0060135E">
            <w:pPr>
              <w:numPr>
                <w:ilvl w:val="0"/>
                <w:numId w:val="88"/>
              </w:numPr>
              <w:tabs>
                <w:tab w:val="left" w:pos="504"/>
              </w:tabs>
              <w:ind w:left="943" w:right="-23" w:hanging="284"/>
              <w:jc w:val="both"/>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 xml:space="preserve"> испуштања опасних материја у подземне воде, морске воде, површинске воде или тло;</w:t>
            </w:r>
          </w:p>
          <w:p w14:paraId="50545447" w14:textId="77777777" w:rsidR="002605FF" w:rsidRPr="0060135E" w:rsidRDefault="002605FF" w:rsidP="0060135E">
            <w:pPr>
              <w:numPr>
                <w:ilvl w:val="0"/>
                <w:numId w:val="88"/>
              </w:numPr>
              <w:tabs>
                <w:tab w:val="left" w:pos="504"/>
              </w:tabs>
              <w:ind w:left="943" w:right="-23" w:hanging="284"/>
              <w:jc w:val="both"/>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 xml:space="preserve"> испуштања опасних материја у воду за пиће или материја које имају неки други негативан утицај на воду за пиће;</w:t>
            </w:r>
          </w:p>
          <w:p w14:paraId="4E3214BD" w14:textId="77777777" w:rsidR="002605FF" w:rsidRPr="0060135E" w:rsidRDefault="002605FF" w:rsidP="0060135E">
            <w:pPr>
              <w:numPr>
                <w:ilvl w:val="0"/>
                <w:numId w:val="88"/>
              </w:numPr>
              <w:tabs>
                <w:tab w:val="left" w:pos="504"/>
              </w:tabs>
              <w:ind w:left="943" w:right="-23" w:hanging="284"/>
              <w:jc w:val="both"/>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 xml:space="preserve"> неисправног отпуштања отпадних вода, емисије димних гасова или неисправног одлагања чврстог или течног отпада;</w:t>
            </w:r>
          </w:p>
          <w:p w14:paraId="7252748B" w14:textId="77777777" w:rsidR="002605FF" w:rsidRPr="0060135E" w:rsidRDefault="002605FF" w:rsidP="0060135E">
            <w:pPr>
              <w:numPr>
                <w:ilvl w:val="0"/>
                <w:numId w:val="88"/>
              </w:numPr>
              <w:tabs>
                <w:tab w:val="left" w:pos="504"/>
              </w:tabs>
              <w:ind w:left="943" w:right="-23" w:hanging="284"/>
              <w:jc w:val="both"/>
              <w:rPr>
                <w:rFonts w:ascii="Times New Roman" w:eastAsia="Batang" w:hAnsi="Times New Roman" w:cs="Times New Roman"/>
                <w:sz w:val="18"/>
                <w:szCs w:val="18"/>
                <w:lang w:val="sr-Latn-BA" w:eastAsia="ko-KR"/>
              </w:rPr>
            </w:pPr>
            <w:r w:rsidRPr="0060135E">
              <w:rPr>
                <w:rFonts w:ascii="Times New Roman" w:eastAsia="Batang" w:hAnsi="Times New Roman" w:cs="Times New Roman"/>
                <w:sz w:val="18"/>
                <w:szCs w:val="18"/>
                <w:lang w:eastAsia="ko-KR"/>
              </w:rPr>
              <w:t xml:space="preserve"> влаге у деловима објекта или на површинама у објекту.</w:t>
            </w:r>
          </w:p>
          <w:p w14:paraId="604DE930" w14:textId="77777777" w:rsidR="002605FF" w:rsidRPr="0060135E" w:rsidRDefault="002605FF" w:rsidP="0060135E">
            <w:pPr>
              <w:numPr>
                <w:ilvl w:val="0"/>
                <w:numId w:val="67"/>
              </w:numPr>
              <w:tabs>
                <w:tab w:val="left" w:pos="202"/>
              </w:tabs>
              <w:ind w:left="274" w:right="-23" w:hanging="11"/>
              <w:jc w:val="both"/>
              <w:outlineLvl w:val="3"/>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 xml:space="preserve">Безбедност и приступачност приликом употребе, односно објекти морају бити пројектовани и изведени на такав начин да не представљају неприхватљиве ризике од незгода или оштећења током употребе или функционисања као што су клизање, падање, судар, опекотине, електрични удар, повреде од </w:t>
            </w:r>
            <w:r w:rsidRPr="0060135E">
              <w:rPr>
                <w:rFonts w:ascii="Times New Roman" w:eastAsia="Batang" w:hAnsi="Times New Roman" w:cs="Times New Roman"/>
                <w:sz w:val="18"/>
                <w:szCs w:val="18"/>
                <w:lang w:eastAsia="ko-KR"/>
              </w:rPr>
              <w:lastRenderedPageBreak/>
              <w:t xml:space="preserve">експлозије и провале. Објекти морају бити пројектовани и изведени узимајући нарочито у обзир приступачност и употребу за особе са инвалидитетом. </w:t>
            </w:r>
          </w:p>
          <w:p w14:paraId="27F7B779" w14:textId="77777777" w:rsidR="002605FF" w:rsidRPr="0060135E" w:rsidRDefault="002605FF" w:rsidP="0060135E">
            <w:pPr>
              <w:numPr>
                <w:ilvl w:val="0"/>
                <w:numId w:val="67"/>
              </w:numPr>
              <w:tabs>
                <w:tab w:val="left" w:pos="202"/>
              </w:tabs>
              <w:ind w:left="274" w:right="-23" w:hanging="11"/>
              <w:jc w:val="both"/>
              <w:outlineLvl w:val="3"/>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Заштита од буке, односно објекти морају бити пројектовани и изведени на такав начин да се бука коју опажају корисници или људи у близини одржава на нивоу на коме није угрожено њихово здравље и при којој могу да спавају, да се одмарају и раде под задовољавајућим условима.</w:t>
            </w:r>
          </w:p>
          <w:p w14:paraId="6546590C" w14:textId="77777777" w:rsidR="002605FF" w:rsidRPr="0060135E" w:rsidRDefault="002605FF" w:rsidP="0060135E">
            <w:pPr>
              <w:numPr>
                <w:ilvl w:val="0"/>
                <w:numId w:val="67"/>
              </w:numPr>
              <w:tabs>
                <w:tab w:val="left" w:pos="202"/>
              </w:tabs>
              <w:ind w:left="274" w:right="-23" w:hanging="11"/>
              <w:jc w:val="both"/>
              <w:outlineLvl w:val="3"/>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 xml:space="preserve">Уштеда енергије и задржавање топлоте, односно објекти и њихове инсталације за грејање, хлађење, осветљење и вентилацију морају бити пројектовани и изведени на такав начин да количина енергије коју захтевају током коришћења буде ниска, када се узму у обзир корисници и климатски услови локације. Објекти, такође, морају бити енергетски ефикасни, уз коришћење што је могуће мање енергије током изградње и рушења. </w:t>
            </w:r>
          </w:p>
          <w:p w14:paraId="56D3151F" w14:textId="77777777" w:rsidR="002605FF" w:rsidRPr="0060135E" w:rsidRDefault="002605FF" w:rsidP="0060135E">
            <w:pPr>
              <w:numPr>
                <w:ilvl w:val="0"/>
                <w:numId w:val="67"/>
              </w:numPr>
              <w:tabs>
                <w:tab w:val="left" w:pos="202"/>
              </w:tabs>
              <w:ind w:left="274" w:right="-23" w:hanging="11"/>
              <w:jc w:val="both"/>
              <w:outlineLvl w:val="3"/>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val="sr-Latn-BA" w:eastAsia="ko-KR"/>
              </w:rPr>
              <w:t xml:space="preserve"> </w:t>
            </w:r>
            <w:r w:rsidRPr="0060135E">
              <w:rPr>
                <w:rFonts w:ascii="Times New Roman" w:eastAsia="Batang" w:hAnsi="Times New Roman" w:cs="Times New Roman"/>
                <w:sz w:val="18"/>
                <w:szCs w:val="18"/>
                <w:lang w:eastAsia="ko-KR"/>
              </w:rPr>
              <w:t>Одрживо коришћење природних ресурса, односно објекти морају бити пројектовани, изведени и срушени на такав начин да је употреба природних ресурса одржива, а нарочито да се обезбеди:</w:t>
            </w:r>
          </w:p>
          <w:p w14:paraId="7ADE3873" w14:textId="77777777" w:rsidR="002605FF" w:rsidRPr="0060135E" w:rsidRDefault="002605FF" w:rsidP="0060135E">
            <w:pPr>
              <w:numPr>
                <w:ilvl w:val="0"/>
                <w:numId w:val="77"/>
              </w:numPr>
              <w:tabs>
                <w:tab w:val="left" w:pos="494"/>
              </w:tabs>
              <w:ind w:left="659" w:right="-23" w:hanging="352"/>
              <w:jc w:val="both"/>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val="sr-Latn-BA" w:eastAsia="ko-KR"/>
              </w:rPr>
              <w:t xml:space="preserve"> </w:t>
            </w:r>
            <w:r w:rsidRPr="0060135E">
              <w:rPr>
                <w:rFonts w:ascii="Times New Roman" w:eastAsia="Batang" w:hAnsi="Times New Roman" w:cs="Times New Roman"/>
                <w:sz w:val="18"/>
                <w:szCs w:val="18"/>
                <w:lang w:eastAsia="ko-KR"/>
              </w:rPr>
              <w:t>поновна употреба или могућност рециклаже објеката, његових материјала и делова након рушења;</w:t>
            </w:r>
          </w:p>
          <w:p w14:paraId="3A288D16" w14:textId="77777777" w:rsidR="002605FF" w:rsidRPr="0060135E" w:rsidRDefault="002605FF" w:rsidP="0060135E">
            <w:pPr>
              <w:numPr>
                <w:ilvl w:val="0"/>
                <w:numId w:val="77"/>
              </w:numPr>
              <w:tabs>
                <w:tab w:val="left" w:pos="494"/>
              </w:tabs>
              <w:ind w:left="659" w:right="-23" w:hanging="352"/>
              <w:jc w:val="both"/>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трајност објекта;</w:t>
            </w:r>
          </w:p>
          <w:p w14:paraId="40B961D4" w14:textId="77777777" w:rsidR="002605FF" w:rsidRPr="0060135E" w:rsidRDefault="002605FF" w:rsidP="0060135E">
            <w:pPr>
              <w:numPr>
                <w:ilvl w:val="0"/>
                <w:numId w:val="77"/>
              </w:numPr>
              <w:tabs>
                <w:tab w:val="left" w:pos="494"/>
              </w:tabs>
              <w:ind w:left="659" w:right="-23" w:hanging="352"/>
              <w:jc w:val="both"/>
              <w:rPr>
                <w:rFonts w:ascii="Times New Roman" w:eastAsia="Batang" w:hAnsi="Times New Roman" w:cs="Times New Roman"/>
                <w:sz w:val="18"/>
                <w:szCs w:val="18"/>
                <w:lang w:val="sr-Latn-BA" w:eastAsia="ko-KR"/>
              </w:rPr>
            </w:pPr>
            <w:r w:rsidRPr="0060135E">
              <w:rPr>
                <w:rFonts w:ascii="Times New Roman" w:eastAsia="Batang" w:hAnsi="Times New Roman" w:cs="Times New Roman"/>
                <w:sz w:val="18"/>
                <w:szCs w:val="18"/>
                <w:lang w:eastAsia="ko-KR"/>
              </w:rPr>
              <w:t xml:space="preserve">коришћење сировина и </w:t>
            </w:r>
            <w:r w:rsidRPr="0060135E">
              <w:rPr>
                <w:rFonts w:ascii="Times New Roman" w:eastAsia="Batang" w:hAnsi="Times New Roman" w:cs="Times New Roman"/>
                <w:sz w:val="18"/>
                <w:szCs w:val="18"/>
                <w:lang w:eastAsia="ko-KR"/>
              </w:rPr>
              <w:lastRenderedPageBreak/>
              <w:t>секундарних материјала у објекту, који су погодни за животну средину.</w:t>
            </w:r>
          </w:p>
          <w:p w14:paraId="274ECEBE" w14:textId="77777777" w:rsidR="002605FF" w:rsidRPr="0060135E" w:rsidRDefault="002605FF" w:rsidP="0060135E">
            <w:pPr>
              <w:tabs>
                <w:tab w:val="left" w:pos="643"/>
              </w:tabs>
              <w:ind w:right="-23"/>
              <w:outlineLvl w:val="3"/>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 xml:space="preserve">Случајеви битних карактеристика када није неопходно упућивање на одговарајућу техничку спецификацију или технички пропис су: </w:t>
            </w:r>
          </w:p>
          <w:p w14:paraId="155E05E0" w14:textId="77777777" w:rsidR="002605FF" w:rsidRPr="0060135E" w:rsidRDefault="002605FF" w:rsidP="0060135E">
            <w:pPr>
              <w:numPr>
                <w:ilvl w:val="0"/>
                <w:numId w:val="86"/>
              </w:numPr>
              <w:ind w:left="659" w:right="-23" w:hanging="306"/>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реакција на пожар</w:t>
            </w:r>
            <w:r w:rsidRPr="0060135E">
              <w:rPr>
                <w:rFonts w:ascii="Times New Roman" w:eastAsia="Batang" w:hAnsi="Times New Roman" w:cs="Times New Roman"/>
                <w:sz w:val="18"/>
                <w:szCs w:val="18"/>
                <w:lang w:val="sr-Latn-CS" w:eastAsia="ko-KR"/>
              </w:rPr>
              <w:t>;</w:t>
            </w:r>
          </w:p>
          <w:p w14:paraId="5314145A" w14:textId="77777777" w:rsidR="002605FF" w:rsidRPr="0060135E" w:rsidRDefault="002605FF" w:rsidP="0060135E">
            <w:pPr>
              <w:numPr>
                <w:ilvl w:val="0"/>
                <w:numId w:val="86"/>
              </w:numPr>
              <w:tabs>
                <w:tab w:val="left" w:pos="590"/>
              </w:tabs>
              <w:ind w:left="659" w:right="-23" w:hanging="306"/>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отпорност на пожар</w:t>
            </w:r>
            <w:r w:rsidRPr="0060135E">
              <w:rPr>
                <w:rFonts w:ascii="Times New Roman" w:eastAsia="Batang" w:hAnsi="Times New Roman" w:cs="Times New Roman"/>
                <w:sz w:val="18"/>
                <w:szCs w:val="18"/>
                <w:lang w:val="sr-Latn-CS" w:eastAsia="ko-KR"/>
              </w:rPr>
              <w:t>;</w:t>
            </w:r>
          </w:p>
          <w:p w14:paraId="445DA074" w14:textId="77777777" w:rsidR="002605FF" w:rsidRPr="0060135E" w:rsidRDefault="002605FF" w:rsidP="0060135E">
            <w:pPr>
              <w:numPr>
                <w:ilvl w:val="0"/>
                <w:numId w:val="86"/>
              </w:numPr>
              <w:tabs>
                <w:tab w:val="left" w:pos="590"/>
              </w:tabs>
              <w:ind w:left="659" w:right="-23" w:hanging="306"/>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перформансе при спољашњем пожару</w:t>
            </w:r>
            <w:r w:rsidRPr="0060135E">
              <w:rPr>
                <w:rFonts w:ascii="Times New Roman" w:eastAsia="Batang" w:hAnsi="Times New Roman" w:cs="Times New Roman"/>
                <w:sz w:val="18"/>
                <w:szCs w:val="18"/>
                <w:lang w:val="sr-Latn-CS" w:eastAsia="ko-KR"/>
              </w:rPr>
              <w:t>;</w:t>
            </w:r>
          </w:p>
          <w:p w14:paraId="56E16139" w14:textId="77777777" w:rsidR="002605FF" w:rsidRPr="0060135E" w:rsidRDefault="002605FF" w:rsidP="0060135E">
            <w:pPr>
              <w:numPr>
                <w:ilvl w:val="0"/>
                <w:numId w:val="86"/>
              </w:numPr>
              <w:tabs>
                <w:tab w:val="left" w:pos="590"/>
              </w:tabs>
              <w:ind w:left="659" w:right="-23" w:hanging="306"/>
              <w:rPr>
                <w:rFonts w:ascii="Times New Roman" w:eastAsia="Batang" w:hAnsi="Times New Roman" w:cs="Times New Roman"/>
                <w:sz w:val="18"/>
                <w:szCs w:val="18"/>
                <w:lang w:eastAsia="ko-KR"/>
              </w:rPr>
            </w:pPr>
            <w:r w:rsidRPr="0060135E">
              <w:rPr>
                <w:rFonts w:ascii="Times New Roman" w:eastAsia="Batang" w:hAnsi="Times New Roman" w:cs="Times New Roman"/>
                <w:sz w:val="18"/>
                <w:szCs w:val="18"/>
                <w:lang w:eastAsia="ko-KR"/>
              </w:rPr>
              <w:t>апсорпција буке</w:t>
            </w:r>
            <w:r w:rsidRPr="0060135E">
              <w:rPr>
                <w:rFonts w:ascii="Times New Roman" w:eastAsia="Batang" w:hAnsi="Times New Roman" w:cs="Times New Roman"/>
                <w:sz w:val="18"/>
                <w:szCs w:val="18"/>
                <w:lang w:val="sr-Latn-CS" w:eastAsia="ko-KR"/>
              </w:rPr>
              <w:t>;</w:t>
            </w:r>
          </w:p>
          <w:p w14:paraId="1F5BB4CE" w14:textId="77777777" w:rsidR="002605FF" w:rsidRPr="0060135E" w:rsidRDefault="002605FF" w:rsidP="0060135E">
            <w:pPr>
              <w:numPr>
                <w:ilvl w:val="0"/>
                <w:numId w:val="86"/>
              </w:numPr>
              <w:tabs>
                <w:tab w:val="left" w:pos="590"/>
              </w:tabs>
              <w:ind w:left="659" w:right="-23" w:hanging="306"/>
              <w:rPr>
                <w:rFonts w:ascii="Times New Roman" w:eastAsia="Batang" w:hAnsi="Times New Roman" w:cs="Times New Roman"/>
                <w:sz w:val="18"/>
                <w:szCs w:val="18"/>
                <w:lang w:val="sr-Latn-BA" w:eastAsia="ko-KR"/>
              </w:rPr>
            </w:pPr>
            <w:r w:rsidRPr="0060135E">
              <w:rPr>
                <w:rFonts w:ascii="Times New Roman" w:eastAsia="Batang" w:hAnsi="Times New Roman" w:cs="Times New Roman"/>
                <w:sz w:val="18"/>
                <w:szCs w:val="18"/>
                <w:lang w:eastAsia="ko-KR"/>
              </w:rPr>
              <w:t>емисија опасних материја</w:t>
            </w:r>
            <w:r w:rsidRPr="0060135E">
              <w:rPr>
                <w:rFonts w:ascii="Times New Roman" w:eastAsia="Batang" w:hAnsi="Times New Roman" w:cs="Times New Roman"/>
                <w:sz w:val="18"/>
                <w:szCs w:val="18"/>
                <w:lang w:val="sr-Latn-CS" w:eastAsia="ko-KR"/>
              </w:rPr>
              <w:t>.</w:t>
            </w:r>
          </w:p>
          <w:p w14:paraId="1E4F242A" w14:textId="203E48DB" w:rsidR="00425B2E" w:rsidRPr="002605FF" w:rsidRDefault="00425B2E" w:rsidP="0060135E">
            <w:pPr>
              <w:jc w:val="both"/>
              <w:rPr>
                <w:rFonts w:ascii="Times New Roman" w:hAnsi="Times New Roman" w:cs="Times New Roman"/>
                <w:sz w:val="18"/>
                <w:szCs w:val="18"/>
                <w:lang w:val="sr-Cyrl-CS"/>
              </w:rPr>
            </w:pPr>
          </w:p>
        </w:tc>
        <w:tc>
          <w:tcPr>
            <w:tcW w:w="458" w:type="pct"/>
            <w:shd w:val="clear" w:color="auto" w:fill="auto"/>
            <w:vAlign w:val="center"/>
          </w:tcPr>
          <w:p w14:paraId="5D2B2FF4" w14:textId="77777777" w:rsidR="00425B2E" w:rsidRPr="00487209" w:rsidRDefault="000075D9"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П</w:t>
            </w:r>
            <w:r w:rsidR="002C3500" w:rsidRPr="00487209">
              <w:rPr>
                <w:rFonts w:ascii="Times New Roman" w:hAnsi="Times New Roman" w:cs="Times New Roman"/>
                <w:sz w:val="18"/>
                <w:szCs w:val="18"/>
                <w:lang w:val="ru-RU"/>
              </w:rPr>
              <w:t>У</w:t>
            </w:r>
          </w:p>
        </w:tc>
        <w:tc>
          <w:tcPr>
            <w:tcW w:w="598" w:type="pct"/>
            <w:gridSpan w:val="2"/>
            <w:shd w:val="clear" w:color="auto" w:fill="auto"/>
            <w:vAlign w:val="center"/>
          </w:tcPr>
          <w:p w14:paraId="6F045FD7" w14:textId="77777777" w:rsidR="000075D9" w:rsidRPr="00487209" w:rsidRDefault="000075D9" w:rsidP="006C6323">
            <w:pPr>
              <w:spacing w:before="120" w:after="120"/>
              <w:ind w:firstLine="2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Напомена:</w:t>
            </w:r>
          </w:p>
          <w:p w14:paraId="7390583D" w14:textId="6F84AC32" w:rsidR="00C63FF5" w:rsidRPr="00487209" w:rsidRDefault="00633885" w:rsidP="00633885">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sr-Cyrl-CS"/>
              </w:rPr>
              <w:t>Члан</w:t>
            </w:r>
            <w:r w:rsidR="00385CA4" w:rsidRPr="00487209">
              <w:rPr>
                <w:rFonts w:ascii="Times New Roman" w:hAnsi="Times New Roman" w:cs="Times New Roman"/>
                <w:sz w:val="18"/>
                <w:szCs w:val="18"/>
                <w:lang w:val="sr-Cyrl-CS"/>
              </w:rPr>
              <w:t xml:space="preserve"> 5. ст. </w:t>
            </w:r>
            <w:r w:rsidR="002605FF">
              <w:rPr>
                <w:rFonts w:ascii="Times New Roman" w:hAnsi="Times New Roman" w:cs="Times New Roman"/>
                <w:sz w:val="18"/>
                <w:szCs w:val="18"/>
              </w:rPr>
              <w:t>2</w:t>
            </w:r>
            <w:r w:rsidR="00385CA4" w:rsidRPr="00487209">
              <w:rPr>
                <w:rFonts w:ascii="Times New Roman" w:hAnsi="Times New Roman" w:cs="Times New Roman"/>
                <w:sz w:val="18"/>
                <w:szCs w:val="18"/>
                <w:lang w:val="sr-Cyrl-CS"/>
              </w:rPr>
              <w:t xml:space="preserve">. </w:t>
            </w:r>
            <w:r w:rsidR="0060135E">
              <w:rPr>
                <w:rFonts w:ascii="Times New Roman" w:hAnsi="Times New Roman" w:cs="Times New Roman"/>
                <w:sz w:val="18"/>
                <w:szCs w:val="18"/>
                <w:lang w:val="sr-Cyrl-CS"/>
              </w:rPr>
              <w:t xml:space="preserve">и 4.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385CA4" w:rsidRPr="00487209">
              <w:rPr>
                <w:rFonts w:ascii="Times New Roman" w:hAnsi="Times New Roman" w:cs="Times New Roman"/>
                <w:sz w:val="18"/>
                <w:szCs w:val="18"/>
                <w:lang w:val="sr-Cyrl-CS"/>
              </w:rPr>
              <w:t xml:space="preserve"> је </w:t>
            </w:r>
            <w:r w:rsidR="000075D9" w:rsidRPr="00487209">
              <w:rPr>
                <w:rFonts w:ascii="Times New Roman" w:hAnsi="Times New Roman" w:cs="Times New Roman"/>
                <w:sz w:val="18"/>
                <w:szCs w:val="18"/>
                <w:lang w:val="sr-Cyrl-CS"/>
              </w:rPr>
              <w:t>потпуно</w:t>
            </w:r>
            <w:r w:rsidR="00385CA4" w:rsidRPr="00487209">
              <w:rPr>
                <w:rFonts w:ascii="Times New Roman" w:hAnsi="Times New Roman" w:cs="Times New Roman"/>
                <w:sz w:val="18"/>
                <w:szCs w:val="18"/>
                <w:lang w:val="sr-Cyrl-CS"/>
              </w:rPr>
              <w:t xml:space="preserve"> усклађен са </w:t>
            </w:r>
            <w:r w:rsidR="00385CA4" w:rsidRPr="00487209">
              <w:rPr>
                <w:rFonts w:ascii="Times New Roman" w:hAnsi="Times New Roman" w:cs="Times New Roman"/>
                <w:sz w:val="18"/>
                <w:szCs w:val="18"/>
                <w:lang w:val="ru-RU"/>
              </w:rPr>
              <w:t>чл</w:t>
            </w:r>
            <w:r>
              <w:rPr>
                <w:rFonts w:ascii="Times New Roman" w:hAnsi="Times New Roman" w:cs="Times New Roman"/>
                <w:sz w:val="18"/>
                <w:szCs w:val="18"/>
                <w:lang w:val="ru-RU"/>
              </w:rPr>
              <w:t>аном</w:t>
            </w:r>
            <w:r w:rsidR="000764EA" w:rsidRPr="00487209">
              <w:rPr>
                <w:rFonts w:ascii="Times New Roman" w:hAnsi="Times New Roman" w:cs="Times New Roman"/>
                <w:sz w:val="18"/>
                <w:szCs w:val="18"/>
                <w:lang w:val="ru-RU"/>
              </w:rPr>
              <w:t xml:space="preserve"> 3.1.</w:t>
            </w:r>
            <w:r w:rsidR="000764EA" w:rsidRPr="00487209">
              <w:rPr>
                <w:rFonts w:ascii="Times New Roman" w:hAnsi="Times New Roman" w:cs="Times New Roman"/>
                <w:sz w:val="18"/>
                <w:szCs w:val="18"/>
                <w:lang w:val="sr-Cyrl-CS"/>
              </w:rPr>
              <w:t xml:space="preserve"> Уредбе 305/2011 (ЕУ)</w:t>
            </w:r>
            <w:r w:rsidR="000075D9" w:rsidRPr="00487209">
              <w:rPr>
                <w:rFonts w:ascii="Times New Roman" w:hAnsi="Times New Roman" w:cs="Times New Roman"/>
                <w:sz w:val="18"/>
                <w:szCs w:val="18"/>
                <w:lang w:val="sr-Cyrl-CS"/>
              </w:rPr>
              <w:t>, уз напомену да је њоме поред хармонизоване обухваћена и нехармонизована област грађевинских производа.</w:t>
            </w:r>
          </w:p>
        </w:tc>
        <w:tc>
          <w:tcPr>
            <w:tcW w:w="480" w:type="pct"/>
            <w:shd w:val="clear" w:color="auto" w:fill="auto"/>
            <w:vAlign w:val="center"/>
          </w:tcPr>
          <w:p w14:paraId="03960A4F"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776A4764" w14:textId="77777777" w:rsidTr="007D5144">
        <w:trPr>
          <w:trHeight w:val="1970"/>
          <w:jc w:val="center"/>
        </w:trPr>
        <w:tc>
          <w:tcPr>
            <w:tcW w:w="435" w:type="pct"/>
            <w:shd w:val="clear" w:color="auto" w:fill="auto"/>
            <w:vAlign w:val="center"/>
          </w:tcPr>
          <w:p w14:paraId="23C08AFD"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3.2.</w:t>
            </w:r>
          </w:p>
        </w:tc>
        <w:tc>
          <w:tcPr>
            <w:tcW w:w="1369" w:type="pct"/>
            <w:gridSpan w:val="2"/>
            <w:shd w:val="clear" w:color="auto" w:fill="auto"/>
            <w:vAlign w:val="center"/>
          </w:tcPr>
          <w:p w14:paraId="2CA0C455" w14:textId="77777777" w:rsidR="00425B2E" w:rsidRPr="00487209" w:rsidRDefault="009F0509" w:rsidP="006C6323">
            <w:pPr>
              <w:jc w:val="both"/>
              <w:rPr>
                <w:rFonts w:ascii="Times New Roman" w:hAnsi="Times New Roman" w:cs="Times New Roman"/>
                <w:sz w:val="18"/>
                <w:szCs w:val="18"/>
              </w:rPr>
            </w:pPr>
            <w:r w:rsidRPr="00487209">
              <w:rPr>
                <w:rFonts w:ascii="Times New Roman" w:hAnsi="Times New Roman" w:cs="Times New Roman"/>
                <w:sz w:val="18"/>
                <w:szCs w:val="18"/>
              </w:rPr>
              <w:t>The essential characteristics of construction products shall be laid down in harmonised technical specifications in relation to the basic requirements for construction works.</w:t>
            </w:r>
          </w:p>
        </w:tc>
        <w:tc>
          <w:tcPr>
            <w:tcW w:w="429" w:type="pct"/>
            <w:shd w:val="clear" w:color="auto" w:fill="auto"/>
            <w:vAlign w:val="center"/>
          </w:tcPr>
          <w:p w14:paraId="6A4A5AD6"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355B3564" w14:textId="43CA2561" w:rsidR="00425B2E" w:rsidRPr="00487209" w:rsidRDefault="006A5002" w:rsidP="003773C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5.</w:t>
            </w:r>
            <w:r w:rsidR="003773CF" w:rsidRPr="00487209">
              <w:rPr>
                <w:rFonts w:ascii="Times New Roman" w:hAnsi="Times New Roman" w:cs="Times New Roman"/>
                <w:sz w:val="18"/>
                <w:szCs w:val="18"/>
                <w:lang w:val="ru-RU"/>
              </w:rPr>
              <w:t>3</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071BFDEC" w14:textId="77777777" w:rsidR="00425B2E" w:rsidRPr="00487209" w:rsidRDefault="008B30D7"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Битне карактеристике грађевинских производа се утврђују у српским техничким спецификацијама и техничким прописима у вези са основним захтевима за објекте.</w:t>
            </w:r>
          </w:p>
        </w:tc>
        <w:tc>
          <w:tcPr>
            <w:tcW w:w="458" w:type="pct"/>
            <w:shd w:val="clear" w:color="auto" w:fill="auto"/>
            <w:vAlign w:val="center"/>
          </w:tcPr>
          <w:p w14:paraId="57E8E9E0" w14:textId="77777777" w:rsidR="00425B2E" w:rsidRPr="00487209" w:rsidRDefault="00B66305"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w:t>
            </w:r>
            <w:r w:rsidR="006A5002" w:rsidRPr="00487209">
              <w:rPr>
                <w:rFonts w:ascii="Times New Roman" w:hAnsi="Times New Roman" w:cs="Times New Roman"/>
                <w:sz w:val="18"/>
                <w:szCs w:val="18"/>
                <w:lang w:val="ru-RU"/>
              </w:rPr>
              <w:t>У</w:t>
            </w:r>
          </w:p>
        </w:tc>
        <w:tc>
          <w:tcPr>
            <w:tcW w:w="598" w:type="pct"/>
            <w:gridSpan w:val="2"/>
            <w:shd w:val="clear" w:color="auto" w:fill="auto"/>
            <w:vAlign w:val="center"/>
          </w:tcPr>
          <w:p w14:paraId="04BA0275" w14:textId="12F665E7" w:rsidR="00C63FF5" w:rsidRPr="00487209" w:rsidRDefault="00633885" w:rsidP="004758F8">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sr-Cyrl-CS"/>
              </w:rPr>
              <w:t>Члан 5. став</w:t>
            </w:r>
            <w:r w:rsidR="009B4AD9" w:rsidRPr="00487209">
              <w:rPr>
                <w:rFonts w:ascii="Times New Roman" w:hAnsi="Times New Roman" w:cs="Times New Roman"/>
                <w:sz w:val="18"/>
                <w:szCs w:val="18"/>
                <w:lang w:val="sr-Cyrl-CS"/>
              </w:rPr>
              <w:t xml:space="preserve"> </w:t>
            </w:r>
            <w:r w:rsidR="004758F8" w:rsidRPr="00487209">
              <w:rPr>
                <w:rFonts w:ascii="Times New Roman" w:hAnsi="Times New Roman" w:cs="Times New Roman"/>
                <w:sz w:val="18"/>
                <w:szCs w:val="18"/>
              </w:rPr>
              <w:t>3.</w:t>
            </w:r>
            <w:r w:rsidR="009B4AD9"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9B4AD9" w:rsidRPr="00487209">
              <w:rPr>
                <w:rFonts w:ascii="Times New Roman" w:hAnsi="Times New Roman" w:cs="Times New Roman"/>
                <w:sz w:val="18"/>
                <w:szCs w:val="18"/>
                <w:lang w:val="sr-Cyrl-CS"/>
              </w:rPr>
              <w:t xml:space="preserve">  је </w:t>
            </w:r>
            <w:r w:rsidR="00B66305" w:rsidRPr="00487209">
              <w:rPr>
                <w:rFonts w:ascii="Times New Roman" w:hAnsi="Times New Roman" w:cs="Times New Roman"/>
                <w:sz w:val="18"/>
                <w:szCs w:val="18"/>
                <w:lang w:val="sr-Cyrl-CS"/>
              </w:rPr>
              <w:t>потпу</w:t>
            </w:r>
            <w:r w:rsidR="006E4481" w:rsidRPr="00487209">
              <w:rPr>
                <w:rFonts w:ascii="Times New Roman" w:hAnsi="Times New Roman" w:cs="Times New Roman"/>
                <w:sz w:val="18"/>
                <w:szCs w:val="18"/>
                <w:lang w:val="sr-Cyrl-CS"/>
              </w:rPr>
              <w:t>но</w:t>
            </w:r>
            <w:r w:rsidR="009B4AD9" w:rsidRPr="00487209">
              <w:rPr>
                <w:rFonts w:ascii="Times New Roman" w:hAnsi="Times New Roman" w:cs="Times New Roman"/>
                <w:sz w:val="18"/>
                <w:szCs w:val="18"/>
                <w:lang w:val="sr-Cyrl-CS"/>
              </w:rPr>
              <w:t xml:space="preserve"> усклађен са </w:t>
            </w:r>
            <w:r w:rsidR="009B4AD9" w:rsidRPr="00487209">
              <w:rPr>
                <w:rFonts w:ascii="Times New Roman" w:hAnsi="Times New Roman" w:cs="Times New Roman"/>
                <w:sz w:val="18"/>
                <w:szCs w:val="18"/>
                <w:lang w:val="ru-RU"/>
              </w:rPr>
              <w:t>чл</w:t>
            </w:r>
            <w:r>
              <w:rPr>
                <w:rFonts w:ascii="Times New Roman" w:hAnsi="Times New Roman" w:cs="Times New Roman"/>
                <w:sz w:val="18"/>
                <w:szCs w:val="18"/>
                <w:lang w:val="ru-RU"/>
              </w:rPr>
              <w:t>аном</w:t>
            </w:r>
            <w:r w:rsidR="00EE42F5" w:rsidRPr="00487209">
              <w:rPr>
                <w:rFonts w:ascii="Times New Roman" w:hAnsi="Times New Roman" w:cs="Times New Roman"/>
                <w:sz w:val="18"/>
                <w:szCs w:val="18"/>
                <w:lang w:val="ru-RU"/>
              </w:rPr>
              <w:t xml:space="preserve"> 3.</w:t>
            </w:r>
            <w:r w:rsidR="00DC5710" w:rsidRPr="00487209">
              <w:rPr>
                <w:rFonts w:ascii="Times New Roman" w:hAnsi="Times New Roman" w:cs="Times New Roman"/>
                <w:sz w:val="18"/>
                <w:szCs w:val="18"/>
                <w:lang w:val="ru-RU"/>
              </w:rPr>
              <w:t>2</w:t>
            </w:r>
            <w:r w:rsidR="00EE42F5" w:rsidRPr="00487209">
              <w:rPr>
                <w:rFonts w:ascii="Times New Roman" w:hAnsi="Times New Roman" w:cs="Times New Roman"/>
                <w:sz w:val="18"/>
                <w:szCs w:val="18"/>
                <w:lang w:val="ru-RU"/>
              </w:rPr>
              <w:t>.</w:t>
            </w:r>
            <w:r w:rsidR="00EE42F5" w:rsidRPr="00487209">
              <w:rPr>
                <w:rFonts w:ascii="Times New Roman" w:hAnsi="Times New Roman" w:cs="Times New Roman"/>
                <w:sz w:val="18"/>
                <w:szCs w:val="18"/>
                <w:lang w:val="sr-Cyrl-CS"/>
              </w:rPr>
              <w:t xml:space="preserve"> Уредбе 305/2011 (ЕУ)</w:t>
            </w:r>
            <w:r w:rsidR="009B4AD9" w:rsidRPr="00487209">
              <w:rPr>
                <w:rFonts w:ascii="Times New Roman" w:hAnsi="Times New Roman" w:cs="Times New Roman"/>
                <w:sz w:val="18"/>
                <w:szCs w:val="18"/>
                <w:lang w:val="sr-Cyrl-CS"/>
              </w:rPr>
              <w:t>,</w:t>
            </w:r>
            <w:r w:rsidR="00EE42F5" w:rsidRPr="00487209">
              <w:rPr>
                <w:rFonts w:ascii="Times New Roman" w:hAnsi="Times New Roman" w:cs="Times New Roman"/>
                <w:sz w:val="18"/>
                <w:szCs w:val="18"/>
                <w:lang w:val="sr-Cyrl-CS"/>
              </w:rPr>
              <w:t xml:space="preserve"> </w:t>
            </w:r>
            <w:r w:rsidR="00B66305" w:rsidRPr="00487209">
              <w:rPr>
                <w:rFonts w:ascii="Times New Roman" w:hAnsi="Times New Roman" w:cs="Times New Roman"/>
                <w:sz w:val="18"/>
                <w:szCs w:val="18"/>
                <w:lang w:val="sr-Cyrl-CS"/>
              </w:rPr>
              <w:t>уз напомену да је њоме поред хармонизоване обухваћена и нехармонизована област грађевинских производа.</w:t>
            </w:r>
          </w:p>
        </w:tc>
        <w:tc>
          <w:tcPr>
            <w:tcW w:w="480" w:type="pct"/>
            <w:shd w:val="clear" w:color="auto" w:fill="auto"/>
            <w:vAlign w:val="center"/>
          </w:tcPr>
          <w:p w14:paraId="6EFCE857"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5BC3F505" w14:textId="77777777" w:rsidTr="007D5144">
        <w:trPr>
          <w:trHeight w:val="629"/>
          <w:jc w:val="center"/>
        </w:trPr>
        <w:tc>
          <w:tcPr>
            <w:tcW w:w="435" w:type="pct"/>
            <w:shd w:val="clear" w:color="auto" w:fill="auto"/>
            <w:vAlign w:val="center"/>
          </w:tcPr>
          <w:p w14:paraId="4341B5D9"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3.3</w:t>
            </w:r>
          </w:p>
        </w:tc>
        <w:tc>
          <w:tcPr>
            <w:tcW w:w="1369" w:type="pct"/>
            <w:gridSpan w:val="2"/>
            <w:shd w:val="clear" w:color="auto" w:fill="auto"/>
            <w:vAlign w:val="center"/>
          </w:tcPr>
          <w:p w14:paraId="4AEA1CAC" w14:textId="77777777" w:rsidR="009F0509" w:rsidRPr="00487209" w:rsidRDefault="009F0509"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For specific families of construction products covered by a harmonised standard, the Commission shall, where appropriate and in relation to their intended uses as defined in harmonised standards, determine by means of delegated acts in accordance with Article 60, those essential characteristics for which the manufacturer shall declare the performance of the product when it is placed on the market.</w:t>
            </w:r>
          </w:p>
          <w:p w14:paraId="125AE055" w14:textId="77777777" w:rsidR="00425B2E" w:rsidRPr="00487209" w:rsidRDefault="009F0509"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Where appropriate, the Commission shall also determine, by means of delegated acts in accordance with Article 60, the threshold levels for the performance in relation to the essential characteristics to be declared.</w:t>
            </w:r>
          </w:p>
        </w:tc>
        <w:tc>
          <w:tcPr>
            <w:tcW w:w="429" w:type="pct"/>
            <w:shd w:val="clear" w:color="auto" w:fill="auto"/>
            <w:vAlign w:val="center"/>
          </w:tcPr>
          <w:p w14:paraId="435CDB4B" w14:textId="77777777" w:rsidR="008E013E" w:rsidRPr="00487209" w:rsidRDefault="008E013E" w:rsidP="006C6323">
            <w:pPr>
              <w:spacing w:before="120" w:after="120"/>
              <w:ind w:firstLine="5"/>
              <w:jc w:val="center"/>
              <w:rPr>
                <w:rFonts w:ascii="Times New Roman" w:hAnsi="Times New Roman" w:cs="Times New Roman"/>
                <w:sz w:val="18"/>
                <w:szCs w:val="18"/>
                <w:lang w:val="ru-RU"/>
              </w:rPr>
            </w:pPr>
          </w:p>
          <w:p w14:paraId="5C55B1D9" w14:textId="77777777" w:rsidR="008E013E" w:rsidRPr="00487209" w:rsidRDefault="008E013E" w:rsidP="006C6323">
            <w:pPr>
              <w:spacing w:before="120" w:after="120"/>
              <w:ind w:firstLine="5"/>
              <w:jc w:val="center"/>
              <w:rPr>
                <w:rFonts w:ascii="Times New Roman" w:hAnsi="Times New Roman" w:cs="Times New Roman"/>
                <w:sz w:val="18"/>
                <w:szCs w:val="18"/>
                <w:lang w:val="ru-RU"/>
              </w:rPr>
            </w:pPr>
          </w:p>
          <w:p w14:paraId="5E94B75C" w14:textId="77777777" w:rsidR="008E013E" w:rsidRPr="00487209" w:rsidRDefault="008E013E" w:rsidP="006C6323">
            <w:pPr>
              <w:spacing w:before="120" w:after="120"/>
              <w:ind w:firstLine="5"/>
              <w:jc w:val="center"/>
              <w:rPr>
                <w:rFonts w:ascii="Times New Roman" w:hAnsi="Times New Roman" w:cs="Times New Roman"/>
                <w:sz w:val="18"/>
                <w:szCs w:val="18"/>
                <w:lang w:val="ru-RU"/>
              </w:rPr>
            </w:pPr>
          </w:p>
          <w:p w14:paraId="418BBC27"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7F89D9DC" w14:textId="1DF8E6B4" w:rsidR="00425B2E" w:rsidRPr="00487209" w:rsidRDefault="00557404"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5.</w:t>
            </w:r>
            <w:r w:rsidR="00BC0309" w:rsidRPr="00487209">
              <w:rPr>
                <w:rFonts w:ascii="Times New Roman" w:hAnsi="Times New Roman" w:cs="Times New Roman"/>
                <w:sz w:val="18"/>
                <w:szCs w:val="18"/>
                <w:lang w:val="ru-RU"/>
              </w:rPr>
              <w:t>5</w:t>
            </w:r>
            <w:r w:rsidR="008E013E" w:rsidRPr="00487209">
              <w:rPr>
                <w:rFonts w:ascii="Times New Roman" w:hAnsi="Times New Roman" w:cs="Times New Roman"/>
                <w:sz w:val="18"/>
                <w:szCs w:val="18"/>
                <w:lang w:val="ru-RU"/>
              </w:rPr>
              <w:t>.</w:t>
            </w:r>
          </w:p>
          <w:p w14:paraId="6677D597" w14:textId="77777777" w:rsidR="008E013E" w:rsidRPr="00487209" w:rsidRDefault="008E013E" w:rsidP="006C6323">
            <w:pPr>
              <w:spacing w:before="120" w:after="120"/>
              <w:ind w:firstLine="5"/>
              <w:jc w:val="center"/>
              <w:rPr>
                <w:rFonts w:ascii="Times New Roman" w:hAnsi="Times New Roman" w:cs="Times New Roman"/>
                <w:sz w:val="18"/>
                <w:szCs w:val="18"/>
                <w:lang w:val="ru-RU"/>
              </w:rPr>
            </w:pPr>
          </w:p>
          <w:p w14:paraId="1E49E7AF" w14:textId="77777777" w:rsidR="008E013E" w:rsidRPr="00487209" w:rsidRDefault="008E013E" w:rsidP="006C6323">
            <w:pPr>
              <w:spacing w:before="120" w:after="120"/>
              <w:ind w:firstLine="5"/>
              <w:jc w:val="center"/>
              <w:rPr>
                <w:rFonts w:ascii="Times New Roman" w:hAnsi="Times New Roman" w:cs="Times New Roman"/>
                <w:sz w:val="18"/>
                <w:szCs w:val="18"/>
                <w:lang w:val="ru-RU"/>
              </w:rPr>
            </w:pPr>
          </w:p>
          <w:p w14:paraId="1449F8A6" w14:textId="77777777" w:rsidR="008E013E" w:rsidRPr="00487209" w:rsidRDefault="008E013E" w:rsidP="006C6323">
            <w:pPr>
              <w:spacing w:before="120" w:after="120"/>
              <w:ind w:firstLine="5"/>
              <w:jc w:val="center"/>
              <w:rPr>
                <w:rFonts w:ascii="Times New Roman" w:hAnsi="Times New Roman" w:cs="Times New Roman"/>
                <w:sz w:val="18"/>
                <w:szCs w:val="18"/>
                <w:lang w:val="ru-RU"/>
              </w:rPr>
            </w:pPr>
          </w:p>
          <w:p w14:paraId="74D4A423" w14:textId="77777777" w:rsidR="008E013E" w:rsidRPr="00487209" w:rsidRDefault="008E013E" w:rsidP="006C6323">
            <w:pPr>
              <w:spacing w:before="120" w:after="120"/>
              <w:ind w:firstLine="5"/>
              <w:jc w:val="center"/>
              <w:rPr>
                <w:rFonts w:ascii="Times New Roman" w:hAnsi="Times New Roman" w:cs="Times New Roman"/>
                <w:sz w:val="18"/>
                <w:szCs w:val="18"/>
                <w:lang w:val="ru-RU"/>
              </w:rPr>
            </w:pPr>
          </w:p>
          <w:p w14:paraId="1CA9B686" w14:textId="569F9023" w:rsidR="00557404" w:rsidRPr="00487209" w:rsidRDefault="00557404" w:rsidP="00BC0309">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5.</w:t>
            </w:r>
            <w:r w:rsidR="00BC0309" w:rsidRPr="00487209">
              <w:rPr>
                <w:rFonts w:ascii="Times New Roman" w:hAnsi="Times New Roman" w:cs="Times New Roman"/>
                <w:sz w:val="18"/>
                <w:szCs w:val="18"/>
                <w:lang w:val="ru-RU"/>
              </w:rPr>
              <w:t>6</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23719A41" w14:textId="77777777" w:rsidR="002605FF" w:rsidRPr="00894C3A" w:rsidRDefault="002605FF" w:rsidP="002605FF">
            <w:pPr>
              <w:spacing w:before="240"/>
              <w:ind w:right="-23"/>
              <w:rPr>
                <w:rFonts w:ascii="Times New Roman" w:eastAsia="Batang" w:hAnsi="Times New Roman" w:cs="Times New Roman"/>
                <w:strike/>
                <w:sz w:val="18"/>
                <w:szCs w:val="24"/>
                <w:lang w:eastAsia="ko-KR"/>
              </w:rPr>
            </w:pPr>
            <w:r w:rsidRPr="00894C3A">
              <w:rPr>
                <w:rFonts w:ascii="Times New Roman" w:eastAsia="Batang" w:hAnsi="Times New Roman" w:cs="Times New Roman"/>
                <w:sz w:val="18"/>
                <w:szCs w:val="24"/>
                <w:lang w:eastAsia="ko-KR"/>
              </w:rPr>
              <w:lastRenderedPageBreak/>
              <w:t>Министар надлежан за послове грађевинарства прописује битне карактеристике за које произвођач наводи перформансе грађевинског производа приликом његовог стављања на тржиште, а по потреби и битне карактеристике у вези са њиховим предвиђеним употребама,</w:t>
            </w:r>
            <w:r w:rsidRPr="00894C3A" w:rsidDel="00B743E9">
              <w:rPr>
                <w:rFonts w:ascii="Times New Roman" w:eastAsia="Batang" w:hAnsi="Times New Roman" w:cs="Times New Roman"/>
                <w:sz w:val="18"/>
                <w:szCs w:val="24"/>
                <w:lang w:eastAsia="ko-KR"/>
              </w:rPr>
              <w:t xml:space="preserve"> </w:t>
            </w:r>
            <w:r w:rsidRPr="00894C3A">
              <w:rPr>
                <w:rFonts w:ascii="Times New Roman" w:eastAsia="Batang" w:hAnsi="Times New Roman" w:cs="Times New Roman"/>
                <w:sz w:val="18"/>
                <w:szCs w:val="24"/>
                <w:lang w:eastAsia="ko-KR"/>
              </w:rPr>
              <w:t xml:space="preserve">за </w:t>
            </w:r>
            <w:r w:rsidRPr="00894C3A">
              <w:rPr>
                <w:rFonts w:ascii="Times New Roman" w:eastAsia="Batang" w:hAnsi="Times New Roman" w:cs="Times New Roman"/>
                <w:sz w:val="18"/>
                <w:szCs w:val="24"/>
                <w:lang w:eastAsia="ko-KR"/>
              </w:rPr>
              <w:lastRenderedPageBreak/>
              <w:t>фамилије</w:t>
            </w:r>
            <w:r w:rsidRPr="00894C3A">
              <w:rPr>
                <w:rFonts w:ascii="Times New Roman" w:eastAsia="Batang" w:hAnsi="Times New Roman" w:cs="Times New Roman"/>
                <w:sz w:val="18"/>
                <w:szCs w:val="24"/>
                <w:lang w:val="sr-Latn-CS" w:eastAsia="ko-KR"/>
              </w:rPr>
              <w:t xml:space="preserve"> </w:t>
            </w:r>
            <w:r w:rsidRPr="00894C3A">
              <w:rPr>
                <w:rFonts w:ascii="Times New Roman" w:eastAsia="Batang" w:hAnsi="Times New Roman" w:cs="Times New Roman"/>
                <w:sz w:val="18"/>
                <w:szCs w:val="24"/>
                <w:lang w:eastAsia="ko-KR"/>
              </w:rPr>
              <w:t>грађевинских производа обухваћене српским стандардом којим је преузет хармонизовани стандард који се примењује у складу са овим законом.</w:t>
            </w:r>
          </w:p>
          <w:p w14:paraId="58377213" w14:textId="77777777" w:rsidR="002605FF" w:rsidRPr="00894C3A" w:rsidRDefault="002605FF" w:rsidP="002605FF">
            <w:pPr>
              <w:spacing w:before="240"/>
              <w:ind w:right="-23"/>
              <w:rPr>
                <w:rFonts w:ascii="Times New Roman" w:eastAsia="Batang" w:hAnsi="Times New Roman" w:cs="Times New Roman"/>
                <w:sz w:val="18"/>
                <w:szCs w:val="24"/>
                <w:lang w:eastAsia="ko-KR"/>
              </w:rPr>
            </w:pPr>
            <w:r w:rsidRPr="00894C3A">
              <w:rPr>
                <w:rFonts w:ascii="Times New Roman" w:eastAsia="Batang" w:hAnsi="Times New Roman" w:cs="Times New Roman"/>
                <w:sz w:val="18"/>
                <w:szCs w:val="24"/>
                <w:lang w:eastAsia="ko-KR"/>
              </w:rPr>
              <w:t xml:space="preserve">Техничким прописом из става </w:t>
            </w:r>
            <w:r w:rsidRPr="00894C3A">
              <w:rPr>
                <w:rFonts w:ascii="Times New Roman" w:eastAsia="Batang" w:hAnsi="Times New Roman" w:cs="Times New Roman"/>
                <w:sz w:val="18"/>
                <w:szCs w:val="24"/>
                <w:lang w:val="sr-Latn-CS" w:eastAsia="ko-KR"/>
              </w:rPr>
              <w:t>5</w:t>
            </w:r>
            <w:r w:rsidRPr="00894C3A">
              <w:rPr>
                <w:rFonts w:ascii="Times New Roman" w:eastAsia="Batang" w:hAnsi="Times New Roman" w:cs="Times New Roman"/>
                <w:sz w:val="18"/>
                <w:szCs w:val="24"/>
                <w:lang w:eastAsia="ko-KR"/>
              </w:rPr>
              <w:t xml:space="preserve">. овог члана, могу бити утврђене и граничне вредности перформанси у вези са битним карактеристикама које je </w:t>
            </w:r>
            <w:r w:rsidRPr="00894C3A">
              <w:rPr>
                <w:rFonts w:ascii="Times New Roman" w:eastAsia="Batang" w:hAnsi="Times New Roman" w:cs="Times New Roman"/>
                <w:sz w:val="18"/>
                <w:szCs w:val="24"/>
                <w:lang w:val="sr-Latn-BA" w:eastAsia="ko-KR"/>
              </w:rPr>
              <w:t>по</w:t>
            </w:r>
            <w:r w:rsidRPr="00894C3A">
              <w:rPr>
                <w:rFonts w:ascii="Times New Roman" w:eastAsia="Batang" w:hAnsi="Times New Roman" w:cs="Times New Roman"/>
                <w:sz w:val="18"/>
                <w:szCs w:val="24"/>
                <w:lang w:eastAsia="ko-KR"/>
              </w:rPr>
              <w:t>требно навести.</w:t>
            </w:r>
          </w:p>
          <w:p w14:paraId="659734B4" w14:textId="77777777" w:rsidR="00425B2E" w:rsidRPr="00487209" w:rsidRDefault="00425B2E" w:rsidP="006C6323">
            <w:pPr>
              <w:jc w:val="both"/>
              <w:rPr>
                <w:rFonts w:ascii="Times New Roman" w:hAnsi="Times New Roman" w:cs="Times New Roman"/>
                <w:sz w:val="18"/>
                <w:szCs w:val="18"/>
                <w:lang w:val="sr-Cyrl-CS"/>
              </w:rPr>
            </w:pPr>
          </w:p>
        </w:tc>
        <w:tc>
          <w:tcPr>
            <w:tcW w:w="458" w:type="pct"/>
            <w:shd w:val="clear" w:color="auto" w:fill="auto"/>
            <w:vAlign w:val="center"/>
          </w:tcPr>
          <w:p w14:paraId="74CDBF05" w14:textId="77777777" w:rsidR="00425B2E" w:rsidRPr="00487209" w:rsidRDefault="00FA60BB"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ДУ</w:t>
            </w:r>
          </w:p>
        </w:tc>
        <w:tc>
          <w:tcPr>
            <w:tcW w:w="598" w:type="pct"/>
            <w:gridSpan w:val="2"/>
            <w:shd w:val="clear" w:color="auto" w:fill="auto"/>
            <w:vAlign w:val="center"/>
          </w:tcPr>
          <w:p w14:paraId="143FFDFB" w14:textId="06CBE2B0" w:rsidR="00C63FF5" w:rsidRPr="00487209" w:rsidRDefault="00633885" w:rsidP="004758F8">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A80C36" w:rsidRPr="00487209">
              <w:rPr>
                <w:rFonts w:ascii="Times New Roman" w:hAnsi="Times New Roman" w:cs="Times New Roman"/>
                <w:sz w:val="18"/>
                <w:szCs w:val="18"/>
                <w:lang w:val="ru-RU"/>
              </w:rPr>
              <w:t xml:space="preserve"> 3.</w:t>
            </w:r>
            <w:r w:rsidR="00FA60BB" w:rsidRPr="00487209">
              <w:rPr>
                <w:rFonts w:ascii="Times New Roman" w:hAnsi="Times New Roman" w:cs="Times New Roman"/>
                <w:sz w:val="18"/>
                <w:szCs w:val="18"/>
                <w:lang w:val="ru-RU"/>
              </w:rPr>
              <w:t>3</w:t>
            </w:r>
            <w:r w:rsidR="00A80C36" w:rsidRPr="00487209">
              <w:rPr>
                <w:rFonts w:ascii="Times New Roman" w:hAnsi="Times New Roman" w:cs="Times New Roman"/>
                <w:sz w:val="18"/>
                <w:szCs w:val="18"/>
                <w:lang w:val="ru-RU"/>
              </w:rPr>
              <w:t>.</w:t>
            </w:r>
            <w:r w:rsidR="00A80C36" w:rsidRPr="00487209">
              <w:rPr>
                <w:rFonts w:ascii="Times New Roman" w:hAnsi="Times New Roman" w:cs="Times New Roman"/>
                <w:sz w:val="18"/>
                <w:szCs w:val="18"/>
                <w:lang w:val="sr-Cyrl-CS"/>
              </w:rPr>
              <w:t xml:space="preserve"> Уредбе 305/2011 (ЕУ) је </w:t>
            </w:r>
            <w:r w:rsidR="00FA60BB" w:rsidRPr="00487209">
              <w:rPr>
                <w:rFonts w:ascii="Times New Roman" w:hAnsi="Times New Roman" w:cs="Times New Roman"/>
                <w:sz w:val="18"/>
                <w:szCs w:val="18"/>
                <w:lang w:val="sr-Cyrl-CS"/>
              </w:rPr>
              <w:t>делимично</w:t>
            </w:r>
            <w:r w:rsidR="00A80C36" w:rsidRPr="00487209">
              <w:rPr>
                <w:rFonts w:ascii="Times New Roman" w:hAnsi="Times New Roman" w:cs="Times New Roman"/>
                <w:sz w:val="18"/>
                <w:szCs w:val="18"/>
                <w:lang w:val="sr-Cyrl-CS"/>
              </w:rPr>
              <w:t xml:space="preserve"> </w:t>
            </w:r>
            <w:r w:rsidR="00013A69" w:rsidRPr="00487209">
              <w:rPr>
                <w:rFonts w:ascii="Times New Roman" w:hAnsi="Times New Roman" w:cs="Times New Roman"/>
                <w:sz w:val="18"/>
                <w:szCs w:val="18"/>
                <w:lang w:val="sr-Cyrl-CS"/>
              </w:rPr>
              <w:t>пренет</w:t>
            </w:r>
            <w:r w:rsidR="00DA1393">
              <w:rPr>
                <w:rFonts w:ascii="Times New Roman" w:hAnsi="Times New Roman" w:cs="Times New Roman"/>
                <w:sz w:val="18"/>
                <w:szCs w:val="18"/>
                <w:lang w:val="sr-Cyrl-CS"/>
              </w:rPr>
              <w:t xml:space="preserve"> </w:t>
            </w:r>
            <w:r>
              <w:rPr>
                <w:rFonts w:ascii="Times New Roman" w:hAnsi="Times New Roman" w:cs="Times New Roman"/>
                <w:sz w:val="18"/>
                <w:szCs w:val="18"/>
                <w:lang w:val="sr-Cyrl-CS"/>
              </w:rPr>
              <w:t>члан</w:t>
            </w:r>
            <w:r w:rsidR="003A3C46" w:rsidRPr="00487209">
              <w:rPr>
                <w:rFonts w:ascii="Times New Roman" w:hAnsi="Times New Roman" w:cs="Times New Roman"/>
                <w:sz w:val="18"/>
                <w:szCs w:val="18"/>
                <w:lang w:val="sr-Cyrl-CS"/>
              </w:rPr>
              <w:t xml:space="preserve"> 5. ст. </w:t>
            </w:r>
            <w:r w:rsidR="004758F8" w:rsidRPr="00487209">
              <w:rPr>
                <w:rFonts w:ascii="Times New Roman" w:hAnsi="Times New Roman" w:cs="Times New Roman"/>
                <w:sz w:val="18"/>
                <w:szCs w:val="18"/>
              </w:rPr>
              <w:t>5</w:t>
            </w:r>
            <w:r w:rsidR="003A3C46" w:rsidRPr="00487209">
              <w:rPr>
                <w:rFonts w:ascii="Times New Roman" w:hAnsi="Times New Roman" w:cs="Times New Roman"/>
                <w:sz w:val="18"/>
                <w:szCs w:val="18"/>
                <w:lang w:val="sr-Cyrl-CS"/>
              </w:rPr>
              <w:t xml:space="preserve">. и </w:t>
            </w:r>
            <w:r w:rsidR="004758F8" w:rsidRPr="00487209">
              <w:rPr>
                <w:rFonts w:ascii="Times New Roman" w:hAnsi="Times New Roman" w:cs="Times New Roman"/>
                <w:sz w:val="18"/>
                <w:szCs w:val="18"/>
              </w:rPr>
              <w:t>6</w:t>
            </w:r>
            <w:r w:rsidR="003A3C46"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3A3C46" w:rsidRPr="00487209">
              <w:rPr>
                <w:rFonts w:ascii="Times New Roman" w:hAnsi="Times New Roman" w:cs="Times New Roman"/>
                <w:sz w:val="18"/>
                <w:szCs w:val="18"/>
                <w:lang w:val="sr-Cyrl-CS"/>
              </w:rPr>
              <w:t xml:space="preserve"> </w:t>
            </w:r>
            <w:r w:rsidR="00FA60BB" w:rsidRPr="00487209">
              <w:rPr>
                <w:rFonts w:ascii="Times New Roman" w:hAnsi="Times New Roman" w:cs="Times New Roman"/>
                <w:sz w:val="18"/>
                <w:szCs w:val="18"/>
                <w:lang w:val="sr-Cyrl-CS"/>
              </w:rPr>
              <w:t xml:space="preserve"> </w:t>
            </w:r>
            <w:r w:rsidR="00FA60BB" w:rsidRPr="00487209">
              <w:rPr>
                <w:rFonts w:ascii="Times New Roman" w:hAnsi="Times New Roman" w:cs="Times New Roman"/>
                <w:sz w:val="18"/>
                <w:szCs w:val="18"/>
                <w:lang w:val="sr-Cyrl-CS"/>
              </w:rPr>
              <w:lastRenderedPageBreak/>
              <w:t xml:space="preserve">иако </w:t>
            </w:r>
            <w:r w:rsidR="003A3C46" w:rsidRPr="00487209">
              <w:rPr>
                <w:rFonts w:ascii="Times New Roman" w:hAnsi="Times New Roman" w:cs="Times New Roman"/>
                <w:sz w:val="18"/>
                <w:szCs w:val="18"/>
                <w:lang w:val="sr-Cyrl-CS"/>
              </w:rPr>
              <w:t>прописује</w:t>
            </w:r>
            <w:r w:rsidR="00FA60BB" w:rsidRPr="00487209">
              <w:rPr>
                <w:rFonts w:ascii="Times New Roman" w:hAnsi="Times New Roman" w:cs="Times New Roman"/>
                <w:sz w:val="18"/>
                <w:szCs w:val="18"/>
                <w:lang w:val="sr-Cyrl-CS"/>
              </w:rPr>
              <w:t xml:space="preserve"> обавезе Европске комисије. </w:t>
            </w:r>
            <w:r w:rsidR="00E74A7E" w:rsidRPr="00487209">
              <w:rPr>
                <w:rFonts w:ascii="Times New Roman" w:hAnsi="Times New Roman" w:cs="Times New Roman"/>
                <w:sz w:val="18"/>
                <w:szCs w:val="18"/>
                <w:lang w:val="sr-Cyrl-CS"/>
              </w:rPr>
              <w:t xml:space="preserve">Пренет је начин утврђивања битних карактеристика грађевинских производа који спадају у хармонизовану област. </w:t>
            </w:r>
            <w:r w:rsidR="00FA60BB" w:rsidRPr="00487209">
              <w:rPr>
                <w:rFonts w:ascii="Times New Roman" w:hAnsi="Times New Roman" w:cs="Times New Roman"/>
                <w:sz w:val="18"/>
                <w:szCs w:val="18"/>
                <w:lang w:val="sr-Cyrl-CS"/>
              </w:rPr>
              <w:t>Потпуно усклађивање биће могуће након приступања ЕУ.</w:t>
            </w:r>
          </w:p>
        </w:tc>
        <w:tc>
          <w:tcPr>
            <w:tcW w:w="480" w:type="pct"/>
            <w:shd w:val="clear" w:color="auto" w:fill="auto"/>
            <w:vAlign w:val="center"/>
          </w:tcPr>
          <w:p w14:paraId="75FF3C94"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4AF869C8" w14:textId="77777777" w:rsidTr="007D5144">
        <w:trPr>
          <w:trHeight w:val="1970"/>
          <w:jc w:val="center"/>
        </w:trPr>
        <w:tc>
          <w:tcPr>
            <w:tcW w:w="435" w:type="pct"/>
            <w:shd w:val="clear" w:color="auto" w:fill="auto"/>
            <w:vAlign w:val="center"/>
          </w:tcPr>
          <w:p w14:paraId="079BB961" w14:textId="77777777" w:rsidR="00E50194" w:rsidRPr="00487209" w:rsidRDefault="00E50194"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4.1.</w:t>
            </w:r>
          </w:p>
        </w:tc>
        <w:tc>
          <w:tcPr>
            <w:tcW w:w="1369" w:type="pct"/>
            <w:gridSpan w:val="2"/>
            <w:shd w:val="clear" w:color="auto" w:fill="auto"/>
            <w:vAlign w:val="center"/>
          </w:tcPr>
          <w:p w14:paraId="7C237BAD" w14:textId="77777777" w:rsidR="00E50194" w:rsidRPr="00487209" w:rsidRDefault="00E50194"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When a construction product is covered by a harmonised standard or conforms to a European Technical Assessment which has been issued for it, the manufacturer shall draw up a declaration of performance when such a product is placed on the market.</w:t>
            </w:r>
          </w:p>
        </w:tc>
        <w:tc>
          <w:tcPr>
            <w:tcW w:w="429" w:type="pct"/>
            <w:shd w:val="clear" w:color="auto" w:fill="auto"/>
            <w:vAlign w:val="center"/>
          </w:tcPr>
          <w:p w14:paraId="28BDFA0A"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2DBAF418" w14:textId="77777777" w:rsidR="00E50194" w:rsidRPr="00487209" w:rsidRDefault="00E50194"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6.1.</w:t>
            </w:r>
          </w:p>
        </w:tc>
        <w:tc>
          <w:tcPr>
            <w:tcW w:w="1231" w:type="pct"/>
            <w:gridSpan w:val="2"/>
            <w:shd w:val="clear" w:color="auto" w:fill="auto"/>
            <w:vAlign w:val="center"/>
          </w:tcPr>
          <w:p w14:paraId="7832F716" w14:textId="77777777" w:rsidR="00E50194" w:rsidRPr="00487209" w:rsidRDefault="00E50194" w:rsidP="006C6323">
            <w:pPr>
              <w:jc w:val="both"/>
              <w:rPr>
                <w:rFonts w:ascii="Times New Roman" w:hAnsi="Times New Roman" w:cs="Times New Roman"/>
                <w:sz w:val="18"/>
                <w:szCs w:val="18"/>
                <w:lang w:val="ru-RU"/>
              </w:rPr>
            </w:pPr>
          </w:p>
          <w:p w14:paraId="563DF3F0" w14:textId="77777777" w:rsidR="00AD5D5E" w:rsidRPr="00487209" w:rsidRDefault="00AD5D5E" w:rsidP="006C6323">
            <w:pPr>
              <w:spacing w:before="120"/>
              <w:ind w:right="-23"/>
              <w:jc w:val="both"/>
              <w:outlineLvl w:val="2"/>
              <w:rPr>
                <w:rFonts w:ascii="Times New Roman" w:eastAsia="Batang" w:hAnsi="Times New Roman" w:cs="Times New Roman"/>
                <w:sz w:val="18"/>
                <w:szCs w:val="18"/>
                <w:lang w:val="sr-Latn-BA" w:eastAsia="ko-KR"/>
              </w:rPr>
            </w:pPr>
            <w:r w:rsidRPr="00487209">
              <w:rPr>
                <w:rFonts w:ascii="Times New Roman" w:eastAsia="Batang" w:hAnsi="Times New Roman" w:cs="Times New Roman"/>
                <w:sz w:val="18"/>
                <w:szCs w:val="18"/>
                <w:lang w:val="sr-Latn-BA" w:eastAsia="ko-KR"/>
              </w:rPr>
              <w:t xml:space="preserve">За грађевинске производе усаглашене са </w:t>
            </w:r>
            <w:r w:rsidRPr="00487209">
              <w:rPr>
                <w:rFonts w:ascii="Times New Roman" w:eastAsia="Batang" w:hAnsi="Times New Roman" w:cs="Times New Roman"/>
                <w:sz w:val="18"/>
                <w:szCs w:val="18"/>
                <w:lang w:val="sr-Cyrl-CS" w:eastAsia="ko-KR"/>
              </w:rPr>
              <w:t>захтевима утврђеним</w:t>
            </w:r>
            <w:r w:rsidRPr="00487209">
              <w:rPr>
                <w:rFonts w:ascii="Times New Roman" w:eastAsia="Batang" w:hAnsi="Times New Roman" w:cs="Times New Roman"/>
                <w:sz w:val="18"/>
                <w:szCs w:val="18"/>
                <w:lang w:val="sr-Latn-CS" w:eastAsia="ko-KR"/>
              </w:rPr>
              <w:t xml:space="preserve"> </w:t>
            </w:r>
            <w:r w:rsidRPr="00487209">
              <w:rPr>
                <w:rFonts w:ascii="Times New Roman" w:eastAsia="Batang" w:hAnsi="Times New Roman" w:cs="Times New Roman"/>
                <w:sz w:val="18"/>
                <w:szCs w:val="18"/>
                <w:lang w:val="sr-Latn-BA" w:eastAsia="ko-KR"/>
              </w:rPr>
              <w:t xml:space="preserve">српском техничком спецификацијом и грађевинске производе усаглашене са </w:t>
            </w:r>
            <w:r w:rsidRPr="00487209">
              <w:rPr>
                <w:rFonts w:ascii="Times New Roman" w:eastAsia="Batang" w:hAnsi="Times New Roman" w:cs="Times New Roman"/>
                <w:sz w:val="18"/>
                <w:szCs w:val="18"/>
                <w:lang w:val="sr-Cyrl-CS" w:eastAsia="ko-KR"/>
              </w:rPr>
              <w:t>захтевима утврђеним</w:t>
            </w:r>
            <w:r w:rsidRPr="00487209">
              <w:rPr>
                <w:rFonts w:ascii="Times New Roman" w:eastAsia="Batang" w:hAnsi="Times New Roman" w:cs="Times New Roman"/>
                <w:sz w:val="18"/>
                <w:szCs w:val="18"/>
                <w:lang w:val="sr-Latn-CS" w:eastAsia="ko-KR"/>
              </w:rPr>
              <w:t xml:space="preserve"> </w:t>
            </w:r>
            <w:r w:rsidRPr="00487209">
              <w:rPr>
                <w:rFonts w:ascii="Times New Roman" w:eastAsia="Batang" w:hAnsi="Times New Roman" w:cs="Times New Roman"/>
                <w:sz w:val="18"/>
                <w:szCs w:val="18"/>
                <w:lang w:val="sr-Latn-BA" w:eastAsia="ko-KR"/>
              </w:rPr>
              <w:t xml:space="preserve">техничким прописом, произвођач сачињава декларацију о перформансама </w:t>
            </w:r>
            <w:r w:rsidRPr="00487209">
              <w:rPr>
                <w:rFonts w:ascii="Times New Roman" w:eastAsia="Batang" w:hAnsi="Times New Roman" w:cs="Times New Roman"/>
                <w:sz w:val="18"/>
                <w:szCs w:val="18"/>
                <w:shd w:val="clear" w:color="auto" w:fill="FFFFFF" w:themeFill="background1"/>
                <w:lang w:val="sr-Cyrl-CS" w:eastAsia="ko-KR"/>
              </w:rPr>
              <w:t>грађевинског производа у вези са битним карактеристикама (у даљем тексту: декларација о перформансама)</w:t>
            </w:r>
            <w:r w:rsidRPr="00487209">
              <w:rPr>
                <w:rFonts w:ascii="Times New Roman" w:eastAsia="Batang" w:hAnsi="Times New Roman" w:cs="Times New Roman"/>
                <w:sz w:val="18"/>
                <w:szCs w:val="18"/>
                <w:shd w:val="clear" w:color="auto" w:fill="FFFFFF" w:themeFill="background1"/>
                <w:lang w:val="sr-Latn-CS" w:eastAsia="ko-KR"/>
              </w:rPr>
              <w:t xml:space="preserve"> </w:t>
            </w:r>
            <w:r w:rsidRPr="00487209">
              <w:rPr>
                <w:rFonts w:ascii="Times New Roman" w:eastAsia="Batang" w:hAnsi="Times New Roman" w:cs="Times New Roman"/>
                <w:sz w:val="18"/>
                <w:szCs w:val="18"/>
                <w:lang w:val="sr-Cyrl-CS" w:eastAsia="ko-KR"/>
              </w:rPr>
              <w:t>на српском језику,</w:t>
            </w:r>
            <w:r w:rsidRPr="00487209">
              <w:rPr>
                <w:rFonts w:ascii="Times New Roman" w:eastAsia="Batang" w:hAnsi="Times New Roman" w:cs="Times New Roman"/>
                <w:sz w:val="18"/>
                <w:szCs w:val="18"/>
                <w:lang w:val="sr-Latn-CS" w:eastAsia="ko-KR"/>
              </w:rPr>
              <w:t xml:space="preserve"> </w:t>
            </w:r>
            <w:r w:rsidRPr="00487209">
              <w:rPr>
                <w:rFonts w:ascii="Times New Roman" w:eastAsia="Batang" w:hAnsi="Times New Roman" w:cs="Times New Roman"/>
                <w:sz w:val="18"/>
                <w:szCs w:val="18"/>
                <w:shd w:val="clear" w:color="auto" w:fill="FFFFFF" w:themeFill="background1"/>
                <w:lang w:val="sr-Latn-BA" w:eastAsia="ko-KR"/>
              </w:rPr>
              <w:t>пре</w:t>
            </w:r>
            <w:r w:rsidRPr="00487209">
              <w:rPr>
                <w:rFonts w:ascii="Times New Roman" w:eastAsia="Batang" w:hAnsi="Times New Roman" w:cs="Times New Roman"/>
                <w:sz w:val="18"/>
                <w:szCs w:val="18"/>
                <w:lang w:val="sr-Latn-BA" w:eastAsia="ko-KR"/>
              </w:rPr>
              <w:t xml:space="preserve"> стављања тог производа на тржиште.</w:t>
            </w:r>
          </w:p>
          <w:p w14:paraId="21C41C3A" w14:textId="77777777" w:rsidR="00E50194" w:rsidRPr="00487209" w:rsidRDefault="00E50194" w:rsidP="006C6323">
            <w:pPr>
              <w:jc w:val="both"/>
              <w:rPr>
                <w:rFonts w:ascii="Times New Roman" w:hAnsi="Times New Roman" w:cs="Times New Roman"/>
                <w:sz w:val="18"/>
                <w:szCs w:val="18"/>
                <w:lang w:val="sr-Latn-BA"/>
              </w:rPr>
            </w:pPr>
          </w:p>
        </w:tc>
        <w:tc>
          <w:tcPr>
            <w:tcW w:w="458" w:type="pct"/>
            <w:shd w:val="clear" w:color="auto" w:fill="auto"/>
            <w:vAlign w:val="center"/>
          </w:tcPr>
          <w:p w14:paraId="7B7B8EF8" w14:textId="77777777" w:rsidR="00E50194" w:rsidRPr="00487209" w:rsidRDefault="00915E23"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Д</w:t>
            </w:r>
            <w:r w:rsidR="00E50194" w:rsidRPr="00487209">
              <w:rPr>
                <w:rFonts w:ascii="Times New Roman" w:hAnsi="Times New Roman" w:cs="Times New Roman"/>
                <w:sz w:val="18"/>
                <w:szCs w:val="18"/>
              </w:rPr>
              <w:t>У</w:t>
            </w:r>
          </w:p>
        </w:tc>
        <w:tc>
          <w:tcPr>
            <w:tcW w:w="598" w:type="pct"/>
            <w:gridSpan w:val="2"/>
            <w:shd w:val="clear" w:color="auto" w:fill="auto"/>
            <w:vAlign w:val="center"/>
          </w:tcPr>
          <w:p w14:paraId="36A8B9F3" w14:textId="478892BE" w:rsidR="00C63FF5" w:rsidRPr="00487209" w:rsidRDefault="00DA1393" w:rsidP="004758F8">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E50194" w:rsidRPr="00487209">
              <w:rPr>
                <w:rFonts w:ascii="Times New Roman" w:hAnsi="Times New Roman" w:cs="Times New Roman"/>
                <w:sz w:val="18"/>
                <w:szCs w:val="18"/>
                <w:lang w:val="ru-RU"/>
              </w:rPr>
              <w:t xml:space="preserve"> </w:t>
            </w:r>
            <w:r w:rsidR="0098169B" w:rsidRPr="00487209">
              <w:rPr>
                <w:rFonts w:ascii="Times New Roman" w:hAnsi="Times New Roman" w:cs="Times New Roman"/>
                <w:sz w:val="18"/>
                <w:szCs w:val="18"/>
                <w:lang w:val="ru-RU"/>
              </w:rPr>
              <w:t>4.1.</w:t>
            </w:r>
            <w:r w:rsidR="00E50194" w:rsidRPr="00487209">
              <w:rPr>
                <w:rFonts w:ascii="Times New Roman" w:hAnsi="Times New Roman" w:cs="Times New Roman"/>
                <w:sz w:val="18"/>
                <w:szCs w:val="18"/>
                <w:lang w:val="sr-Cyrl-CS"/>
              </w:rPr>
              <w:t xml:space="preserve"> Уредбе 305/2011 (ЕУ) је делимично </w:t>
            </w:r>
            <w:r w:rsidR="005740EC" w:rsidRPr="00487209">
              <w:rPr>
                <w:rFonts w:ascii="Times New Roman" w:hAnsi="Times New Roman" w:cs="Times New Roman"/>
                <w:sz w:val="18"/>
                <w:szCs w:val="18"/>
                <w:lang w:val="sr-Cyrl-CS"/>
              </w:rPr>
              <w:t>пренет</w:t>
            </w:r>
            <w:r>
              <w:rPr>
                <w:rFonts w:ascii="Times New Roman" w:hAnsi="Times New Roman" w:cs="Times New Roman"/>
                <w:sz w:val="18"/>
                <w:szCs w:val="18"/>
                <w:lang w:val="sr-Cyrl-CS"/>
              </w:rPr>
              <w:t xml:space="preserve"> члан</w:t>
            </w:r>
            <w:r w:rsidR="009411F6" w:rsidRPr="00487209">
              <w:rPr>
                <w:rFonts w:ascii="Times New Roman" w:hAnsi="Times New Roman" w:cs="Times New Roman"/>
                <w:sz w:val="18"/>
                <w:szCs w:val="18"/>
                <w:lang w:val="sr-Cyrl-CS"/>
              </w:rPr>
              <w:t xml:space="preserve"> 6. </w:t>
            </w:r>
            <w:r w:rsidR="004F33F6" w:rsidRPr="00487209">
              <w:rPr>
                <w:rFonts w:ascii="Times New Roman" w:hAnsi="Times New Roman" w:cs="Times New Roman"/>
                <w:sz w:val="18"/>
                <w:szCs w:val="18"/>
                <w:lang w:val="sr-Cyrl-CS"/>
              </w:rPr>
              <w:t>ст</w:t>
            </w:r>
            <w:r>
              <w:rPr>
                <w:rFonts w:ascii="Times New Roman" w:hAnsi="Times New Roman" w:cs="Times New Roman"/>
                <w:sz w:val="18"/>
                <w:szCs w:val="18"/>
                <w:lang w:val="sr-Cyrl-CS"/>
              </w:rPr>
              <w:t>ав</w:t>
            </w:r>
            <w:r w:rsidR="009411F6" w:rsidRPr="00487209">
              <w:rPr>
                <w:rFonts w:ascii="Times New Roman" w:hAnsi="Times New Roman" w:cs="Times New Roman"/>
                <w:sz w:val="18"/>
                <w:szCs w:val="18"/>
                <w:lang w:val="sr-Cyrl-CS"/>
              </w:rPr>
              <w:t xml:space="preserve"> 1.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9411F6" w:rsidRPr="00487209">
              <w:rPr>
                <w:rFonts w:ascii="Times New Roman" w:hAnsi="Times New Roman" w:cs="Times New Roman"/>
                <w:sz w:val="18"/>
                <w:szCs w:val="18"/>
                <w:lang w:val="sr-Cyrl-CS"/>
              </w:rPr>
              <w:t xml:space="preserve"> </w:t>
            </w:r>
            <w:r w:rsidR="00915E23" w:rsidRPr="00487209">
              <w:rPr>
                <w:rFonts w:ascii="Times New Roman" w:hAnsi="Times New Roman" w:cs="Times New Roman"/>
                <w:sz w:val="18"/>
                <w:szCs w:val="18"/>
                <w:lang w:val="sr-Cyrl-CS"/>
              </w:rPr>
              <w:t>због статуса нечланице</w:t>
            </w:r>
            <w:r w:rsidR="00521012" w:rsidRPr="00487209">
              <w:rPr>
                <w:rFonts w:ascii="Times New Roman" w:hAnsi="Times New Roman" w:cs="Times New Roman"/>
                <w:sz w:val="18"/>
                <w:szCs w:val="18"/>
                <w:lang w:val="sr-Cyrl-CS"/>
              </w:rPr>
              <w:t xml:space="preserve"> (</w:t>
            </w:r>
            <w:r w:rsidR="00221089" w:rsidRPr="00487209">
              <w:rPr>
                <w:rFonts w:ascii="Times New Roman" w:hAnsi="Times New Roman" w:cs="Times New Roman"/>
                <w:sz w:val="18"/>
                <w:szCs w:val="18"/>
                <w:lang w:val="sr-Cyrl-CS"/>
              </w:rPr>
              <w:t xml:space="preserve">декларација о перформансама се </w:t>
            </w:r>
            <w:r w:rsidR="00B63931" w:rsidRPr="00487209">
              <w:rPr>
                <w:rFonts w:ascii="Times New Roman" w:hAnsi="Times New Roman" w:cs="Times New Roman"/>
                <w:sz w:val="18"/>
                <w:szCs w:val="18"/>
                <w:lang w:val="sr-Cyrl-CS"/>
              </w:rPr>
              <w:t>сачињава</w:t>
            </w:r>
            <w:r w:rsidR="00221089" w:rsidRPr="00487209">
              <w:rPr>
                <w:rFonts w:ascii="Times New Roman" w:hAnsi="Times New Roman" w:cs="Times New Roman"/>
                <w:sz w:val="18"/>
                <w:szCs w:val="18"/>
                <w:lang w:val="sr-Cyrl-CS"/>
              </w:rPr>
              <w:t xml:space="preserve"> на српском језику</w:t>
            </w:r>
            <w:r w:rsidR="00521012" w:rsidRPr="00487209">
              <w:rPr>
                <w:rFonts w:ascii="Times New Roman" w:hAnsi="Times New Roman" w:cs="Times New Roman"/>
                <w:sz w:val="18"/>
                <w:szCs w:val="18"/>
                <w:lang w:val="sr-Cyrl-CS"/>
              </w:rPr>
              <w:t>)</w:t>
            </w:r>
            <w:r w:rsidR="00915E23" w:rsidRPr="00487209">
              <w:rPr>
                <w:rFonts w:ascii="Times New Roman" w:hAnsi="Times New Roman" w:cs="Times New Roman"/>
                <w:sz w:val="18"/>
                <w:szCs w:val="18"/>
                <w:lang w:val="sr-Cyrl-CS"/>
              </w:rPr>
              <w:t xml:space="preserve">. Потпуно усклађивање биће могуће након приступања ЕУ. </w:t>
            </w:r>
          </w:p>
        </w:tc>
        <w:tc>
          <w:tcPr>
            <w:tcW w:w="480" w:type="pct"/>
            <w:shd w:val="clear" w:color="auto" w:fill="auto"/>
            <w:vAlign w:val="center"/>
          </w:tcPr>
          <w:p w14:paraId="01F26424" w14:textId="77777777" w:rsidR="00E50194" w:rsidRPr="00487209" w:rsidRDefault="00E50194" w:rsidP="006C6323">
            <w:pPr>
              <w:spacing w:before="120" w:after="120"/>
              <w:jc w:val="center"/>
              <w:rPr>
                <w:rFonts w:ascii="Times New Roman" w:hAnsi="Times New Roman" w:cs="Times New Roman"/>
                <w:sz w:val="18"/>
                <w:szCs w:val="18"/>
                <w:lang w:val="ru-RU"/>
              </w:rPr>
            </w:pPr>
          </w:p>
        </w:tc>
      </w:tr>
      <w:tr w:rsidR="00337554" w:rsidRPr="00487209" w14:paraId="2843EAFA" w14:textId="77777777" w:rsidTr="007D5144">
        <w:trPr>
          <w:trHeight w:val="332"/>
          <w:jc w:val="center"/>
        </w:trPr>
        <w:tc>
          <w:tcPr>
            <w:tcW w:w="435" w:type="pct"/>
            <w:shd w:val="clear" w:color="auto" w:fill="auto"/>
            <w:vAlign w:val="center"/>
          </w:tcPr>
          <w:p w14:paraId="36FEFA0C" w14:textId="77777777" w:rsidR="0098169B" w:rsidRPr="00487209" w:rsidRDefault="0098169B"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4.2.</w:t>
            </w:r>
          </w:p>
        </w:tc>
        <w:tc>
          <w:tcPr>
            <w:tcW w:w="1369" w:type="pct"/>
            <w:gridSpan w:val="2"/>
            <w:shd w:val="clear" w:color="auto" w:fill="auto"/>
            <w:vAlign w:val="center"/>
          </w:tcPr>
          <w:p w14:paraId="6ECB6769" w14:textId="77777777" w:rsidR="0098169B" w:rsidRPr="00487209" w:rsidRDefault="0098169B" w:rsidP="006C6323">
            <w:pPr>
              <w:jc w:val="both"/>
              <w:rPr>
                <w:rFonts w:ascii="Times New Roman" w:hAnsi="Times New Roman" w:cs="Times New Roman"/>
                <w:sz w:val="18"/>
                <w:szCs w:val="18"/>
              </w:rPr>
            </w:pPr>
          </w:p>
          <w:p w14:paraId="0C4B2B2C" w14:textId="77777777" w:rsidR="0098169B" w:rsidRPr="00487209" w:rsidRDefault="0098169B" w:rsidP="006C6323">
            <w:pPr>
              <w:jc w:val="both"/>
              <w:rPr>
                <w:rFonts w:ascii="Times New Roman" w:hAnsi="Times New Roman" w:cs="Times New Roman"/>
                <w:sz w:val="18"/>
                <w:szCs w:val="18"/>
              </w:rPr>
            </w:pPr>
            <w:r w:rsidRPr="00487209">
              <w:rPr>
                <w:rFonts w:ascii="Times New Roman" w:hAnsi="Times New Roman" w:cs="Times New Roman"/>
                <w:sz w:val="18"/>
                <w:szCs w:val="18"/>
              </w:rPr>
              <w:t xml:space="preserve">When a construction product is covered by a harmonised standard or conforms to a European Technical Assessment which has </w:t>
            </w:r>
            <w:r w:rsidRPr="00487209">
              <w:rPr>
                <w:rFonts w:ascii="Times New Roman" w:hAnsi="Times New Roman" w:cs="Times New Roman"/>
                <w:sz w:val="18"/>
                <w:szCs w:val="18"/>
              </w:rPr>
              <w:lastRenderedPageBreak/>
              <w:t>been issued for it, information in any form about its performance in relation to the essential characteristics, as defined in the applicable harmonised technical specification, may be provided only if included and specified in the declaration of performance except where, in accordance with Article 5, no declaration of performance has been drawn up.</w:t>
            </w:r>
          </w:p>
        </w:tc>
        <w:tc>
          <w:tcPr>
            <w:tcW w:w="429" w:type="pct"/>
            <w:shd w:val="clear" w:color="auto" w:fill="auto"/>
            <w:vAlign w:val="center"/>
          </w:tcPr>
          <w:p w14:paraId="1B2E0B41"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01</w:t>
            </w:r>
          </w:p>
          <w:p w14:paraId="0956FEEC" w14:textId="77777777" w:rsidR="0098169B" w:rsidRPr="00487209" w:rsidRDefault="0098169B"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6.2.</w:t>
            </w:r>
          </w:p>
        </w:tc>
        <w:tc>
          <w:tcPr>
            <w:tcW w:w="1231" w:type="pct"/>
            <w:gridSpan w:val="2"/>
            <w:shd w:val="clear" w:color="auto" w:fill="auto"/>
            <w:vAlign w:val="center"/>
          </w:tcPr>
          <w:p w14:paraId="697E5675" w14:textId="67021369" w:rsidR="0098169B" w:rsidRPr="002605FF" w:rsidRDefault="002605FF" w:rsidP="007D5144">
            <w:pPr>
              <w:spacing w:before="240"/>
              <w:ind w:right="-23"/>
              <w:jc w:val="both"/>
              <w:outlineLvl w:val="2"/>
              <w:rPr>
                <w:rFonts w:ascii="Times New Roman" w:eastAsia="Batang" w:hAnsi="Times New Roman" w:cs="Times New Roman"/>
                <w:sz w:val="18"/>
                <w:szCs w:val="24"/>
                <w:lang w:val="sr-Latn-BA" w:eastAsia="ko-KR"/>
              </w:rPr>
            </w:pPr>
            <w:r w:rsidRPr="00DD6A77">
              <w:rPr>
                <w:rFonts w:ascii="Times New Roman" w:eastAsia="Batang" w:hAnsi="Times New Roman" w:cs="Times New Roman"/>
                <w:sz w:val="18"/>
                <w:szCs w:val="24"/>
                <w:lang w:val="sr-Latn-BA" w:eastAsia="ko-KR"/>
              </w:rPr>
              <w:t xml:space="preserve">За грађевински производ из става 1. овог члана, информације о његовим перформансама у вези са битним </w:t>
            </w:r>
            <w:r w:rsidRPr="00DD6A77">
              <w:rPr>
                <w:rFonts w:ascii="Times New Roman" w:eastAsia="Batang" w:hAnsi="Times New Roman" w:cs="Times New Roman"/>
                <w:sz w:val="18"/>
                <w:szCs w:val="24"/>
                <w:lang w:val="sr-Latn-BA" w:eastAsia="ko-KR"/>
              </w:rPr>
              <w:lastRenderedPageBreak/>
              <w:t>карактеристикама, утврђен</w:t>
            </w:r>
            <w:r w:rsidRPr="00DD6A77">
              <w:rPr>
                <w:rFonts w:ascii="Times New Roman" w:eastAsia="Batang" w:hAnsi="Times New Roman" w:cs="Times New Roman"/>
                <w:sz w:val="18"/>
                <w:szCs w:val="24"/>
                <w:lang w:eastAsia="ko-KR"/>
              </w:rPr>
              <w:t>им</w:t>
            </w:r>
            <w:r w:rsidRPr="00DD6A77">
              <w:rPr>
                <w:rFonts w:ascii="Times New Roman" w:eastAsia="Batang" w:hAnsi="Times New Roman" w:cs="Times New Roman"/>
                <w:sz w:val="18"/>
                <w:szCs w:val="24"/>
                <w:lang w:val="sr-Latn-BA" w:eastAsia="ko-KR"/>
              </w:rPr>
              <w:t xml:space="preserve"> у одговарајућој српској техничкој спецификацији или техничком пропису, могу бити </w:t>
            </w:r>
            <w:r w:rsidRPr="00DD6A77">
              <w:rPr>
                <w:rFonts w:ascii="Times New Roman" w:eastAsia="Batang" w:hAnsi="Times New Roman" w:cs="Times New Roman"/>
                <w:sz w:val="18"/>
                <w:szCs w:val="24"/>
                <w:lang w:eastAsia="ko-KR"/>
              </w:rPr>
              <w:t>дате</w:t>
            </w:r>
            <w:r w:rsidRPr="00DD6A77">
              <w:rPr>
                <w:rFonts w:ascii="Times New Roman" w:eastAsia="Batang" w:hAnsi="Times New Roman" w:cs="Times New Roman"/>
                <w:sz w:val="18"/>
                <w:szCs w:val="24"/>
                <w:lang w:val="sr-Latn-BA" w:eastAsia="ko-KR"/>
              </w:rPr>
              <w:t xml:space="preserve"> само ако су наведене у декларацији о перформансама</w:t>
            </w:r>
            <w:r w:rsidRPr="00DD6A77">
              <w:rPr>
                <w:rFonts w:ascii="Times New Roman" w:eastAsia="Batang" w:hAnsi="Times New Roman" w:cs="Times New Roman"/>
                <w:sz w:val="18"/>
                <w:szCs w:val="24"/>
                <w:lang w:eastAsia="ko-KR"/>
              </w:rPr>
              <w:t>,</w:t>
            </w:r>
            <w:r w:rsidRPr="00DD6A77">
              <w:rPr>
                <w:rFonts w:ascii="Times New Roman" w:eastAsia="Batang" w:hAnsi="Times New Roman" w:cs="Times New Roman"/>
                <w:sz w:val="18"/>
                <w:szCs w:val="24"/>
                <w:lang w:val="sr-Latn-BA" w:eastAsia="ko-KR"/>
              </w:rPr>
              <w:t xml:space="preserve"> осим у случајевима када у складу са чланом 7.</w:t>
            </w:r>
            <w:r w:rsidRPr="00DD6A77">
              <w:rPr>
                <w:rFonts w:ascii="Times New Roman" w:eastAsia="Batang" w:hAnsi="Times New Roman" w:cs="Times New Roman"/>
                <w:sz w:val="18"/>
                <w:szCs w:val="24"/>
                <w:lang w:eastAsia="ko-KR"/>
              </w:rPr>
              <w:t xml:space="preserve"> овог </w:t>
            </w:r>
            <w:r w:rsidRPr="00DD6A77">
              <w:rPr>
                <w:rFonts w:ascii="Times New Roman" w:eastAsia="Batang" w:hAnsi="Times New Roman" w:cs="Times New Roman"/>
                <w:sz w:val="18"/>
                <w:szCs w:val="24"/>
                <w:shd w:val="clear" w:color="auto" w:fill="FFFFFF"/>
                <w:lang w:eastAsia="ko-KR"/>
              </w:rPr>
              <w:t>закона</w:t>
            </w:r>
            <w:r w:rsidRPr="00DD6A77">
              <w:rPr>
                <w:rFonts w:ascii="Times New Roman" w:eastAsia="Batang" w:hAnsi="Times New Roman" w:cs="Times New Roman"/>
                <w:sz w:val="18"/>
                <w:szCs w:val="24"/>
                <w:lang w:val="sr-Latn-BA" w:eastAsia="ko-KR"/>
              </w:rPr>
              <w:t xml:space="preserve"> није сачињена декларација о перформансама.</w:t>
            </w:r>
          </w:p>
        </w:tc>
        <w:tc>
          <w:tcPr>
            <w:tcW w:w="458" w:type="pct"/>
            <w:shd w:val="clear" w:color="auto" w:fill="auto"/>
            <w:vAlign w:val="center"/>
          </w:tcPr>
          <w:p w14:paraId="2EC7C595" w14:textId="77777777" w:rsidR="0098169B" w:rsidRPr="00487209" w:rsidRDefault="00CB3C7A"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lastRenderedPageBreak/>
              <w:t>П</w:t>
            </w:r>
            <w:r w:rsidR="0098169B" w:rsidRPr="00487209">
              <w:rPr>
                <w:rFonts w:ascii="Times New Roman" w:hAnsi="Times New Roman" w:cs="Times New Roman"/>
                <w:sz w:val="18"/>
                <w:szCs w:val="18"/>
              </w:rPr>
              <w:t>У</w:t>
            </w:r>
          </w:p>
        </w:tc>
        <w:tc>
          <w:tcPr>
            <w:tcW w:w="598" w:type="pct"/>
            <w:gridSpan w:val="2"/>
            <w:shd w:val="clear" w:color="auto" w:fill="auto"/>
            <w:vAlign w:val="center"/>
          </w:tcPr>
          <w:p w14:paraId="6507D218" w14:textId="728BDA1A" w:rsidR="00C63FF5" w:rsidRPr="00487209" w:rsidRDefault="0098169B" w:rsidP="00DA1393">
            <w:pPr>
              <w:spacing w:before="120" w:after="120"/>
              <w:ind w:firstLine="21"/>
              <w:jc w:val="both"/>
              <w:rPr>
                <w:rFonts w:ascii="Times New Roman" w:hAnsi="Times New Roman" w:cs="Times New Roman"/>
                <w:sz w:val="18"/>
                <w:szCs w:val="18"/>
                <w:lang w:val="sr-Cyrl-CS"/>
              </w:rPr>
            </w:pPr>
            <w:r w:rsidRPr="00487209">
              <w:rPr>
                <w:rFonts w:ascii="Times New Roman" w:hAnsi="Times New Roman" w:cs="Times New Roman"/>
                <w:sz w:val="18"/>
                <w:szCs w:val="18"/>
                <w:lang w:val="ru-RU"/>
              </w:rPr>
              <w:t>Чл</w:t>
            </w:r>
            <w:r w:rsidR="00DA1393">
              <w:rPr>
                <w:rFonts w:ascii="Times New Roman" w:hAnsi="Times New Roman" w:cs="Times New Roman"/>
                <w:sz w:val="18"/>
                <w:szCs w:val="18"/>
                <w:lang w:val="ru-RU"/>
              </w:rPr>
              <w:t xml:space="preserve">ан </w:t>
            </w:r>
            <w:r w:rsidR="006F4E1B" w:rsidRPr="00487209">
              <w:rPr>
                <w:rFonts w:ascii="Times New Roman" w:hAnsi="Times New Roman" w:cs="Times New Roman"/>
                <w:sz w:val="18"/>
                <w:szCs w:val="18"/>
                <w:lang w:val="ru-RU"/>
              </w:rPr>
              <w:t>4.2</w:t>
            </w:r>
            <w:r w:rsidRPr="00487209">
              <w:rPr>
                <w:rFonts w:ascii="Times New Roman" w:hAnsi="Times New Roman" w:cs="Times New Roman"/>
                <w:sz w:val="18"/>
                <w:szCs w:val="18"/>
                <w:lang w:val="ru-RU"/>
              </w:rPr>
              <w:t>.</w:t>
            </w:r>
            <w:r w:rsidRPr="00487209">
              <w:rPr>
                <w:rFonts w:ascii="Times New Roman" w:hAnsi="Times New Roman" w:cs="Times New Roman"/>
                <w:sz w:val="18"/>
                <w:szCs w:val="18"/>
                <w:lang w:val="sr-Cyrl-CS"/>
              </w:rPr>
              <w:t xml:space="preserve"> Уредбе 305/2011 (ЕУ) је </w:t>
            </w:r>
            <w:r w:rsidR="00CB3C7A" w:rsidRPr="00487209">
              <w:rPr>
                <w:rFonts w:ascii="Times New Roman" w:hAnsi="Times New Roman" w:cs="Times New Roman"/>
                <w:sz w:val="18"/>
                <w:szCs w:val="18"/>
                <w:lang w:val="sr-Cyrl-CS"/>
              </w:rPr>
              <w:t>у потпуности</w:t>
            </w:r>
            <w:r w:rsidR="006F4E1B" w:rsidRPr="00487209">
              <w:rPr>
                <w:rFonts w:ascii="Times New Roman" w:hAnsi="Times New Roman" w:cs="Times New Roman"/>
                <w:sz w:val="18"/>
                <w:szCs w:val="18"/>
                <w:lang w:val="sr-Cyrl-CS"/>
              </w:rPr>
              <w:t xml:space="preserve"> пренет </w:t>
            </w:r>
            <w:r w:rsidR="00DA1393">
              <w:rPr>
                <w:rFonts w:ascii="Times New Roman" w:hAnsi="Times New Roman" w:cs="Times New Roman"/>
                <w:sz w:val="18"/>
                <w:szCs w:val="18"/>
                <w:lang w:val="sr-Cyrl-CS"/>
              </w:rPr>
              <w:t xml:space="preserve">члан 6. </w:t>
            </w:r>
            <w:r w:rsidR="00DA1393">
              <w:rPr>
                <w:rFonts w:ascii="Times New Roman" w:hAnsi="Times New Roman" w:cs="Times New Roman"/>
                <w:sz w:val="18"/>
                <w:szCs w:val="18"/>
                <w:lang w:val="sr-Cyrl-CS"/>
              </w:rPr>
              <w:lastRenderedPageBreak/>
              <w:t>став</w:t>
            </w:r>
            <w:r w:rsidR="00521012" w:rsidRPr="00487209">
              <w:rPr>
                <w:rFonts w:ascii="Times New Roman" w:hAnsi="Times New Roman" w:cs="Times New Roman"/>
                <w:sz w:val="18"/>
                <w:szCs w:val="18"/>
                <w:lang w:val="sr-Cyrl-CS"/>
              </w:rPr>
              <w:t xml:space="preserve"> 2.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521012" w:rsidRPr="00487209">
              <w:rPr>
                <w:rFonts w:ascii="Times New Roman" w:hAnsi="Times New Roman" w:cs="Times New Roman"/>
                <w:sz w:val="18"/>
                <w:szCs w:val="18"/>
                <w:lang w:val="sr-Cyrl-CS"/>
              </w:rPr>
              <w:t xml:space="preserve"> </w:t>
            </w:r>
            <w:r w:rsidR="00CB3C7A" w:rsidRPr="00487209">
              <w:rPr>
                <w:rFonts w:ascii="Times New Roman" w:hAnsi="Times New Roman" w:cs="Times New Roman"/>
                <w:sz w:val="18"/>
                <w:szCs w:val="18"/>
                <w:lang w:val="sr-Cyrl-CS"/>
              </w:rPr>
              <w:t>уз напомену да је њоме поред хармонизоване обухваћена и нехармонизована област грађевинских производа.</w:t>
            </w:r>
          </w:p>
        </w:tc>
        <w:tc>
          <w:tcPr>
            <w:tcW w:w="480" w:type="pct"/>
            <w:shd w:val="clear" w:color="auto" w:fill="auto"/>
            <w:vAlign w:val="center"/>
          </w:tcPr>
          <w:p w14:paraId="7813BCEE" w14:textId="77777777" w:rsidR="0098169B" w:rsidRPr="00487209" w:rsidRDefault="0098169B" w:rsidP="006C6323">
            <w:pPr>
              <w:spacing w:before="120" w:after="120"/>
              <w:jc w:val="center"/>
              <w:rPr>
                <w:rFonts w:ascii="Times New Roman" w:hAnsi="Times New Roman" w:cs="Times New Roman"/>
                <w:sz w:val="18"/>
                <w:szCs w:val="18"/>
                <w:lang w:val="ru-RU"/>
              </w:rPr>
            </w:pPr>
          </w:p>
        </w:tc>
      </w:tr>
      <w:tr w:rsidR="00337554" w:rsidRPr="00487209" w14:paraId="0350730E" w14:textId="77777777" w:rsidTr="007D5144">
        <w:trPr>
          <w:trHeight w:val="1970"/>
          <w:jc w:val="center"/>
        </w:trPr>
        <w:tc>
          <w:tcPr>
            <w:tcW w:w="435" w:type="pct"/>
            <w:shd w:val="clear" w:color="auto" w:fill="auto"/>
            <w:vAlign w:val="center"/>
          </w:tcPr>
          <w:p w14:paraId="509A3DAE"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4.3.</w:t>
            </w:r>
          </w:p>
        </w:tc>
        <w:tc>
          <w:tcPr>
            <w:tcW w:w="1369" w:type="pct"/>
            <w:gridSpan w:val="2"/>
            <w:shd w:val="clear" w:color="auto" w:fill="auto"/>
            <w:vAlign w:val="center"/>
          </w:tcPr>
          <w:p w14:paraId="483D1347" w14:textId="77777777" w:rsidR="00C21BA4" w:rsidRPr="00487209" w:rsidRDefault="00C21BA4" w:rsidP="006C6323">
            <w:pPr>
              <w:jc w:val="both"/>
              <w:rPr>
                <w:rFonts w:ascii="Times New Roman" w:hAnsi="Times New Roman" w:cs="Times New Roman"/>
                <w:sz w:val="18"/>
                <w:szCs w:val="18"/>
              </w:rPr>
            </w:pPr>
          </w:p>
          <w:p w14:paraId="6A19672D" w14:textId="77777777" w:rsidR="00425B2E" w:rsidRPr="00487209" w:rsidRDefault="009F0509" w:rsidP="006C6323">
            <w:pPr>
              <w:jc w:val="both"/>
              <w:rPr>
                <w:rFonts w:ascii="Times New Roman" w:hAnsi="Times New Roman" w:cs="Times New Roman"/>
                <w:sz w:val="18"/>
                <w:szCs w:val="18"/>
              </w:rPr>
            </w:pPr>
            <w:r w:rsidRPr="00487209">
              <w:rPr>
                <w:rFonts w:ascii="Times New Roman" w:hAnsi="Times New Roman" w:cs="Times New Roman"/>
                <w:sz w:val="18"/>
                <w:szCs w:val="18"/>
              </w:rPr>
              <w:t>By drawing up the declaration of performance, the manufacturer shall assume responsibility for the conformity of the construction product with such declared performance. In the absence of objective indications to the contrary, Member States shall presume the declaration of performance drawn up by the manufacturer to be accurate and reliable.</w:t>
            </w:r>
          </w:p>
          <w:p w14:paraId="6B982820" w14:textId="77777777" w:rsidR="00C21BA4" w:rsidRPr="00487209" w:rsidRDefault="00C21BA4" w:rsidP="006C6323">
            <w:pPr>
              <w:jc w:val="both"/>
              <w:rPr>
                <w:rFonts w:ascii="Times New Roman" w:hAnsi="Times New Roman" w:cs="Times New Roman"/>
                <w:sz w:val="18"/>
                <w:szCs w:val="18"/>
              </w:rPr>
            </w:pPr>
          </w:p>
        </w:tc>
        <w:tc>
          <w:tcPr>
            <w:tcW w:w="429" w:type="pct"/>
            <w:shd w:val="clear" w:color="auto" w:fill="auto"/>
            <w:vAlign w:val="center"/>
          </w:tcPr>
          <w:p w14:paraId="50728A3D"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38F369BC" w14:textId="77777777" w:rsidR="00425B2E" w:rsidRPr="00487209" w:rsidRDefault="006B1E94"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6.3.</w:t>
            </w:r>
          </w:p>
          <w:p w14:paraId="6D2C1F5F" w14:textId="77777777" w:rsidR="006B1E94" w:rsidRPr="00487209" w:rsidRDefault="006B1E94"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6.4.</w:t>
            </w:r>
          </w:p>
        </w:tc>
        <w:tc>
          <w:tcPr>
            <w:tcW w:w="1231" w:type="pct"/>
            <w:gridSpan w:val="2"/>
            <w:shd w:val="clear" w:color="auto" w:fill="auto"/>
            <w:vAlign w:val="center"/>
          </w:tcPr>
          <w:p w14:paraId="5E7BD1F1" w14:textId="23C591A1" w:rsidR="00372C81" w:rsidRDefault="00372C81" w:rsidP="006C6323">
            <w:pPr>
              <w:spacing w:before="120"/>
              <w:ind w:right="-23"/>
              <w:jc w:val="both"/>
              <w:outlineLvl w:val="2"/>
              <w:rPr>
                <w:rFonts w:ascii="Times New Roman" w:eastAsia="Batang" w:hAnsi="Times New Roman" w:cs="Times New Roman"/>
                <w:sz w:val="18"/>
                <w:szCs w:val="18"/>
                <w:lang w:val="sr-Cyrl-CS" w:eastAsia="ko-KR"/>
              </w:rPr>
            </w:pPr>
            <w:r w:rsidRPr="00372C81">
              <w:rPr>
                <w:rStyle w:val="FontStyle41"/>
                <w:rFonts w:ascii="Times New Roman" w:hAnsi="Times New Roman" w:cs="Times New Roman"/>
                <w:sz w:val="18"/>
                <w:szCs w:val="18"/>
                <w:lang w:val="ru-RU"/>
              </w:rPr>
              <w:t xml:space="preserve">Сачињавањем декларације о перформансама, произвођач преузима одговорност за усаглашеност грађевинског производа са перформансама наведеним у декларацији о перформансама. </w:t>
            </w:r>
          </w:p>
          <w:p w14:paraId="66495198" w14:textId="0635F16F" w:rsidR="00AD5D5E" w:rsidRPr="00487209" w:rsidRDefault="00AD5D5E" w:rsidP="006C6323">
            <w:pPr>
              <w:spacing w:before="120"/>
              <w:ind w:right="-23"/>
              <w:jc w:val="both"/>
              <w:outlineLvl w:val="2"/>
              <w:rPr>
                <w:rFonts w:ascii="Times New Roman" w:eastAsia="Batang" w:hAnsi="Times New Roman" w:cs="Times New Roman"/>
                <w:sz w:val="18"/>
                <w:szCs w:val="18"/>
                <w:vertAlign w:val="subscript"/>
                <w:lang w:val="sr-Cyrl-CS" w:eastAsia="ko-KR"/>
              </w:rPr>
            </w:pPr>
            <w:r w:rsidRPr="00487209">
              <w:rPr>
                <w:rFonts w:ascii="Times New Roman" w:eastAsia="Batang" w:hAnsi="Times New Roman" w:cs="Times New Roman"/>
                <w:sz w:val="18"/>
                <w:szCs w:val="18"/>
                <w:lang w:val="sr-Cyrl-CS" w:eastAsia="ko-KR"/>
              </w:rPr>
              <w:t xml:space="preserve">Декларација о перформансама </w:t>
            </w:r>
            <w:r w:rsidRPr="00487209">
              <w:rPr>
                <w:rFonts w:ascii="Times New Roman" w:eastAsia="Batang" w:hAnsi="Times New Roman" w:cs="Times New Roman"/>
                <w:sz w:val="18"/>
                <w:szCs w:val="18"/>
                <w:lang w:val="sr-Latn-BA" w:eastAsia="ko-KR"/>
              </w:rPr>
              <w:t xml:space="preserve">коју је израдио произвођач </w:t>
            </w:r>
            <w:r w:rsidRPr="00487209">
              <w:rPr>
                <w:rFonts w:ascii="Times New Roman" w:eastAsia="Batang" w:hAnsi="Times New Roman" w:cs="Times New Roman"/>
                <w:sz w:val="18"/>
                <w:szCs w:val="18"/>
                <w:lang w:val="sr-Cyrl-CS" w:eastAsia="ko-KR"/>
              </w:rPr>
              <w:t>сматра се поузданом и тачном уколико не постоје о</w:t>
            </w:r>
            <w:r w:rsidRPr="00487209">
              <w:rPr>
                <w:rFonts w:ascii="Times New Roman" w:eastAsia="Batang" w:hAnsi="Times New Roman" w:cs="Times New Roman"/>
                <w:sz w:val="18"/>
                <w:szCs w:val="18"/>
                <w:lang w:val="sr-Latn-BA" w:eastAsia="ko-KR"/>
              </w:rPr>
              <w:t>бјективн</w:t>
            </w:r>
            <w:r w:rsidRPr="00487209">
              <w:rPr>
                <w:rFonts w:ascii="Times New Roman" w:eastAsia="Batang" w:hAnsi="Times New Roman" w:cs="Times New Roman"/>
                <w:sz w:val="18"/>
                <w:szCs w:val="18"/>
                <w:lang w:val="sr-Cyrl-CS" w:eastAsia="ko-KR"/>
              </w:rPr>
              <w:t>е</w:t>
            </w:r>
            <w:r w:rsidRPr="00487209">
              <w:rPr>
                <w:rFonts w:ascii="Times New Roman" w:eastAsia="Batang" w:hAnsi="Times New Roman" w:cs="Times New Roman"/>
                <w:sz w:val="18"/>
                <w:szCs w:val="18"/>
                <w:lang w:val="sr-Latn-BA" w:eastAsia="ko-KR"/>
              </w:rPr>
              <w:t xml:space="preserve"> назнак</w:t>
            </w:r>
            <w:r w:rsidRPr="00487209">
              <w:rPr>
                <w:rFonts w:ascii="Times New Roman" w:eastAsia="Batang" w:hAnsi="Times New Roman" w:cs="Times New Roman"/>
                <w:sz w:val="18"/>
                <w:szCs w:val="18"/>
                <w:lang w:val="sr-Cyrl-CS" w:eastAsia="ko-KR"/>
              </w:rPr>
              <w:t>е</w:t>
            </w:r>
            <w:r w:rsidRPr="00487209">
              <w:rPr>
                <w:rFonts w:ascii="Times New Roman" w:eastAsia="Batang" w:hAnsi="Times New Roman" w:cs="Times New Roman"/>
                <w:sz w:val="18"/>
                <w:szCs w:val="18"/>
                <w:lang w:val="sr-Latn-BA" w:eastAsia="ko-KR"/>
              </w:rPr>
              <w:t xml:space="preserve"> које упућују на супротно.</w:t>
            </w:r>
          </w:p>
          <w:p w14:paraId="25CC1B52" w14:textId="77777777" w:rsidR="00425B2E" w:rsidRPr="00487209" w:rsidRDefault="00425B2E" w:rsidP="006C6323">
            <w:pPr>
              <w:jc w:val="both"/>
              <w:rPr>
                <w:rFonts w:ascii="Times New Roman" w:hAnsi="Times New Roman" w:cs="Times New Roman"/>
                <w:sz w:val="18"/>
                <w:szCs w:val="18"/>
                <w:lang w:val="sr-Cyrl-CS"/>
              </w:rPr>
            </w:pPr>
          </w:p>
        </w:tc>
        <w:tc>
          <w:tcPr>
            <w:tcW w:w="458" w:type="pct"/>
            <w:shd w:val="clear" w:color="auto" w:fill="auto"/>
            <w:vAlign w:val="center"/>
          </w:tcPr>
          <w:p w14:paraId="2240F03C" w14:textId="77777777" w:rsidR="00425B2E" w:rsidRPr="00487209" w:rsidRDefault="00147613"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Д</w:t>
            </w:r>
            <w:r w:rsidR="006B1E94" w:rsidRPr="00487209">
              <w:rPr>
                <w:rFonts w:ascii="Times New Roman" w:hAnsi="Times New Roman" w:cs="Times New Roman"/>
                <w:sz w:val="18"/>
                <w:szCs w:val="18"/>
                <w:lang w:val="ru-RU"/>
              </w:rPr>
              <w:t>У</w:t>
            </w:r>
          </w:p>
        </w:tc>
        <w:tc>
          <w:tcPr>
            <w:tcW w:w="598" w:type="pct"/>
            <w:gridSpan w:val="2"/>
            <w:shd w:val="clear" w:color="auto" w:fill="auto"/>
            <w:vAlign w:val="center"/>
          </w:tcPr>
          <w:p w14:paraId="5C28BA41" w14:textId="51CCD421" w:rsidR="00C63FF5" w:rsidRPr="00487209" w:rsidRDefault="00DA1393" w:rsidP="006C6323">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147613" w:rsidRPr="00487209">
              <w:rPr>
                <w:rFonts w:ascii="Times New Roman" w:hAnsi="Times New Roman" w:cs="Times New Roman"/>
                <w:sz w:val="18"/>
                <w:szCs w:val="18"/>
                <w:lang w:val="ru-RU"/>
              </w:rPr>
              <w:t xml:space="preserve"> 4.</w:t>
            </w:r>
            <w:r w:rsidR="002D4FE9" w:rsidRPr="00487209">
              <w:rPr>
                <w:rFonts w:ascii="Times New Roman" w:hAnsi="Times New Roman" w:cs="Times New Roman"/>
                <w:sz w:val="18"/>
                <w:szCs w:val="18"/>
                <w:lang w:val="ru-RU"/>
              </w:rPr>
              <w:t>3</w:t>
            </w:r>
            <w:r w:rsidR="00147613" w:rsidRPr="00487209">
              <w:rPr>
                <w:rFonts w:ascii="Times New Roman" w:hAnsi="Times New Roman" w:cs="Times New Roman"/>
                <w:sz w:val="18"/>
                <w:szCs w:val="18"/>
                <w:lang w:val="ru-RU"/>
              </w:rPr>
              <w:t>.</w:t>
            </w:r>
            <w:r w:rsidR="00147613" w:rsidRPr="00487209">
              <w:rPr>
                <w:rFonts w:ascii="Times New Roman" w:hAnsi="Times New Roman" w:cs="Times New Roman"/>
                <w:sz w:val="18"/>
                <w:szCs w:val="18"/>
                <w:lang w:val="sr-Cyrl-CS"/>
              </w:rPr>
              <w:t xml:space="preserve"> Уредбе 305/2011 (ЕУ) је делимично пренет због статуса нечланице ЕУ. Потпуно усклађивање биће могуће након приступања ЕУ.</w:t>
            </w:r>
          </w:p>
        </w:tc>
        <w:tc>
          <w:tcPr>
            <w:tcW w:w="480" w:type="pct"/>
            <w:shd w:val="clear" w:color="auto" w:fill="auto"/>
            <w:vAlign w:val="center"/>
          </w:tcPr>
          <w:p w14:paraId="217E3F55"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29125A0C" w14:textId="77777777" w:rsidTr="007D5144">
        <w:trPr>
          <w:trHeight w:val="1970"/>
          <w:jc w:val="center"/>
        </w:trPr>
        <w:tc>
          <w:tcPr>
            <w:tcW w:w="435" w:type="pct"/>
            <w:shd w:val="clear" w:color="auto" w:fill="auto"/>
            <w:vAlign w:val="center"/>
          </w:tcPr>
          <w:p w14:paraId="405A8507" w14:textId="77777777" w:rsidR="002D4FE9" w:rsidRPr="00487209" w:rsidRDefault="002D4FE9"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5.(а)</w:t>
            </w:r>
          </w:p>
        </w:tc>
        <w:tc>
          <w:tcPr>
            <w:tcW w:w="1369" w:type="pct"/>
            <w:gridSpan w:val="2"/>
            <w:shd w:val="clear" w:color="auto" w:fill="auto"/>
            <w:vAlign w:val="center"/>
          </w:tcPr>
          <w:p w14:paraId="6BAE2613" w14:textId="77777777" w:rsidR="002D4FE9" w:rsidRPr="00487209" w:rsidRDefault="002D4FE9" w:rsidP="006C6323">
            <w:pPr>
              <w:jc w:val="both"/>
              <w:rPr>
                <w:rFonts w:ascii="Times New Roman" w:hAnsi="Times New Roman" w:cs="Times New Roman"/>
                <w:sz w:val="18"/>
                <w:szCs w:val="18"/>
              </w:rPr>
            </w:pPr>
          </w:p>
          <w:p w14:paraId="12F79127" w14:textId="77777777" w:rsidR="002D4FE9" w:rsidRPr="00487209" w:rsidRDefault="002D4FE9" w:rsidP="006C6323">
            <w:pPr>
              <w:jc w:val="both"/>
              <w:rPr>
                <w:rFonts w:ascii="Times New Roman" w:hAnsi="Times New Roman" w:cs="Times New Roman"/>
                <w:sz w:val="18"/>
                <w:szCs w:val="18"/>
              </w:rPr>
            </w:pPr>
            <w:r w:rsidRPr="00487209">
              <w:rPr>
                <w:rFonts w:ascii="Times New Roman" w:hAnsi="Times New Roman" w:cs="Times New Roman"/>
                <w:sz w:val="18"/>
                <w:szCs w:val="18"/>
              </w:rPr>
              <w:t>By way of derogation from Article 4(1) and in the absence of Union or national provisions requiring the declaration of essential characteristics where the construction products are intended to be used, a manufacturer may refrain from drawing up a declaration of performance when placing a construction product covered by a harmonised standard on the market where:</w:t>
            </w:r>
          </w:p>
          <w:p w14:paraId="3E884E86" w14:textId="77777777" w:rsidR="002D4FE9" w:rsidRPr="00487209" w:rsidRDefault="002D4FE9" w:rsidP="006C6323">
            <w:pPr>
              <w:jc w:val="both"/>
              <w:rPr>
                <w:rFonts w:ascii="Times New Roman" w:hAnsi="Times New Roman" w:cs="Times New Roman"/>
                <w:sz w:val="18"/>
                <w:szCs w:val="18"/>
              </w:rPr>
            </w:pPr>
            <w:r w:rsidRPr="00487209">
              <w:rPr>
                <w:rFonts w:ascii="Times New Roman" w:hAnsi="Times New Roman" w:cs="Times New Roman"/>
                <w:sz w:val="18"/>
                <w:szCs w:val="18"/>
              </w:rPr>
              <w:t xml:space="preserve">(a) the construction product is individually manufactured or custom-made in a non-series process in response to a specific order, and installed in a single identified construction work, by a manufacturer who is responsible </w:t>
            </w:r>
            <w:r w:rsidRPr="00487209">
              <w:rPr>
                <w:rFonts w:ascii="Times New Roman" w:hAnsi="Times New Roman" w:cs="Times New Roman"/>
                <w:sz w:val="18"/>
                <w:szCs w:val="18"/>
              </w:rPr>
              <w:lastRenderedPageBreak/>
              <w:t>for the safe incorporation of the product into the construction works, in compliance with the applicable national rules and under the responsibility of those responsible for the safe execution of the construction works designated under the applicable national rules;</w:t>
            </w:r>
          </w:p>
          <w:p w14:paraId="0E393DDA" w14:textId="77777777" w:rsidR="002D4FE9" w:rsidRPr="00487209" w:rsidRDefault="002D4FE9" w:rsidP="006C6323">
            <w:pPr>
              <w:jc w:val="both"/>
              <w:rPr>
                <w:rFonts w:ascii="Times New Roman" w:hAnsi="Times New Roman" w:cs="Times New Roman"/>
                <w:sz w:val="18"/>
                <w:szCs w:val="18"/>
                <w:lang w:val="sr-Cyrl-CS"/>
              </w:rPr>
            </w:pPr>
          </w:p>
        </w:tc>
        <w:tc>
          <w:tcPr>
            <w:tcW w:w="429" w:type="pct"/>
            <w:shd w:val="clear" w:color="auto" w:fill="auto"/>
            <w:vAlign w:val="center"/>
          </w:tcPr>
          <w:p w14:paraId="552E26E4"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01</w:t>
            </w:r>
          </w:p>
          <w:p w14:paraId="2A21BA08" w14:textId="77777777" w:rsidR="002D4FE9" w:rsidRPr="00487209" w:rsidRDefault="002D4FE9"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7.1.1)</w:t>
            </w:r>
          </w:p>
        </w:tc>
        <w:tc>
          <w:tcPr>
            <w:tcW w:w="1231" w:type="pct"/>
            <w:gridSpan w:val="2"/>
            <w:shd w:val="clear" w:color="auto" w:fill="auto"/>
            <w:vAlign w:val="center"/>
          </w:tcPr>
          <w:p w14:paraId="6AEA9826" w14:textId="77777777" w:rsidR="00AD5D5E" w:rsidRPr="00487209" w:rsidRDefault="00AD5D5E" w:rsidP="006C6323">
            <w:pPr>
              <w:pStyle w:val="Style7"/>
              <w:spacing w:before="120" w:after="0" w:line="240" w:lineRule="auto"/>
              <w:ind w:right="-23"/>
              <w:jc w:val="both"/>
              <w:outlineLvl w:val="3"/>
              <w:rPr>
                <w:sz w:val="18"/>
                <w:szCs w:val="18"/>
              </w:rPr>
            </w:pPr>
            <w:r w:rsidRPr="00487209">
              <w:rPr>
                <w:sz w:val="18"/>
                <w:szCs w:val="18"/>
              </w:rPr>
              <w:t xml:space="preserve">Произвођач није у обавези да сачини декларацију о перформансама из члана 6. став 1. овог </w:t>
            </w:r>
            <w:r w:rsidRPr="003929B5">
              <w:rPr>
                <w:sz w:val="18"/>
                <w:szCs w:val="18"/>
                <w:shd w:val="clear" w:color="auto" w:fill="D6E3BC" w:themeFill="accent3" w:themeFillTint="66"/>
              </w:rPr>
              <w:t>закона</w:t>
            </w:r>
            <w:r w:rsidRPr="00487209">
              <w:rPr>
                <w:sz w:val="18"/>
                <w:szCs w:val="18"/>
              </w:rPr>
              <w:t xml:space="preserve"> приликом стављања грађевинског производа на тржиште, када је:</w:t>
            </w:r>
          </w:p>
          <w:p w14:paraId="44DBE270" w14:textId="6C184CAE" w:rsidR="00AD5D5E" w:rsidRPr="00487209" w:rsidRDefault="00AD5D5E" w:rsidP="004758F8">
            <w:pPr>
              <w:numPr>
                <w:ilvl w:val="0"/>
                <w:numId w:val="3"/>
              </w:numPr>
              <w:spacing w:before="120"/>
              <w:ind w:left="431" w:right="-23" w:hanging="283"/>
              <w:jc w:val="both"/>
              <w:outlineLvl w:val="3"/>
              <w:rPr>
                <w:rFonts w:ascii="Times New Roman" w:eastAsia="Batang" w:hAnsi="Times New Roman" w:cs="Times New Roman"/>
                <w:sz w:val="18"/>
                <w:szCs w:val="18"/>
                <w:lang w:val="sr-Cyrl-CS" w:eastAsia="ko-KR"/>
              </w:rPr>
            </w:pPr>
            <w:r w:rsidRPr="00487209">
              <w:rPr>
                <w:rFonts w:ascii="Times New Roman" w:eastAsia="Batang" w:hAnsi="Times New Roman" w:cs="Times New Roman"/>
                <w:sz w:val="18"/>
                <w:szCs w:val="18"/>
                <w:lang w:val="sr-Cyrl-CS" w:eastAsia="ko-KR"/>
              </w:rPr>
              <w:t>грађевински производ произведен појединачно или по наруџбини у несеријској производњи</w:t>
            </w:r>
            <w:r w:rsidR="003929B5" w:rsidRPr="003929B5">
              <w:rPr>
                <w:rFonts w:ascii="Times New Roman" w:eastAsia="Batang" w:hAnsi="Times New Roman" w:cs="Times New Roman"/>
                <w:color w:val="FF0000"/>
                <w:sz w:val="24"/>
                <w:szCs w:val="24"/>
                <w:lang w:val="sr-Cyrl-CS" w:eastAsia="ko-KR"/>
              </w:rPr>
              <w:t xml:space="preserve"> </w:t>
            </w:r>
            <w:r w:rsidR="003929B5" w:rsidRPr="003929B5">
              <w:rPr>
                <w:rFonts w:ascii="Times New Roman" w:eastAsia="Batang" w:hAnsi="Times New Roman" w:cs="Times New Roman"/>
                <w:sz w:val="18"/>
                <w:szCs w:val="18"/>
                <w:lang w:val="sr-Cyrl-CS" w:eastAsia="ko-KR"/>
              </w:rPr>
              <w:t>и уграђен у јединствено препознатљив објекат</w:t>
            </w:r>
            <w:r w:rsidRPr="00487209">
              <w:rPr>
                <w:rFonts w:ascii="Times New Roman" w:eastAsia="Batang" w:hAnsi="Times New Roman" w:cs="Times New Roman"/>
                <w:sz w:val="18"/>
                <w:szCs w:val="18"/>
                <w:lang w:val="sr-Cyrl-CS" w:eastAsia="ko-KR"/>
              </w:rPr>
              <w:t xml:space="preserve"> од стране произвођача који је одговоран и за безбедну уградњу грађевинског производа у објекат, у складу са </w:t>
            </w:r>
            <w:r w:rsidRPr="00487209">
              <w:rPr>
                <w:rFonts w:ascii="Times New Roman" w:eastAsia="Batang" w:hAnsi="Times New Roman" w:cs="Times New Roman"/>
                <w:sz w:val="18"/>
                <w:szCs w:val="18"/>
                <w:lang w:val="sr-Cyrl-CS" w:eastAsia="ko-KR"/>
              </w:rPr>
              <w:lastRenderedPageBreak/>
              <w:t>одговарајућим посебним прописима, при чему одговорност за грађевински производ и</w:t>
            </w:r>
            <w:r w:rsidRPr="00487209">
              <w:rPr>
                <w:rFonts w:ascii="Times New Roman" w:eastAsia="Batang" w:hAnsi="Times New Roman" w:cs="Times New Roman"/>
                <w:sz w:val="18"/>
                <w:szCs w:val="18"/>
                <w:lang w:val="sr-Latn-CS" w:eastAsia="ko-KR"/>
              </w:rPr>
              <w:t xml:space="preserve"> </w:t>
            </w:r>
            <w:r w:rsidRPr="00487209">
              <w:rPr>
                <w:rFonts w:ascii="Times New Roman" w:eastAsia="Batang" w:hAnsi="Times New Roman" w:cs="Times New Roman"/>
                <w:sz w:val="18"/>
                <w:szCs w:val="18"/>
                <w:lang w:val="sr-Cyrl-CS" w:eastAsia="ko-KR"/>
              </w:rPr>
              <w:t>његову</w:t>
            </w:r>
            <w:r w:rsidRPr="00487209">
              <w:rPr>
                <w:rFonts w:ascii="Times New Roman" w:eastAsia="Batang" w:hAnsi="Times New Roman" w:cs="Times New Roman"/>
                <w:sz w:val="18"/>
                <w:szCs w:val="18"/>
                <w:lang w:val="sr-Latn-CS" w:eastAsia="ko-KR"/>
              </w:rPr>
              <w:t xml:space="preserve"> </w:t>
            </w:r>
            <w:r w:rsidRPr="00487209">
              <w:rPr>
                <w:rFonts w:ascii="Times New Roman" w:eastAsia="Batang" w:hAnsi="Times New Roman" w:cs="Times New Roman"/>
                <w:sz w:val="18"/>
                <w:szCs w:val="18"/>
                <w:lang w:val="sr-Cyrl-CS" w:eastAsia="ko-KR"/>
              </w:rPr>
              <w:t>безбедну</w:t>
            </w:r>
            <w:r w:rsidRPr="00487209">
              <w:rPr>
                <w:rFonts w:ascii="Times New Roman" w:eastAsia="Batang" w:hAnsi="Times New Roman" w:cs="Times New Roman"/>
                <w:sz w:val="18"/>
                <w:szCs w:val="18"/>
                <w:lang w:val="sr-Latn-CS" w:eastAsia="ko-KR"/>
              </w:rPr>
              <w:t xml:space="preserve"> </w:t>
            </w:r>
            <w:r w:rsidRPr="00487209">
              <w:rPr>
                <w:rFonts w:ascii="Times New Roman" w:eastAsia="Batang" w:hAnsi="Times New Roman" w:cs="Times New Roman"/>
                <w:sz w:val="18"/>
                <w:szCs w:val="18"/>
                <w:lang w:val="sr-Cyrl-CS" w:eastAsia="ko-KR"/>
              </w:rPr>
              <w:t>уградњу произвођач потврђује писаном изјавом, коју одговорни извођач радова евидентира у грађевински</w:t>
            </w:r>
            <w:r w:rsidRPr="00487209">
              <w:rPr>
                <w:rFonts w:ascii="Times New Roman" w:eastAsia="Batang" w:hAnsi="Times New Roman" w:cs="Times New Roman"/>
                <w:sz w:val="18"/>
                <w:szCs w:val="18"/>
                <w:lang w:val="sr-Latn-CS" w:eastAsia="ko-KR"/>
              </w:rPr>
              <w:t xml:space="preserve"> </w:t>
            </w:r>
            <w:r w:rsidRPr="00487209">
              <w:rPr>
                <w:rFonts w:ascii="Times New Roman" w:eastAsia="Batang" w:hAnsi="Times New Roman" w:cs="Times New Roman"/>
                <w:sz w:val="18"/>
                <w:szCs w:val="18"/>
                <w:lang w:val="sr-Cyrl-CS" w:eastAsia="ko-KR"/>
              </w:rPr>
              <w:t>дневник;</w:t>
            </w:r>
          </w:p>
          <w:p w14:paraId="428ACD9C" w14:textId="77777777" w:rsidR="002D4FE9" w:rsidRPr="00487209" w:rsidRDefault="002D4FE9" w:rsidP="006C6323">
            <w:pPr>
              <w:jc w:val="center"/>
              <w:rPr>
                <w:rFonts w:ascii="Times New Roman" w:hAnsi="Times New Roman" w:cs="Times New Roman"/>
                <w:sz w:val="18"/>
                <w:szCs w:val="18"/>
                <w:lang w:val="sr-Cyrl-CS"/>
              </w:rPr>
            </w:pPr>
          </w:p>
        </w:tc>
        <w:tc>
          <w:tcPr>
            <w:tcW w:w="458" w:type="pct"/>
            <w:shd w:val="clear" w:color="auto" w:fill="auto"/>
            <w:vAlign w:val="center"/>
          </w:tcPr>
          <w:p w14:paraId="61FEBB3A" w14:textId="77777777" w:rsidR="002D4FE9" w:rsidRPr="00487209" w:rsidRDefault="002D4FE9"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ДУ</w:t>
            </w:r>
          </w:p>
        </w:tc>
        <w:tc>
          <w:tcPr>
            <w:tcW w:w="598" w:type="pct"/>
            <w:gridSpan w:val="2"/>
            <w:shd w:val="clear" w:color="auto" w:fill="auto"/>
            <w:vAlign w:val="center"/>
          </w:tcPr>
          <w:p w14:paraId="04618CF2" w14:textId="1BE50FC5" w:rsidR="002D4FE9" w:rsidRPr="00487209" w:rsidRDefault="00DA1393"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2D4FE9" w:rsidRPr="00487209">
              <w:rPr>
                <w:rFonts w:ascii="Times New Roman" w:hAnsi="Times New Roman" w:cs="Times New Roman"/>
                <w:sz w:val="18"/>
                <w:szCs w:val="18"/>
                <w:lang w:val="ru-RU"/>
              </w:rPr>
              <w:t xml:space="preserve"> </w:t>
            </w:r>
            <w:r w:rsidR="00794A6E" w:rsidRPr="00487209">
              <w:rPr>
                <w:rFonts w:ascii="Times New Roman" w:hAnsi="Times New Roman" w:cs="Times New Roman"/>
                <w:sz w:val="18"/>
                <w:szCs w:val="18"/>
                <w:lang w:val="ru-RU"/>
              </w:rPr>
              <w:t>5.(а)</w:t>
            </w:r>
            <w:r w:rsidR="002D4FE9" w:rsidRPr="00487209">
              <w:rPr>
                <w:rFonts w:ascii="Times New Roman" w:hAnsi="Times New Roman" w:cs="Times New Roman"/>
                <w:sz w:val="18"/>
                <w:szCs w:val="18"/>
                <w:lang w:val="sr-Cyrl-CS"/>
              </w:rPr>
              <w:t xml:space="preserve"> Уредбе 30</w:t>
            </w:r>
            <w:r w:rsidR="00FE744D">
              <w:rPr>
                <w:rFonts w:ascii="Times New Roman" w:hAnsi="Times New Roman" w:cs="Times New Roman"/>
                <w:sz w:val="18"/>
                <w:szCs w:val="18"/>
                <w:lang w:val="sr-Cyrl-CS"/>
              </w:rPr>
              <w:t>5/2011 (ЕУ) је делимично пренет</w:t>
            </w:r>
            <w:r>
              <w:rPr>
                <w:rFonts w:ascii="Times New Roman" w:hAnsi="Times New Roman" w:cs="Times New Roman"/>
                <w:sz w:val="18"/>
                <w:szCs w:val="18"/>
                <w:lang w:val="sr-Cyrl-CS"/>
              </w:rPr>
              <w:t xml:space="preserve"> члан 7. став 1. тачка</w:t>
            </w:r>
            <w:r w:rsidR="00420EC6" w:rsidRPr="00487209">
              <w:rPr>
                <w:rFonts w:ascii="Times New Roman" w:hAnsi="Times New Roman" w:cs="Times New Roman"/>
                <w:sz w:val="18"/>
                <w:szCs w:val="18"/>
                <w:lang w:val="sr-Cyrl-CS"/>
              </w:rPr>
              <w:t xml:space="preserve"> 1)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420EC6" w:rsidRPr="00487209">
              <w:rPr>
                <w:rFonts w:ascii="Times New Roman" w:hAnsi="Times New Roman" w:cs="Times New Roman"/>
                <w:sz w:val="18"/>
                <w:szCs w:val="18"/>
                <w:lang w:val="sr-Cyrl-CS"/>
              </w:rPr>
              <w:t xml:space="preserve"> </w:t>
            </w:r>
            <w:r w:rsidR="002D4FE9" w:rsidRPr="00487209">
              <w:rPr>
                <w:rFonts w:ascii="Times New Roman" w:hAnsi="Times New Roman" w:cs="Times New Roman"/>
                <w:sz w:val="18"/>
                <w:szCs w:val="18"/>
                <w:lang w:val="sr-Cyrl-CS"/>
              </w:rPr>
              <w:t>због статуса нечланице ЕУ.</w:t>
            </w:r>
            <w:r w:rsidR="00337295" w:rsidRPr="00487209">
              <w:rPr>
                <w:rFonts w:ascii="Times New Roman" w:hAnsi="Times New Roman" w:cs="Times New Roman"/>
                <w:sz w:val="18"/>
                <w:szCs w:val="18"/>
                <w:lang w:val="sr-Cyrl-CS"/>
              </w:rPr>
              <w:t xml:space="preserve"> </w:t>
            </w:r>
            <w:r w:rsidR="002D4FE9" w:rsidRPr="00487209">
              <w:rPr>
                <w:rFonts w:ascii="Times New Roman" w:hAnsi="Times New Roman" w:cs="Times New Roman"/>
                <w:sz w:val="18"/>
                <w:szCs w:val="18"/>
                <w:lang w:val="sr-Cyrl-CS"/>
              </w:rPr>
              <w:t xml:space="preserve">Потпуно усклађивање биће могуће након </w:t>
            </w:r>
            <w:r w:rsidR="002D4FE9" w:rsidRPr="00487209">
              <w:rPr>
                <w:rFonts w:ascii="Times New Roman" w:hAnsi="Times New Roman" w:cs="Times New Roman"/>
                <w:sz w:val="18"/>
                <w:szCs w:val="18"/>
                <w:lang w:val="sr-Cyrl-CS"/>
              </w:rPr>
              <w:lastRenderedPageBreak/>
              <w:t>приступања ЕУ.</w:t>
            </w:r>
          </w:p>
        </w:tc>
        <w:tc>
          <w:tcPr>
            <w:tcW w:w="480" w:type="pct"/>
            <w:shd w:val="clear" w:color="auto" w:fill="auto"/>
            <w:vAlign w:val="center"/>
          </w:tcPr>
          <w:p w14:paraId="2D68D078" w14:textId="77777777" w:rsidR="002D4FE9" w:rsidRPr="00487209" w:rsidRDefault="002D4FE9" w:rsidP="006C6323">
            <w:pPr>
              <w:spacing w:before="120" w:after="120"/>
              <w:jc w:val="center"/>
              <w:rPr>
                <w:rFonts w:ascii="Times New Roman" w:hAnsi="Times New Roman" w:cs="Times New Roman"/>
                <w:sz w:val="18"/>
                <w:szCs w:val="18"/>
                <w:lang w:val="sr-Cyrl-CS"/>
              </w:rPr>
            </w:pPr>
          </w:p>
        </w:tc>
      </w:tr>
      <w:tr w:rsidR="00337554" w:rsidRPr="00487209" w14:paraId="451CD362" w14:textId="77777777" w:rsidTr="007D5144">
        <w:trPr>
          <w:trHeight w:val="1970"/>
          <w:jc w:val="center"/>
        </w:trPr>
        <w:tc>
          <w:tcPr>
            <w:tcW w:w="435" w:type="pct"/>
            <w:shd w:val="clear" w:color="auto" w:fill="auto"/>
            <w:vAlign w:val="center"/>
          </w:tcPr>
          <w:p w14:paraId="401538A7" w14:textId="77777777" w:rsidR="00425B2E" w:rsidRPr="00487209" w:rsidRDefault="00425B2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5.(</w:t>
            </w:r>
            <w:r w:rsidRPr="00487209">
              <w:rPr>
                <w:rFonts w:ascii="Times New Roman" w:hAnsi="Times New Roman" w:cs="Times New Roman"/>
                <w:sz w:val="18"/>
                <w:szCs w:val="18"/>
              </w:rPr>
              <w:t>b</w:t>
            </w:r>
            <w:r w:rsidRPr="00487209">
              <w:rPr>
                <w:rFonts w:ascii="Times New Roman" w:hAnsi="Times New Roman" w:cs="Times New Roman"/>
                <w:sz w:val="18"/>
                <w:szCs w:val="18"/>
                <w:lang w:val="ru-RU"/>
              </w:rPr>
              <w:t>)</w:t>
            </w:r>
          </w:p>
        </w:tc>
        <w:tc>
          <w:tcPr>
            <w:tcW w:w="1369" w:type="pct"/>
            <w:gridSpan w:val="2"/>
            <w:shd w:val="clear" w:color="auto" w:fill="auto"/>
            <w:vAlign w:val="center"/>
          </w:tcPr>
          <w:p w14:paraId="092B44A6" w14:textId="77777777" w:rsidR="00425B2E" w:rsidRPr="00487209" w:rsidRDefault="009F0509"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the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construction</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product</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is</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manufactured</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on</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construction site for its incorporation in the respective construction works in compliance with the applicable national rules and under the responsibility of those responsible for the safe execution of the construction works designated under the applicable national rules; or</w:t>
            </w:r>
          </w:p>
        </w:tc>
        <w:tc>
          <w:tcPr>
            <w:tcW w:w="429" w:type="pct"/>
            <w:shd w:val="clear" w:color="auto" w:fill="auto"/>
            <w:vAlign w:val="center"/>
          </w:tcPr>
          <w:p w14:paraId="6696E5C6"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6D08E73B" w14:textId="77777777" w:rsidR="00425B2E" w:rsidRPr="00487209" w:rsidRDefault="002538AE"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7.1.2)</w:t>
            </w:r>
          </w:p>
        </w:tc>
        <w:tc>
          <w:tcPr>
            <w:tcW w:w="1231" w:type="pct"/>
            <w:gridSpan w:val="2"/>
            <w:shd w:val="clear" w:color="auto" w:fill="auto"/>
            <w:vAlign w:val="center"/>
          </w:tcPr>
          <w:p w14:paraId="099BA6FE" w14:textId="77777777" w:rsidR="00AD5D5E" w:rsidRPr="00487209" w:rsidRDefault="00AD5D5E" w:rsidP="004758F8">
            <w:pPr>
              <w:spacing w:before="120"/>
              <w:ind w:right="-23"/>
              <w:jc w:val="both"/>
              <w:outlineLvl w:val="3"/>
              <w:rPr>
                <w:rFonts w:ascii="Times New Roman" w:eastAsia="Batang" w:hAnsi="Times New Roman" w:cs="Times New Roman"/>
                <w:sz w:val="18"/>
                <w:szCs w:val="18"/>
                <w:lang w:val="sr-Cyrl-CS" w:eastAsia="ko-KR"/>
              </w:rPr>
            </w:pPr>
            <w:r w:rsidRPr="00487209">
              <w:rPr>
                <w:rFonts w:ascii="Times New Roman" w:eastAsia="Batang" w:hAnsi="Times New Roman" w:cs="Times New Roman"/>
                <w:sz w:val="18"/>
                <w:szCs w:val="18"/>
                <w:lang w:val="sr-Cyrl-CS" w:eastAsia="ko-KR"/>
              </w:rPr>
              <w:t>грађевински производ произведен на градилишту ради уградње у објекат, у складу са одговарајућим техничким прописима и за чију производњу одговорност сноси</w:t>
            </w:r>
            <w:r w:rsidRPr="00487209">
              <w:rPr>
                <w:rFonts w:ascii="Times New Roman" w:eastAsia="Batang" w:hAnsi="Times New Roman" w:cs="Times New Roman"/>
                <w:sz w:val="18"/>
                <w:szCs w:val="18"/>
                <w:lang w:val="sr-Latn-CS" w:eastAsia="ko-KR"/>
              </w:rPr>
              <w:t xml:space="preserve"> </w:t>
            </w:r>
            <w:r w:rsidRPr="00487209">
              <w:rPr>
                <w:rFonts w:ascii="Times New Roman" w:eastAsia="Batang" w:hAnsi="Times New Roman" w:cs="Times New Roman"/>
                <w:sz w:val="18"/>
                <w:szCs w:val="18"/>
                <w:lang w:val="sr-Cyrl-CS" w:eastAsia="ko-KR"/>
              </w:rPr>
              <w:t>одговорни извођач радова;</w:t>
            </w:r>
          </w:p>
          <w:p w14:paraId="336208C2" w14:textId="77777777" w:rsidR="002538AE" w:rsidRPr="00487209" w:rsidRDefault="002538AE" w:rsidP="006C6323">
            <w:pPr>
              <w:pStyle w:val="Style7"/>
              <w:spacing w:before="240" w:after="0"/>
              <w:ind w:right="-23"/>
              <w:jc w:val="both"/>
              <w:outlineLvl w:val="3"/>
              <w:rPr>
                <w:sz w:val="18"/>
                <w:szCs w:val="18"/>
              </w:rPr>
            </w:pPr>
          </w:p>
          <w:p w14:paraId="52F6D3F1" w14:textId="77777777" w:rsidR="00425B2E" w:rsidRPr="00487209" w:rsidRDefault="00425B2E" w:rsidP="006C6323">
            <w:pPr>
              <w:jc w:val="center"/>
              <w:rPr>
                <w:rFonts w:ascii="Times New Roman" w:hAnsi="Times New Roman" w:cs="Times New Roman"/>
                <w:sz w:val="18"/>
                <w:szCs w:val="18"/>
                <w:lang w:val="sr-Cyrl-CS"/>
              </w:rPr>
            </w:pPr>
          </w:p>
        </w:tc>
        <w:tc>
          <w:tcPr>
            <w:tcW w:w="458" w:type="pct"/>
            <w:shd w:val="clear" w:color="auto" w:fill="auto"/>
            <w:vAlign w:val="center"/>
          </w:tcPr>
          <w:p w14:paraId="622D99BE" w14:textId="77777777" w:rsidR="00425B2E" w:rsidRPr="00487209" w:rsidRDefault="000B10C0"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Д</w:t>
            </w:r>
            <w:r w:rsidR="00AD7C84" w:rsidRPr="00487209">
              <w:rPr>
                <w:rFonts w:ascii="Times New Roman" w:hAnsi="Times New Roman" w:cs="Times New Roman"/>
                <w:sz w:val="18"/>
                <w:szCs w:val="18"/>
                <w:lang w:val="ru-RU"/>
              </w:rPr>
              <w:t>У</w:t>
            </w:r>
          </w:p>
        </w:tc>
        <w:tc>
          <w:tcPr>
            <w:tcW w:w="598" w:type="pct"/>
            <w:gridSpan w:val="2"/>
            <w:shd w:val="clear" w:color="auto" w:fill="auto"/>
            <w:vAlign w:val="center"/>
          </w:tcPr>
          <w:p w14:paraId="54C006FB" w14:textId="56A6075A" w:rsidR="00731289" w:rsidRPr="00487209" w:rsidRDefault="00DA1393" w:rsidP="004758F8">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0B10C0" w:rsidRPr="00487209">
              <w:rPr>
                <w:rFonts w:ascii="Times New Roman" w:hAnsi="Times New Roman" w:cs="Times New Roman"/>
                <w:sz w:val="18"/>
                <w:szCs w:val="18"/>
                <w:lang w:val="ru-RU"/>
              </w:rPr>
              <w:t xml:space="preserve"> 5.(</w:t>
            </w:r>
            <w:r w:rsidR="000B10C0" w:rsidRPr="00487209">
              <w:rPr>
                <w:rFonts w:ascii="Times New Roman" w:hAnsi="Times New Roman" w:cs="Times New Roman"/>
                <w:sz w:val="18"/>
                <w:szCs w:val="18"/>
              </w:rPr>
              <w:t>b</w:t>
            </w:r>
            <w:r w:rsidR="000B10C0" w:rsidRPr="00487209">
              <w:rPr>
                <w:rFonts w:ascii="Times New Roman" w:hAnsi="Times New Roman" w:cs="Times New Roman"/>
                <w:sz w:val="18"/>
                <w:szCs w:val="18"/>
                <w:lang w:val="ru-RU"/>
              </w:rPr>
              <w:t>)</w:t>
            </w:r>
            <w:r w:rsidR="000B10C0" w:rsidRPr="00487209">
              <w:rPr>
                <w:rFonts w:ascii="Times New Roman" w:hAnsi="Times New Roman" w:cs="Times New Roman"/>
                <w:sz w:val="18"/>
                <w:szCs w:val="18"/>
                <w:lang w:val="sr-Cyrl-CS"/>
              </w:rPr>
              <w:t xml:space="preserve"> Уредбе 305/2011 (ЕУ) је делимично пренет</w:t>
            </w:r>
            <w:r w:rsidR="00FE744D">
              <w:rPr>
                <w:rFonts w:ascii="Times New Roman" w:hAnsi="Times New Roman" w:cs="Times New Roman"/>
                <w:sz w:val="18"/>
                <w:szCs w:val="18"/>
                <w:lang w:val="sr-Cyrl-CS"/>
              </w:rPr>
              <w:t xml:space="preserve"> </w:t>
            </w:r>
            <w:r>
              <w:rPr>
                <w:rFonts w:ascii="Times New Roman" w:hAnsi="Times New Roman" w:cs="Times New Roman"/>
                <w:sz w:val="18"/>
                <w:szCs w:val="18"/>
                <w:lang w:val="sr-Cyrl-CS"/>
              </w:rPr>
              <w:t>члан 7. став 1. тачка</w:t>
            </w:r>
            <w:r w:rsidR="000B10C0" w:rsidRPr="00487209">
              <w:rPr>
                <w:rFonts w:ascii="Times New Roman" w:hAnsi="Times New Roman" w:cs="Times New Roman"/>
                <w:sz w:val="18"/>
                <w:szCs w:val="18"/>
                <w:lang w:val="sr-Cyrl-CS"/>
              </w:rPr>
              <w:t xml:space="preserve"> </w:t>
            </w:r>
            <w:r w:rsidR="006B5F45" w:rsidRPr="00487209">
              <w:rPr>
                <w:rFonts w:ascii="Times New Roman" w:hAnsi="Times New Roman" w:cs="Times New Roman"/>
                <w:sz w:val="18"/>
                <w:szCs w:val="18"/>
                <w:lang w:val="sr-Cyrl-CS"/>
              </w:rPr>
              <w:t>2</w:t>
            </w:r>
            <w:r w:rsidR="000B10C0"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0B10C0" w:rsidRPr="00487209">
              <w:rPr>
                <w:rFonts w:ascii="Times New Roman" w:hAnsi="Times New Roman" w:cs="Times New Roman"/>
                <w:sz w:val="18"/>
                <w:szCs w:val="18"/>
                <w:lang w:val="sr-Cyrl-CS"/>
              </w:rPr>
              <w:t xml:space="preserve"> због статуса нечланице ЕУ. Потпуно усклађивање биће могуће након приступања ЕУ.</w:t>
            </w:r>
          </w:p>
        </w:tc>
        <w:tc>
          <w:tcPr>
            <w:tcW w:w="480" w:type="pct"/>
            <w:shd w:val="clear" w:color="auto" w:fill="auto"/>
            <w:vAlign w:val="center"/>
          </w:tcPr>
          <w:p w14:paraId="65D8B175"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710F88BA" w14:textId="77777777" w:rsidTr="007D5144">
        <w:trPr>
          <w:trHeight w:val="1970"/>
          <w:jc w:val="center"/>
        </w:trPr>
        <w:tc>
          <w:tcPr>
            <w:tcW w:w="435" w:type="pct"/>
            <w:shd w:val="clear" w:color="auto" w:fill="auto"/>
            <w:vAlign w:val="center"/>
          </w:tcPr>
          <w:p w14:paraId="7DE6366E" w14:textId="77777777" w:rsidR="00425B2E" w:rsidRPr="00487209" w:rsidRDefault="00425B2E"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5.(c)</w:t>
            </w:r>
          </w:p>
        </w:tc>
        <w:tc>
          <w:tcPr>
            <w:tcW w:w="1369" w:type="pct"/>
            <w:gridSpan w:val="2"/>
            <w:shd w:val="clear" w:color="auto" w:fill="auto"/>
            <w:vAlign w:val="center"/>
          </w:tcPr>
          <w:p w14:paraId="03C32661" w14:textId="77777777" w:rsidR="00425B2E" w:rsidRPr="00487209" w:rsidRDefault="009F0509"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the construction product is manufactured in a traditional manner or in a manner appropriate to heritage conservation and in a non-industrial process for adequately renovating construction works officially protected as part of a designated environment or because of their special architectural or historic merit, in compliance with the applicable national rules.</w:t>
            </w:r>
          </w:p>
        </w:tc>
        <w:tc>
          <w:tcPr>
            <w:tcW w:w="429" w:type="pct"/>
            <w:shd w:val="clear" w:color="auto" w:fill="auto"/>
            <w:vAlign w:val="center"/>
          </w:tcPr>
          <w:p w14:paraId="45F9BAD1"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628645C5" w14:textId="77777777" w:rsidR="00425B2E" w:rsidRPr="00487209" w:rsidRDefault="00AD7C84"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7.1.3)</w:t>
            </w:r>
          </w:p>
        </w:tc>
        <w:tc>
          <w:tcPr>
            <w:tcW w:w="1231" w:type="pct"/>
            <w:gridSpan w:val="2"/>
            <w:shd w:val="clear" w:color="auto" w:fill="auto"/>
            <w:vAlign w:val="center"/>
          </w:tcPr>
          <w:p w14:paraId="3B6B1248" w14:textId="70693E56" w:rsidR="00425B2E" w:rsidRPr="00487209" w:rsidRDefault="00AD5D5E" w:rsidP="001A087B">
            <w:pPr>
              <w:spacing w:before="120"/>
              <w:ind w:right="-23"/>
              <w:jc w:val="both"/>
              <w:outlineLvl w:val="3"/>
              <w:rPr>
                <w:rFonts w:ascii="Times New Roman" w:eastAsia="Batang" w:hAnsi="Times New Roman" w:cs="Times New Roman"/>
                <w:sz w:val="18"/>
                <w:szCs w:val="18"/>
                <w:lang w:val="sr-Latn-CS" w:eastAsia="ko-KR"/>
              </w:rPr>
            </w:pPr>
            <w:r w:rsidRPr="00487209">
              <w:rPr>
                <w:rFonts w:ascii="Times New Roman" w:eastAsia="Batang" w:hAnsi="Times New Roman" w:cs="Times New Roman"/>
                <w:sz w:val="18"/>
                <w:szCs w:val="18"/>
                <w:lang w:val="sr-Cyrl-CS" w:eastAsia="ko-KR"/>
              </w:rPr>
              <w:t xml:space="preserve">грађевински производ произведен на традиционалан начин или на начин који је примерен очувању наслеђа или у неиндустријском процесу због одговарајуће ревитализације објеката који су званично заштићени као део утврђене заштићене околине или због њихове посебне архитектонске или историјске вредности, а у складу са одговарајућим прописима којима је уређена заштита културних добара, при чему одговорност за грађевински производ и његову безбедну уградњу произвођач потврђује писаном изјавом, </w:t>
            </w:r>
            <w:r w:rsidRPr="00487209">
              <w:rPr>
                <w:rFonts w:ascii="Times New Roman" w:eastAsia="Batang" w:hAnsi="Times New Roman" w:cs="Times New Roman"/>
                <w:sz w:val="18"/>
                <w:szCs w:val="18"/>
                <w:lang w:val="sr-Cyrl-CS" w:eastAsia="ko-KR"/>
              </w:rPr>
              <w:lastRenderedPageBreak/>
              <w:t>коју одговорни извођач радова евидентира у грађевински дневник;</w:t>
            </w:r>
          </w:p>
        </w:tc>
        <w:tc>
          <w:tcPr>
            <w:tcW w:w="458" w:type="pct"/>
            <w:shd w:val="clear" w:color="auto" w:fill="auto"/>
            <w:vAlign w:val="center"/>
          </w:tcPr>
          <w:p w14:paraId="15A92229" w14:textId="77777777" w:rsidR="00425B2E" w:rsidRPr="00487209" w:rsidRDefault="006B5F45"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Д</w:t>
            </w:r>
            <w:r w:rsidR="00AD7C84" w:rsidRPr="00487209">
              <w:rPr>
                <w:rFonts w:ascii="Times New Roman" w:hAnsi="Times New Roman" w:cs="Times New Roman"/>
                <w:sz w:val="18"/>
                <w:szCs w:val="18"/>
                <w:lang w:val="ru-RU"/>
              </w:rPr>
              <w:t>У</w:t>
            </w:r>
          </w:p>
        </w:tc>
        <w:tc>
          <w:tcPr>
            <w:tcW w:w="598" w:type="pct"/>
            <w:gridSpan w:val="2"/>
            <w:shd w:val="clear" w:color="auto" w:fill="auto"/>
            <w:vAlign w:val="center"/>
          </w:tcPr>
          <w:p w14:paraId="7B6A925C" w14:textId="1E07B3C3" w:rsidR="00425B2E" w:rsidRPr="00487209" w:rsidRDefault="00E96146"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6B5F45" w:rsidRPr="00487209">
              <w:rPr>
                <w:rFonts w:ascii="Times New Roman" w:hAnsi="Times New Roman" w:cs="Times New Roman"/>
                <w:sz w:val="18"/>
                <w:szCs w:val="18"/>
                <w:lang w:val="ru-RU"/>
              </w:rPr>
              <w:t xml:space="preserve"> 5.(</w:t>
            </w:r>
            <w:r w:rsidR="006B5F45" w:rsidRPr="00487209">
              <w:rPr>
                <w:rFonts w:ascii="Times New Roman" w:hAnsi="Times New Roman" w:cs="Times New Roman"/>
                <w:sz w:val="18"/>
                <w:szCs w:val="18"/>
                <w:lang w:val="sr-Cyrl-CS"/>
              </w:rPr>
              <w:t>с</w:t>
            </w:r>
            <w:r w:rsidR="006B5F45" w:rsidRPr="00487209">
              <w:rPr>
                <w:rFonts w:ascii="Times New Roman" w:hAnsi="Times New Roman" w:cs="Times New Roman"/>
                <w:sz w:val="18"/>
                <w:szCs w:val="18"/>
                <w:lang w:val="ru-RU"/>
              </w:rPr>
              <w:t>)</w:t>
            </w:r>
            <w:r w:rsidR="006B5F45" w:rsidRPr="00487209">
              <w:rPr>
                <w:rFonts w:ascii="Times New Roman" w:hAnsi="Times New Roman" w:cs="Times New Roman"/>
                <w:sz w:val="18"/>
                <w:szCs w:val="18"/>
                <w:lang w:val="sr-Cyrl-CS"/>
              </w:rPr>
              <w:t xml:space="preserve"> Уредбе 305/2011 (ЕУ) је делимично пренет</w:t>
            </w:r>
            <w:r>
              <w:rPr>
                <w:rFonts w:ascii="Times New Roman" w:hAnsi="Times New Roman" w:cs="Times New Roman"/>
                <w:sz w:val="18"/>
                <w:szCs w:val="18"/>
                <w:lang w:val="sr-Cyrl-CS"/>
              </w:rPr>
              <w:t xml:space="preserve"> члан 7. став 1. тачка</w:t>
            </w:r>
            <w:r w:rsidR="006B5F45" w:rsidRPr="00487209">
              <w:rPr>
                <w:rFonts w:ascii="Times New Roman" w:hAnsi="Times New Roman" w:cs="Times New Roman"/>
                <w:sz w:val="18"/>
                <w:szCs w:val="18"/>
                <w:lang w:val="sr-Cyrl-CS"/>
              </w:rPr>
              <w:t xml:space="preserve"> 3)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6B5F45" w:rsidRPr="00487209">
              <w:rPr>
                <w:rFonts w:ascii="Times New Roman" w:hAnsi="Times New Roman" w:cs="Times New Roman"/>
                <w:sz w:val="18"/>
                <w:szCs w:val="18"/>
                <w:lang w:val="sr-Cyrl-CS"/>
              </w:rPr>
              <w:t xml:space="preserve"> због статуса нечланице ЕУ. Потпуно усклађивање биће могуће </w:t>
            </w:r>
            <w:r w:rsidR="006B5F45" w:rsidRPr="00487209">
              <w:rPr>
                <w:rFonts w:ascii="Times New Roman" w:hAnsi="Times New Roman" w:cs="Times New Roman"/>
                <w:sz w:val="18"/>
                <w:szCs w:val="18"/>
                <w:lang w:val="sr-Cyrl-CS"/>
              </w:rPr>
              <w:lastRenderedPageBreak/>
              <w:t>након приступања ЕУ.</w:t>
            </w:r>
          </w:p>
        </w:tc>
        <w:tc>
          <w:tcPr>
            <w:tcW w:w="480" w:type="pct"/>
            <w:shd w:val="clear" w:color="auto" w:fill="auto"/>
            <w:vAlign w:val="center"/>
          </w:tcPr>
          <w:p w14:paraId="427DD98B"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1923D8A4" w14:textId="77777777" w:rsidTr="007D5144">
        <w:trPr>
          <w:trHeight w:val="1970"/>
          <w:jc w:val="center"/>
        </w:trPr>
        <w:tc>
          <w:tcPr>
            <w:tcW w:w="435" w:type="pct"/>
            <w:shd w:val="clear" w:color="auto" w:fill="auto"/>
            <w:vAlign w:val="center"/>
          </w:tcPr>
          <w:p w14:paraId="7BFD4299" w14:textId="77777777" w:rsidR="00425B2E" w:rsidRPr="00487209" w:rsidRDefault="00944864"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6.1.</w:t>
            </w:r>
          </w:p>
        </w:tc>
        <w:tc>
          <w:tcPr>
            <w:tcW w:w="1369" w:type="pct"/>
            <w:gridSpan w:val="2"/>
            <w:shd w:val="clear" w:color="auto" w:fill="auto"/>
            <w:vAlign w:val="center"/>
          </w:tcPr>
          <w:p w14:paraId="3DF0F1AD" w14:textId="77777777" w:rsidR="00425B2E" w:rsidRPr="00487209" w:rsidRDefault="009F0509" w:rsidP="006C6323">
            <w:pPr>
              <w:jc w:val="both"/>
              <w:rPr>
                <w:rFonts w:ascii="Times New Roman" w:hAnsi="Times New Roman" w:cs="Times New Roman"/>
                <w:sz w:val="18"/>
                <w:szCs w:val="18"/>
              </w:rPr>
            </w:pPr>
            <w:r w:rsidRPr="00487209">
              <w:rPr>
                <w:rFonts w:ascii="Times New Roman" w:hAnsi="Times New Roman" w:cs="Times New Roman"/>
                <w:sz w:val="18"/>
                <w:szCs w:val="18"/>
              </w:rPr>
              <w:t>The declaration of performance shall express the performance of construction products in relation to the essential characteristics of those products in accordance with the relevant harmonised technical specifications.</w:t>
            </w:r>
          </w:p>
        </w:tc>
        <w:tc>
          <w:tcPr>
            <w:tcW w:w="429" w:type="pct"/>
            <w:shd w:val="clear" w:color="auto" w:fill="auto"/>
            <w:vAlign w:val="center"/>
          </w:tcPr>
          <w:p w14:paraId="1880AE42"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0B626822" w14:textId="77777777" w:rsidR="00425B2E" w:rsidRPr="00487209" w:rsidRDefault="00AD7C84"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8.1.</w:t>
            </w:r>
          </w:p>
        </w:tc>
        <w:tc>
          <w:tcPr>
            <w:tcW w:w="1231" w:type="pct"/>
            <w:gridSpan w:val="2"/>
            <w:shd w:val="clear" w:color="auto" w:fill="auto"/>
            <w:vAlign w:val="center"/>
          </w:tcPr>
          <w:p w14:paraId="431EC5B5" w14:textId="11C1C7CD" w:rsidR="00425B2E" w:rsidRPr="00487209" w:rsidRDefault="00372C81" w:rsidP="006C6323">
            <w:pPr>
              <w:pStyle w:val="Style7"/>
              <w:spacing w:before="240" w:after="0" w:line="240" w:lineRule="auto"/>
              <w:ind w:right="-23"/>
              <w:jc w:val="both"/>
              <w:outlineLvl w:val="3"/>
              <w:rPr>
                <w:sz w:val="18"/>
                <w:szCs w:val="18"/>
                <w:lang w:val="ru-RU"/>
              </w:rPr>
            </w:pPr>
            <w:r w:rsidRPr="00372C81">
              <w:rPr>
                <w:sz w:val="18"/>
                <w:szCs w:val="18"/>
              </w:rPr>
              <w:t>Декларацијом о перформансама из члана 6. став 1. овог закона исказују се перформансе грађевинског производа у вези са његовим битним карактеристикама, утврђене одговарајућим српским стандардом са списка српских стандарда којима су преузети хармонизовани стандарди који се примењују у складу са овим законом, српским стандардом на који се позива технички пропис, техничким прописом или српском техничком оценом која је за њега издата.</w:t>
            </w:r>
          </w:p>
        </w:tc>
        <w:tc>
          <w:tcPr>
            <w:tcW w:w="458" w:type="pct"/>
            <w:shd w:val="clear" w:color="auto" w:fill="auto"/>
            <w:vAlign w:val="center"/>
          </w:tcPr>
          <w:p w14:paraId="0E937D1C" w14:textId="77777777" w:rsidR="00425B2E" w:rsidRPr="00487209" w:rsidRDefault="00A65158"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w:t>
            </w:r>
            <w:r w:rsidR="00C31BEB" w:rsidRPr="00487209">
              <w:rPr>
                <w:rFonts w:ascii="Times New Roman" w:hAnsi="Times New Roman" w:cs="Times New Roman"/>
                <w:sz w:val="18"/>
                <w:szCs w:val="18"/>
                <w:lang w:val="ru-RU"/>
              </w:rPr>
              <w:t>У</w:t>
            </w:r>
          </w:p>
        </w:tc>
        <w:tc>
          <w:tcPr>
            <w:tcW w:w="598" w:type="pct"/>
            <w:gridSpan w:val="2"/>
            <w:shd w:val="clear" w:color="auto" w:fill="auto"/>
            <w:vAlign w:val="center"/>
          </w:tcPr>
          <w:p w14:paraId="6CF54C12" w14:textId="3298686B" w:rsidR="00731289" w:rsidRPr="00487209" w:rsidRDefault="00E96146" w:rsidP="004758F8">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C31BEB" w:rsidRPr="00487209">
              <w:rPr>
                <w:rFonts w:ascii="Times New Roman" w:hAnsi="Times New Roman" w:cs="Times New Roman"/>
                <w:sz w:val="18"/>
                <w:szCs w:val="18"/>
                <w:lang w:val="ru-RU"/>
              </w:rPr>
              <w:t xml:space="preserve"> </w:t>
            </w:r>
            <w:r w:rsidR="00DD264F" w:rsidRPr="00487209">
              <w:rPr>
                <w:rFonts w:ascii="Times New Roman" w:hAnsi="Times New Roman" w:cs="Times New Roman"/>
                <w:sz w:val="18"/>
                <w:szCs w:val="18"/>
                <w:lang w:val="ru-RU"/>
              </w:rPr>
              <w:t>6.1</w:t>
            </w:r>
            <w:r w:rsidR="00C31BEB" w:rsidRPr="00487209">
              <w:rPr>
                <w:rFonts w:ascii="Times New Roman" w:hAnsi="Times New Roman" w:cs="Times New Roman"/>
                <w:sz w:val="18"/>
                <w:szCs w:val="18"/>
                <w:lang w:val="ru-RU"/>
              </w:rPr>
              <w:t>.</w:t>
            </w:r>
            <w:r w:rsidR="00C31BEB" w:rsidRPr="00487209">
              <w:rPr>
                <w:rFonts w:ascii="Times New Roman" w:hAnsi="Times New Roman" w:cs="Times New Roman"/>
                <w:sz w:val="18"/>
                <w:szCs w:val="18"/>
                <w:lang w:val="sr-Cyrl-CS"/>
              </w:rPr>
              <w:t xml:space="preserve"> Уредбе 305/2011 (ЕУ) је </w:t>
            </w:r>
            <w:r w:rsidR="00A65158" w:rsidRPr="00487209">
              <w:rPr>
                <w:rFonts w:ascii="Times New Roman" w:hAnsi="Times New Roman" w:cs="Times New Roman"/>
                <w:sz w:val="18"/>
                <w:szCs w:val="18"/>
                <w:lang w:val="sr-Cyrl-CS"/>
              </w:rPr>
              <w:t>потпу</w:t>
            </w:r>
            <w:r w:rsidR="00B22A25" w:rsidRPr="00487209">
              <w:rPr>
                <w:rFonts w:ascii="Times New Roman" w:hAnsi="Times New Roman" w:cs="Times New Roman"/>
                <w:sz w:val="18"/>
                <w:szCs w:val="18"/>
                <w:lang w:val="sr-Cyrl-CS"/>
              </w:rPr>
              <w:t>но пренет</w:t>
            </w:r>
            <w:r w:rsidR="00DD264F" w:rsidRPr="00487209">
              <w:rPr>
                <w:rFonts w:ascii="Times New Roman" w:hAnsi="Times New Roman" w:cs="Times New Roman"/>
                <w:sz w:val="18"/>
                <w:szCs w:val="18"/>
                <w:lang w:val="sr-Cyrl-CS"/>
              </w:rPr>
              <w:t xml:space="preserve"> </w:t>
            </w:r>
            <w:r>
              <w:rPr>
                <w:rFonts w:ascii="Times New Roman" w:hAnsi="Times New Roman" w:cs="Times New Roman"/>
                <w:sz w:val="18"/>
                <w:szCs w:val="18"/>
                <w:lang w:val="sr-Cyrl-CS"/>
              </w:rPr>
              <w:t xml:space="preserve"> члан 8. став</w:t>
            </w:r>
            <w:r w:rsidR="00DD264F" w:rsidRPr="00487209">
              <w:rPr>
                <w:rFonts w:ascii="Times New Roman" w:hAnsi="Times New Roman" w:cs="Times New Roman"/>
                <w:sz w:val="18"/>
                <w:szCs w:val="18"/>
                <w:lang w:val="sr-Cyrl-CS"/>
              </w:rPr>
              <w:t xml:space="preserve"> 1.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DD264F" w:rsidRPr="00487209">
              <w:rPr>
                <w:rFonts w:ascii="Times New Roman" w:hAnsi="Times New Roman" w:cs="Times New Roman"/>
                <w:sz w:val="18"/>
                <w:szCs w:val="18"/>
                <w:lang w:val="sr-Cyrl-CS"/>
              </w:rPr>
              <w:t xml:space="preserve">, </w:t>
            </w:r>
            <w:r w:rsidR="00A65158" w:rsidRPr="00487209">
              <w:rPr>
                <w:rFonts w:ascii="Times New Roman" w:hAnsi="Times New Roman" w:cs="Times New Roman"/>
                <w:sz w:val="18"/>
                <w:szCs w:val="18"/>
                <w:lang w:val="sr-Cyrl-CS"/>
              </w:rPr>
              <w:t>уз напомену да је њоме поред хармонизоване обухваћена и нехармонизована област грађевинских производа.</w:t>
            </w:r>
          </w:p>
        </w:tc>
        <w:tc>
          <w:tcPr>
            <w:tcW w:w="480" w:type="pct"/>
            <w:shd w:val="clear" w:color="auto" w:fill="auto"/>
            <w:vAlign w:val="center"/>
          </w:tcPr>
          <w:p w14:paraId="19742E60"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3EEAF506" w14:textId="77777777" w:rsidTr="007D5144">
        <w:trPr>
          <w:trHeight w:val="1970"/>
          <w:jc w:val="center"/>
        </w:trPr>
        <w:tc>
          <w:tcPr>
            <w:tcW w:w="435" w:type="pct"/>
            <w:shd w:val="clear" w:color="auto" w:fill="auto"/>
            <w:vAlign w:val="center"/>
          </w:tcPr>
          <w:p w14:paraId="0F3AD529" w14:textId="77777777" w:rsidR="00425B2E" w:rsidRPr="00487209" w:rsidRDefault="00944864"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6.2.</w:t>
            </w:r>
            <w:r w:rsidR="00A93357" w:rsidRPr="00487209">
              <w:rPr>
                <w:rFonts w:ascii="Times New Roman" w:hAnsi="Times New Roman" w:cs="Times New Roman"/>
                <w:sz w:val="18"/>
                <w:szCs w:val="18"/>
              </w:rPr>
              <w:t>(a)</w:t>
            </w:r>
          </w:p>
        </w:tc>
        <w:tc>
          <w:tcPr>
            <w:tcW w:w="1369" w:type="pct"/>
            <w:gridSpan w:val="2"/>
            <w:shd w:val="clear" w:color="auto" w:fill="auto"/>
            <w:vAlign w:val="center"/>
          </w:tcPr>
          <w:p w14:paraId="5F10479B" w14:textId="77777777" w:rsidR="009F0509" w:rsidRPr="00487209" w:rsidRDefault="009F0509"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2.  The declaration of performance shall contain, in particular, the following information:</w:t>
            </w:r>
          </w:p>
          <w:p w14:paraId="0E97EA9D" w14:textId="77777777" w:rsidR="009F0509" w:rsidRPr="00487209" w:rsidRDefault="009F0509"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the reference of the product-type for which the declaration of performance has been drawn up;</w:t>
            </w:r>
          </w:p>
          <w:p w14:paraId="751052B0" w14:textId="77777777" w:rsidR="00425B2E" w:rsidRPr="00487209" w:rsidRDefault="00425B2E" w:rsidP="006C6323">
            <w:pPr>
              <w:jc w:val="both"/>
              <w:rPr>
                <w:rFonts w:ascii="Times New Roman" w:hAnsi="Times New Roman" w:cs="Times New Roman"/>
                <w:sz w:val="18"/>
                <w:szCs w:val="18"/>
                <w:lang w:val="sr-Cyrl-CS"/>
              </w:rPr>
            </w:pPr>
          </w:p>
        </w:tc>
        <w:tc>
          <w:tcPr>
            <w:tcW w:w="429" w:type="pct"/>
            <w:shd w:val="clear" w:color="auto" w:fill="auto"/>
            <w:vAlign w:val="center"/>
          </w:tcPr>
          <w:p w14:paraId="1BA9D4A6"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72683683" w14:textId="77777777" w:rsidR="00425B2E" w:rsidRPr="00487209" w:rsidRDefault="006457EC"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8.2.1)</w:t>
            </w:r>
          </w:p>
        </w:tc>
        <w:tc>
          <w:tcPr>
            <w:tcW w:w="1231" w:type="pct"/>
            <w:gridSpan w:val="2"/>
            <w:shd w:val="clear" w:color="auto" w:fill="auto"/>
            <w:vAlign w:val="center"/>
          </w:tcPr>
          <w:p w14:paraId="23003DEC" w14:textId="77777777" w:rsidR="002011D6" w:rsidRPr="00487209" w:rsidRDefault="002011D6" w:rsidP="006C6323">
            <w:pPr>
              <w:pStyle w:val="Style7"/>
              <w:spacing w:before="240" w:after="0" w:line="240" w:lineRule="auto"/>
              <w:ind w:right="-23"/>
              <w:jc w:val="both"/>
              <w:outlineLvl w:val="3"/>
              <w:rPr>
                <w:b/>
                <w:bCs/>
                <w:sz w:val="18"/>
                <w:szCs w:val="18"/>
              </w:rPr>
            </w:pPr>
            <w:r w:rsidRPr="00487209">
              <w:rPr>
                <w:sz w:val="18"/>
                <w:szCs w:val="18"/>
              </w:rPr>
              <w:t>Декларација о перформансама садржи, нарочито:</w:t>
            </w:r>
          </w:p>
          <w:p w14:paraId="5B5443CD" w14:textId="77777777" w:rsidR="002011D6" w:rsidRPr="00487209" w:rsidRDefault="002011D6" w:rsidP="006C6323">
            <w:pPr>
              <w:pStyle w:val="Style7"/>
              <w:numPr>
                <w:ilvl w:val="0"/>
                <w:numId w:val="4"/>
              </w:numPr>
              <w:spacing w:before="240" w:after="0" w:line="240" w:lineRule="auto"/>
              <w:ind w:left="0" w:right="-23" w:firstLine="0"/>
              <w:jc w:val="both"/>
              <w:outlineLvl w:val="3"/>
              <w:rPr>
                <w:b/>
                <w:bCs/>
                <w:sz w:val="18"/>
                <w:szCs w:val="18"/>
              </w:rPr>
            </w:pPr>
            <w:r w:rsidRPr="00487209">
              <w:rPr>
                <w:sz w:val="18"/>
                <w:szCs w:val="18"/>
              </w:rPr>
              <w:t>Назив и/или ознаку типа грађевинског производа за који се сачињава декларација о перформансама;</w:t>
            </w:r>
          </w:p>
          <w:p w14:paraId="4AB9EABC" w14:textId="77777777" w:rsidR="00425B2E" w:rsidRPr="00487209" w:rsidRDefault="00425B2E" w:rsidP="006C6323">
            <w:pPr>
              <w:jc w:val="center"/>
              <w:rPr>
                <w:rFonts w:ascii="Times New Roman" w:hAnsi="Times New Roman" w:cs="Times New Roman"/>
                <w:sz w:val="18"/>
                <w:szCs w:val="18"/>
                <w:lang w:val="sr-Cyrl-CS"/>
              </w:rPr>
            </w:pPr>
          </w:p>
        </w:tc>
        <w:tc>
          <w:tcPr>
            <w:tcW w:w="458" w:type="pct"/>
            <w:shd w:val="clear" w:color="auto" w:fill="auto"/>
            <w:vAlign w:val="center"/>
          </w:tcPr>
          <w:p w14:paraId="596F1147" w14:textId="77777777" w:rsidR="00425B2E" w:rsidRPr="00487209" w:rsidRDefault="006457EC"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14F6A89D" w14:textId="77777777" w:rsidR="00425B2E" w:rsidRPr="00487209" w:rsidRDefault="00425B2E"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5AF3E04" w14:textId="77777777" w:rsidR="00425B2E" w:rsidRPr="00487209" w:rsidRDefault="00425B2E" w:rsidP="006C6323">
            <w:pPr>
              <w:spacing w:before="120" w:after="120"/>
              <w:jc w:val="center"/>
              <w:rPr>
                <w:rFonts w:ascii="Times New Roman" w:hAnsi="Times New Roman" w:cs="Times New Roman"/>
                <w:sz w:val="18"/>
                <w:szCs w:val="18"/>
                <w:lang w:val="sr-Cyrl-CS"/>
              </w:rPr>
            </w:pPr>
          </w:p>
        </w:tc>
      </w:tr>
      <w:tr w:rsidR="00337554" w:rsidRPr="00487209" w14:paraId="50670F59" w14:textId="77777777" w:rsidTr="007D5144">
        <w:trPr>
          <w:trHeight w:val="1970"/>
          <w:jc w:val="center"/>
        </w:trPr>
        <w:tc>
          <w:tcPr>
            <w:tcW w:w="435" w:type="pct"/>
            <w:shd w:val="clear" w:color="auto" w:fill="auto"/>
            <w:vAlign w:val="center"/>
          </w:tcPr>
          <w:p w14:paraId="56C6AB4A" w14:textId="77777777" w:rsidR="00425B2E" w:rsidRPr="00487209" w:rsidRDefault="00A93357"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6.2.(b)</w:t>
            </w:r>
          </w:p>
        </w:tc>
        <w:tc>
          <w:tcPr>
            <w:tcW w:w="1369" w:type="pct"/>
            <w:gridSpan w:val="2"/>
            <w:shd w:val="clear" w:color="auto" w:fill="auto"/>
            <w:vAlign w:val="center"/>
          </w:tcPr>
          <w:p w14:paraId="1EA613FF" w14:textId="77777777" w:rsidR="00425B2E" w:rsidRPr="00487209" w:rsidRDefault="00A93357" w:rsidP="006C6323">
            <w:pPr>
              <w:jc w:val="both"/>
              <w:rPr>
                <w:rFonts w:ascii="Times New Roman" w:hAnsi="Times New Roman" w:cs="Times New Roman"/>
                <w:sz w:val="18"/>
                <w:szCs w:val="18"/>
              </w:rPr>
            </w:pPr>
            <w:r w:rsidRPr="00487209">
              <w:rPr>
                <w:rFonts w:ascii="Times New Roman" w:hAnsi="Times New Roman" w:cs="Times New Roman"/>
                <w:sz w:val="18"/>
                <w:szCs w:val="18"/>
              </w:rPr>
              <w:t>the system or systems of assessment and verification of constancy of performance of the construction product, as set out in Annex V;</w:t>
            </w:r>
          </w:p>
        </w:tc>
        <w:tc>
          <w:tcPr>
            <w:tcW w:w="429" w:type="pct"/>
            <w:shd w:val="clear" w:color="auto" w:fill="auto"/>
            <w:vAlign w:val="center"/>
          </w:tcPr>
          <w:p w14:paraId="5D4FA065"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65870DE5" w14:textId="77777777" w:rsidR="00425B2E" w:rsidRPr="00487209" w:rsidRDefault="00E16A1A"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8.2.2)</w:t>
            </w:r>
          </w:p>
        </w:tc>
        <w:tc>
          <w:tcPr>
            <w:tcW w:w="1231" w:type="pct"/>
            <w:gridSpan w:val="2"/>
            <w:shd w:val="clear" w:color="auto" w:fill="auto"/>
            <w:vAlign w:val="center"/>
          </w:tcPr>
          <w:p w14:paraId="092CEDC6" w14:textId="77777777" w:rsidR="00425B2E" w:rsidRPr="00487209" w:rsidRDefault="00E16A1A" w:rsidP="006C6323">
            <w:pPr>
              <w:pStyle w:val="Style7"/>
              <w:spacing w:before="240" w:after="0" w:line="240" w:lineRule="auto"/>
              <w:ind w:right="-23"/>
              <w:jc w:val="both"/>
              <w:outlineLvl w:val="3"/>
              <w:rPr>
                <w:sz w:val="18"/>
                <w:szCs w:val="18"/>
                <w:lang w:val="ru-RU"/>
              </w:rPr>
            </w:pPr>
            <w:r w:rsidRPr="00487209">
              <w:rPr>
                <w:sz w:val="18"/>
                <w:szCs w:val="18"/>
                <w:lang w:val="ru-RU"/>
              </w:rPr>
              <w:t xml:space="preserve">систем или системе оцењивања и верификације сталности перформанси грађевинског производа, </w:t>
            </w:r>
            <w:r w:rsidRPr="00487209">
              <w:rPr>
                <w:rStyle w:val="FontStyle41"/>
                <w:rFonts w:ascii="Times New Roman" w:hAnsi="Times New Roman" w:cs="Times New Roman"/>
                <w:sz w:val="18"/>
                <w:szCs w:val="18"/>
                <w:lang w:val="ru-RU"/>
              </w:rPr>
              <w:t>у складу са</w:t>
            </w:r>
            <w:r w:rsidRPr="00487209">
              <w:rPr>
                <w:sz w:val="18"/>
                <w:szCs w:val="18"/>
                <w:lang w:val="ru-RU"/>
              </w:rPr>
              <w:t xml:space="preserve"> Прилогом </w:t>
            </w:r>
            <w:r w:rsidRPr="00487209">
              <w:rPr>
                <w:rStyle w:val="FontStyle41"/>
                <w:rFonts w:ascii="Times New Roman" w:hAnsi="Times New Roman" w:cs="Times New Roman"/>
                <w:sz w:val="18"/>
                <w:szCs w:val="18"/>
              </w:rPr>
              <w:t>V</w:t>
            </w:r>
            <w:r w:rsidR="00175A73" w:rsidRPr="00487209">
              <w:rPr>
                <w:rStyle w:val="FontStyle41"/>
                <w:rFonts w:ascii="Times New Roman" w:hAnsi="Times New Roman" w:cs="Times New Roman"/>
                <w:sz w:val="18"/>
                <w:szCs w:val="18"/>
                <w:lang w:val="ru-RU"/>
              </w:rPr>
              <w:t xml:space="preserve"> овог закона</w:t>
            </w:r>
            <w:r w:rsidRPr="00487209">
              <w:rPr>
                <w:rStyle w:val="FontStyle41"/>
                <w:rFonts w:ascii="Times New Roman" w:hAnsi="Times New Roman" w:cs="Times New Roman"/>
                <w:sz w:val="18"/>
                <w:szCs w:val="18"/>
                <w:lang w:val="ru-RU"/>
              </w:rPr>
              <w:t xml:space="preserve">, </w:t>
            </w:r>
            <w:r w:rsidRPr="00487209">
              <w:rPr>
                <w:sz w:val="18"/>
                <w:szCs w:val="18"/>
                <w:lang w:val="ru-RU"/>
              </w:rPr>
              <w:t xml:space="preserve">утврђене </w:t>
            </w:r>
            <w:r w:rsidRPr="00487209">
              <w:rPr>
                <w:rStyle w:val="FontStyle41"/>
                <w:rFonts w:ascii="Times New Roman" w:hAnsi="Times New Roman" w:cs="Times New Roman"/>
                <w:sz w:val="18"/>
                <w:szCs w:val="18"/>
                <w:lang w:val="ru-RU"/>
              </w:rPr>
              <w:t>одговарајућом српском техничком спецификацијом или техничким прописом;</w:t>
            </w:r>
          </w:p>
        </w:tc>
        <w:tc>
          <w:tcPr>
            <w:tcW w:w="458" w:type="pct"/>
            <w:shd w:val="clear" w:color="auto" w:fill="auto"/>
            <w:vAlign w:val="center"/>
          </w:tcPr>
          <w:p w14:paraId="1BAA87C5" w14:textId="77777777" w:rsidR="00425B2E" w:rsidRPr="00487209" w:rsidRDefault="00C53D32"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w:t>
            </w:r>
            <w:r w:rsidR="00E16A1A" w:rsidRPr="00487209">
              <w:rPr>
                <w:rFonts w:ascii="Times New Roman" w:hAnsi="Times New Roman" w:cs="Times New Roman"/>
                <w:sz w:val="18"/>
                <w:szCs w:val="18"/>
                <w:lang w:val="ru-RU"/>
              </w:rPr>
              <w:t>У</w:t>
            </w:r>
          </w:p>
        </w:tc>
        <w:tc>
          <w:tcPr>
            <w:tcW w:w="598" w:type="pct"/>
            <w:gridSpan w:val="2"/>
            <w:shd w:val="clear" w:color="auto" w:fill="auto"/>
            <w:vAlign w:val="center"/>
          </w:tcPr>
          <w:p w14:paraId="782744F0" w14:textId="77777777" w:rsidR="00425B2E" w:rsidRPr="00487209" w:rsidRDefault="00425B2E"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158CAA1E"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752A9494" w14:textId="77777777" w:rsidTr="007D5144">
        <w:trPr>
          <w:trHeight w:val="1970"/>
          <w:jc w:val="center"/>
        </w:trPr>
        <w:tc>
          <w:tcPr>
            <w:tcW w:w="435" w:type="pct"/>
            <w:shd w:val="clear" w:color="auto" w:fill="auto"/>
            <w:vAlign w:val="center"/>
          </w:tcPr>
          <w:p w14:paraId="1CC4A9FE" w14:textId="77777777" w:rsidR="00425B2E" w:rsidRPr="00487209" w:rsidRDefault="00A93357"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6.2.(c)</w:t>
            </w:r>
          </w:p>
        </w:tc>
        <w:tc>
          <w:tcPr>
            <w:tcW w:w="1369" w:type="pct"/>
            <w:gridSpan w:val="2"/>
            <w:shd w:val="clear" w:color="auto" w:fill="auto"/>
            <w:vAlign w:val="center"/>
          </w:tcPr>
          <w:p w14:paraId="3FBA34E3" w14:textId="77777777" w:rsidR="00425B2E" w:rsidRPr="00487209" w:rsidRDefault="00A93357" w:rsidP="006C6323">
            <w:pPr>
              <w:jc w:val="both"/>
              <w:rPr>
                <w:rFonts w:ascii="Times New Roman" w:hAnsi="Times New Roman" w:cs="Times New Roman"/>
                <w:sz w:val="18"/>
                <w:szCs w:val="18"/>
              </w:rPr>
            </w:pPr>
            <w:r w:rsidRPr="00487209">
              <w:rPr>
                <w:rFonts w:ascii="Times New Roman" w:hAnsi="Times New Roman" w:cs="Times New Roman"/>
                <w:sz w:val="18"/>
                <w:szCs w:val="18"/>
              </w:rPr>
              <w:t>the reference number and date of issue of the harmonised standard or the European Technical Assessment which has been used for the assessment of each essential characteristic;</w:t>
            </w:r>
          </w:p>
        </w:tc>
        <w:tc>
          <w:tcPr>
            <w:tcW w:w="429" w:type="pct"/>
            <w:shd w:val="clear" w:color="auto" w:fill="auto"/>
            <w:vAlign w:val="center"/>
          </w:tcPr>
          <w:p w14:paraId="52C93674"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3EE34DE9" w14:textId="77777777" w:rsidR="00425B2E" w:rsidRPr="00487209" w:rsidRDefault="00E16A1A"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8.2.3)</w:t>
            </w:r>
          </w:p>
        </w:tc>
        <w:tc>
          <w:tcPr>
            <w:tcW w:w="1231" w:type="pct"/>
            <w:gridSpan w:val="2"/>
            <w:shd w:val="clear" w:color="auto" w:fill="auto"/>
            <w:vAlign w:val="center"/>
          </w:tcPr>
          <w:p w14:paraId="6939A0EB" w14:textId="77777777" w:rsidR="004208D5" w:rsidRPr="00487209" w:rsidRDefault="004208D5" w:rsidP="004208D5">
            <w:pPr>
              <w:shd w:val="clear" w:color="auto" w:fill="FFFFFF"/>
              <w:tabs>
                <w:tab w:val="left" w:pos="1080"/>
              </w:tabs>
              <w:spacing w:before="120" w:after="120"/>
              <w:ind w:right="-23"/>
              <w:jc w:val="both"/>
              <w:outlineLvl w:val="3"/>
              <w:rPr>
                <w:rFonts w:ascii="Times New Roman" w:eastAsia="Batang" w:hAnsi="Times New Roman" w:cs="Times New Roman"/>
                <w:b/>
                <w:bCs/>
                <w:sz w:val="18"/>
                <w:szCs w:val="18"/>
                <w:lang w:val="sr-Cyrl-CS" w:eastAsia="ko-KR"/>
              </w:rPr>
            </w:pPr>
            <w:r w:rsidRPr="00487209">
              <w:rPr>
                <w:rFonts w:ascii="Times New Roman" w:eastAsia="Batang" w:hAnsi="Times New Roman" w:cs="Times New Roman"/>
                <w:sz w:val="18"/>
                <w:szCs w:val="18"/>
                <w:lang w:val="sr-Cyrl-CS" w:eastAsia="ko-KR"/>
              </w:rPr>
              <w:t>када је то одговарајуће,</w:t>
            </w:r>
            <w:r w:rsidRPr="00487209">
              <w:rPr>
                <w:rFonts w:ascii="Times New Roman" w:eastAsia="Batang" w:hAnsi="Times New Roman" w:cs="Times New Roman"/>
                <w:sz w:val="18"/>
                <w:szCs w:val="18"/>
                <w:lang w:val="sr-Latn-CS" w:eastAsia="ko-KR"/>
              </w:rPr>
              <w:t xml:space="preserve"> </w:t>
            </w:r>
            <w:r w:rsidRPr="00487209">
              <w:rPr>
                <w:rFonts w:ascii="Times New Roman" w:eastAsia="Batang" w:hAnsi="Times New Roman" w:cs="Times New Roman"/>
                <w:sz w:val="18"/>
                <w:szCs w:val="18"/>
                <w:lang w:val="sr-Cyrl-CS" w:eastAsia="ko-KR"/>
              </w:rPr>
              <w:t>ознаку и годину објављивања</w:t>
            </w:r>
            <w:r w:rsidRPr="00487209">
              <w:rPr>
                <w:rFonts w:ascii="Times New Roman" w:eastAsia="Batang" w:hAnsi="Times New Roman" w:cs="Times New Roman"/>
                <w:sz w:val="18"/>
                <w:szCs w:val="18"/>
                <w:lang w:val="sr-Latn-CS" w:eastAsia="ko-KR"/>
              </w:rPr>
              <w:t xml:space="preserve"> </w:t>
            </w:r>
            <w:r w:rsidRPr="00487209">
              <w:rPr>
                <w:rFonts w:ascii="Times New Roman" w:eastAsia="Batang" w:hAnsi="Times New Roman" w:cs="Times New Roman"/>
                <w:sz w:val="18"/>
                <w:szCs w:val="18"/>
                <w:lang w:val="sr-Cyrl-CS" w:eastAsia="ko-KR"/>
              </w:rPr>
              <w:t>српског стандарда којим су преузет хармонизовани стандард који се примењује у складу са овим законом, ознаку и годину објављивања српског стандарда на који се позива технички пропис или назив техничког прописа и број службеног гласила у ком је технички пропис објављен</w:t>
            </w:r>
            <w:r w:rsidRPr="00487209">
              <w:rPr>
                <w:rFonts w:ascii="Times New Roman" w:eastAsia="Times New Roman" w:hAnsi="Times New Roman" w:cs="Times New Roman"/>
                <w:sz w:val="18"/>
                <w:szCs w:val="18"/>
                <w:lang w:val="sr-Cyrl-CS"/>
              </w:rPr>
              <w:t xml:space="preserve"> или број и датум издавања српске техничке оцене која је коришћена за оцењивање сваке битне карактеристике и број и датум издавања српског документа за оцењивање</w:t>
            </w:r>
            <w:r w:rsidRPr="00487209">
              <w:rPr>
                <w:rFonts w:ascii="Times New Roman" w:eastAsia="Batang" w:hAnsi="Times New Roman" w:cs="Times New Roman"/>
                <w:sz w:val="18"/>
                <w:szCs w:val="18"/>
                <w:lang w:val="sr-Cyrl-CS" w:eastAsia="ko-KR"/>
              </w:rPr>
              <w:t>;</w:t>
            </w:r>
          </w:p>
          <w:p w14:paraId="377D1D3A" w14:textId="77777777" w:rsidR="00425B2E" w:rsidRPr="00487209" w:rsidRDefault="00425B2E" w:rsidP="006C6323">
            <w:pPr>
              <w:jc w:val="both"/>
              <w:rPr>
                <w:rFonts w:ascii="Times New Roman" w:hAnsi="Times New Roman" w:cs="Times New Roman"/>
                <w:sz w:val="18"/>
                <w:szCs w:val="18"/>
                <w:lang w:val="sr-Cyrl-CS"/>
              </w:rPr>
            </w:pPr>
          </w:p>
        </w:tc>
        <w:tc>
          <w:tcPr>
            <w:tcW w:w="458" w:type="pct"/>
            <w:shd w:val="clear" w:color="auto" w:fill="auto"/>
            <w:vAlign w:val="center"/>
          </w:tcPr>
          <w:p w14:paraId="55D70599" w14:textId="77777777" w:rsidR="00425B2E" w:rsidRPr="00487209" w:rsidRDefault="00030F92"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w:t>
            </w:r>
            <w:r w:rsidR="00E16A1A" w:rsidRPr="00487209">
              <w:rPr>
                <w:rFonts w:ascii="Times New Roman" w:hAnsi="Times New Roman" w:cs="Times New Roman"/>
                <w:sz w:val="18"/>
                <w:szCs w:val="18"/>
                <w:lang w:val="ru-RU"/>
              </w:rPr>
              <w:t>У</w:t>
            </w:r>
          </w:p>
        </w:tc>
        <w:tc>
          <w:tcPr>
            <w:tcW w:w="598" w:type="pct"/>
            <w:gridSpan w:val="2"/>
            <w:shd w:val="clear" w:color="auto" w:fill="auto"/>
            <w:vAlign w:val="center"/>
          </w:tcPr>
          <w:p w14:paraId="6A09D06C" w14:textId="559790BC" w:rsidR="00731289" w:rsidRPr="00487209" w:rsidRDefault="00E96146" w:rsidP="004758F8">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C53D32" w:rsidRPr="00487209">
              <w:rPr>
                <w:rFonts w:ascii="Times New Roman" w:hAnsi="Times New Roman" w:cs="Times New Roman"/>
                <w:sz w:val="18"/>
                <w:szCs w:val="18"/>
                <w:lang w:val="ru-RU"/>
              </w:rPr>
              <w:t xml:space="preserve"> 6.2.(</w:t>
            </w:r>
            <w:r w:rsidR="00C53D32" w:rsidRPr="00487209">
              <w:rPr>
                <w:rFonts w:ascii="Times New Roman" w:hAnsi="Times New Roman" w:cs="Times New Roman"/>
                <w:sz w:val="18"/>
                <w:szCs w:val="18"/>
              </w:rPr>
              <w:t>c</w:t>
            </w:r>
            <w:r w:rsidR="00C53D32" w:rsidRPr="00487209">
              <w:rPr>
                <w:rFonts w:ascii="Times New Roman" w:hAnsi="Times New Roman" w:cs="Times New Roman"/>
                <w:sz w:val="18"/>
                <w:szCs w:val="18"/>
                <w:lang w:val="ru-RU"/>
              </w:rPr>
              <w:t xml:space="preserve">) </w:t>
            </w:r>
            <w:r w:rsidR="00C53D32" w:rsidRPr="00487209">
              <w:rPr>
                <w:rFonts w:ascii="Times New Roman" w:hAnsi="Times New Roman" w:cs="Times New Roman"/>
                <w:sz w:val="18"/>
                <w:szCs w:val="18"/>
                <w:lang w:val="sr-Cyrl-CS"/>
              </w:rPr>
              <w:t xml:space="preserve">Уредбе 305/2011 (ЕУ) је </w:t>
            </w:r>
            <w:r w:rsidR="00030F92" w:rsidRPr="00487209">
              <w:rPr>
                <w:rFonts w:ascii="Times New Roman" w:hAnsi="Times New Roman" w:cs="Times New Roman"/>
                <w:sz w:val="18"/>
                <w:szCs w:val="18"/>
                <w:lang w:val="sr-Cyrl-CS"/>
              </w:rPr>
              <w:t>потпу</w:t>
            </w:r>
            <w:r w:rsidR="00C53D32" w:rsidRPr="00487209">
              <w:rPr>
                <w:rFonts w:ascii="Times New Roman" w:hAnsi="Times New Roman" w:cs="Times New Roman"/>
                <w:sz w:val="18"/>
                <w:szCs w:val="18"/>
                <w:lang w:val="sr-Cyrl-CS"/>
              </w:rPr>
              <w:t xml:space="preserve">но </w:t>
            </w:r>
            <w:r w:rsidR="002E0B21" w:rsidRPr="00487209">
              <w:rPr>
                <w:rFonts w:ascii="Times New Roman" w:hAnsi="Times New Roman" w:cs="Times New Roman"/>
                <w:sz w:val="18"/>
                <w:szCs w:val="18"/>
                <w:lang w:val="sr-Cyrl-CS"/>
              </w:rPr>
              <w:t>пренет</w:t>
            </w:r>
            <w:r w:rsidR="00FE744D">
              <w:rPr>
                <w:rFonts w:ascii="Times New Roman" w:hAnsi="Times New Roman" w:cs="Times New Roman"/>
                <w:sz w:val="18"/>
                <w:szCs w:val="18"/>
                <w:lang w:val="sr-Cyrl-CS"/>
              </w:rPr>
              <w:t xml:space="preserve"> </w:t>
            </w:r>
            <w:r>
              <w:rPr>
                <w:rFonts w:ascii="Times New Roman" w:hAnsi="Times New Roman" w:cs="Times New Roman"/>
                <w:sz w:val="18"/>
                <w:szCs w:val="18"/>
                <w:lang w:val="sr-Cyrl-CS"/>
              </w:rPr>
              <w:t xml:space="preserve"> члан</w:t>
            </w:r>
            <w:r w:rsidR="00C53D32" w:rsidRPr="00487209">
              <w:rPr>
                <w:rFonts w:ascii="Times New Roman" w:hAnsi="Times New Roman" w:cs="Times New Roman"/>
                <w:sz w:val="18"/>
                <w:szCs w:val="18"/>
                <w:lang w:val="sr-Cyrl-CS"/>
              </w:rPr>
              <w:t xml:space="preserve"> 8. </w:t>
            </w:r>
            <w:r w:rsidR="004F33F6" w:rsidRPr="00487209">
              <w:rPr>
                <w:rFonts w:ascii="Times New Roman" w:hAnsi="Times New Roman" w:cs="Times New Roman"/>
                <w:sz w:val="18"/>
                <w:szCs w:val="18"/>
                <w:lang w:val="sr-Cyrl-CS"/>
              </w:rPr>
              <w:t>ст</w:t>
            </w:r>
            <w:r>
              <w:rPr>
                <w:rFonts w:ascii="Times New Roman" w:hAnsi="Times New Roman" w:cs="Times New Roman"/>
                <w:sz w:val="18"/>
                <w:szCs w:val="18"/>
                <w:lang w:val="sr-Cyrl-CS"/>
              </w:rPr>
              <w:t>ав</w:t>
            </w:r>
            <w:r w:rsidR="004F33F6" w:rsidRPr="00487209">
              <w:rPr>
                <w:rFonts w:ascii="Times New Roman" w:hAnsi="Times New Roman" w:cs="Times New Roman"/>
                <w:sz w:val="18"/>
                <w:szCs w:val="18"/>
                <w:lang w:val="sr-Cyrl-CS"/>
              </w:rPr>
              <w:t xml:space="preserve"> 2 </w:t>
            </w:r>
            <w:r w:rsidR="00C53D32" w:rsidRPr="00487209">
              <w:rPr>
                <w:rFonts w:ascii="Times New Roman" w:hAnsi="Times New Roman" w:cs="Times New Roman"/>
                <w:sz w:val="18"/>
                <w:szCs w:val="18"/>
                <w:lang w:val="sr-Cyrl-CS"/>
              </w:rPr>
              <w:t>т</w:t>
            </w:r>
            <w:r w:rsidR="004F33F6" w:rsidRPr="00487209">
              <w:rPr>
                <w:rFonts w:ascii="Times New Roman" w:hAnsi="Times New Roman" w:cs="Times New Roman"/>
                <w:sz w:val="18"/>
                <w:szCs w:val="18"/>
                <w:lang w:val="sr-Cyrl-CS"/>
              </w:rPr>
              <w:t>ач</w:t>
            </w:r>
            <w:r>
              <w:rPr>
                <w:rFonts w:ascii="Times New Roman" w:hAnsi="Times New Roman" w:cs="Times New Roman"/>
                <w:sz w:val="18"/>
                <w:szCs w:val="18"/>
                <w:lang w:val="sr-Cyrl-CS"/>
              </w:rPr>
              <w:t>ка</w:t>
            </w:r>
            <w:r w:rsidR="00C53D32" w:rsidRPr="00487209">
              <w:rPr>
                <w:rFonts w:ascii="Times New Roman" w:hAnsi="Times New Roman" w:cs="Times New Roman"/>
                <w:sz w:val="18"/>
                <w:szCs w:val="18"/>
                <w:lang w:val="sr-Cyrl-CS"/>
              </w:rPr>
              <w:t xml:space="preserve"> 3)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030F92" w:rsidRPr="00487209">
              <w:rPr>
                <w:rFonts w:ascii="Times New Roman" w:hAnsi="Times New Roman" w:cs="Times New Roman"/>
                <w:sz w:val="18"/>
                <w:szCs w:val="18"/>
                <w:lang w:val="sr-Cyrl-CS"/>
              </w:rPr>
              <w:t xml:space="preserve">, </w:t>
            </w:r>
            <w:r w:rsidR="00C53D32" w:rsidRPr="00487209">
              <w:rPr>
                <w:rFonts w:ascii="Times New Roman" w:hAnsi="Times New Roman" w:cs="Times New Roman"/>
                <w:sz w:val="18"/>
                <w:szCs w:val="18"/>
                <w:lang w:val="sr-Cyrl-CS"/>
              </w:rPr>
              <w:t xml:space="preserve"> </w:t>
            </w:r>
            <w:r w:rsidR="00030F92" w:rsidRPr="00487209">
              <w:rPr>
                <w:rFonts w:ascii="Times New Roman" w:hAnsi="Times New Roman" w:cs="Times New Roman"/>
                <w:sz w:val="18"/>
                <w:szCs w:val="18"/>
                <w:lang w:val="sr-Cyrl-CS"/>
              </w:rPr>
              <w:t>уз напомену да је њоме поред хармонизоване обухваћена и нехармонизована област грађевинских производа.</w:t>
            </w:r>
          </w:p>
        </w:tc>
        <w:tc>
          <w:tcPr>
            <w:tcW w:w="480" w:type="pct"/>
            <w:shd w:val="clear" w:color="auto" w:fill="auto"/>
            <w:vAlign w:val="center"/>
          </w:tcPr>
          <w:p w14:paraId="158D9F72"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184DE496" w14:textId="77777777" w:rsidTr="007D5144">
        <w:trPr>
          <w:trHeight w:val="1970"/>
          <w:jc w:val="center"/>
        </w:trPr>
        <w:tc>
          <w:tcPr>
            <w:tcW w:w="435" w:type="pct"/>
            <w:shd w:val="clear" w:color="auto" w:fill="auto"/>
            <w:vAlign w:val="center"/>
          </w:tcPr>
          <w:p w14:paraId="7D92EC7F" w14:textId="77777777" w:rsidR="00425B2E" w:rsidRPr="00487209" w:rsidRDefault="00A93357"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6.2.(</w:t>
            </w:r>
            <w:r w:rsidRPr="00487209">
              <w:rPr>
                <w:rFonts w:ascii="Times New Roman" w:hAnsi="Times New Roman" w:cs="Times New Roman"/>
                <w:sz w:val="18"/>
                <w:szCs w:val="18"/>
              </w:rPr>
              <w:t>d</w:t>
            </w:r>
            <w:r w:rsidRPr="00487209">
              <w:rPr>
                <w:rFonts w:ascii="Times New Roman" w:hAnsi="Times New Roman" w:cs="Times New Roman"/>
                <w:sz w:val="18"/>
                <w:szCs w:val="18"/>
                <w:lang w:val="ru-RU"/>
              </w:rPr>
              <w:t>)</w:t>
            </w:r>
          </w:p>
        </w:tc>
        <w:tc>
          <w:tcPr>
            <w:tcW w:w="1369" w:type="pct"/>
            <w:gridSpan w:val="2"/>
            <w:shd w:val="clear" w:color="auto" w:fill="auto"/>
            <w:vAlign w:val="center"/>
          </w:tcPr>
          <w:p w14:paraId="0887B25C" w14:textId="77777777" w:rsidR="00425B2E" w:rsidRPr="00487209" w:rsidRDefault="00A93357" w:rsidP="006C6323">
            <w:pPr>
              <w:jc w:val="both"/>
              <w:rPr>
                <w:rFonts w:ascii="Times New Roman" w:hAnsi="Times New Roman" w:cs="Times New Roman"/>
                <w:sz w:val="18"/>
                <w:szCs w:val="18"/>
              </w:rPr>
            </w:pPr>
            <w:r w:rsidRPr="00487209">
              <w:rPr>
                <w:rFonts w:ascii="Times New Roman" w:hAnsi="Times New Roman" w:cs="Times New Roman"/>
                <w:sz w:val="18"/>
                <w:szCs w:val="18"/>
              </w:rPr>
              <w:t>where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applicable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reference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number</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of</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Specific</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Technical Documentation used and the requirements with which the manufacturer claims the product complies.</w:t>
            </w:r>
          </w:p>
        </w:tc>
        <w:tc>
          <w:tcPr>
            <w:tcW w:w="429" w:type="pct"/>
            <w:shd w:val="clear" w:color="auto" w:fill="auto"/>
            <w:vAlign w:val="center"/>
          </w:tcPr>
          <w:p w14:paraId="0C3AF256"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124A8A4C" w14:textId="77777777" w:rsidR="00425B2E" w:rsidRPr="00487209" w:rsidRDefault="00FA2A17"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8.2.4)</w:t>
            </w:r>
          </w:p>
        </w:tc>
        <w:tc>
          <w:tcPr>
            <w:tcW w:w="1231" w:type="pct"/>
            <w:gridSpan w:val="2"/>
            <w:shd w:val="clear" w:color="auto" w:fill="auto"/>
            <w:vAlign w:val="center"/>
          </w:tcPr>
          <w:p w14:paraId="50A84286" w14:textId="77777777" w:rsidR="00104332" w:rsidRPr="00487209" w:rsidRDefault="00104332" w:rsidP="006C6323">
            <w:pPr>
              <w:pStyle w:val="Style7"/>
              <w:spacing w:before="240" w:after="0" w:line="240" w:lineRule="auto"/>
              <w:ind w:right="-23"/>
              <w:jc w:val="both"/>
              <w:outlineLvl w:val="3"/>
              <w:rPr>
                <w:b/>
                <w:bCs/>
                <w:sz w:val="18"/>
                <w:szCs w:val="18"/>
              </w:rPr>
            </w:pPr>
            <w:r w:rsidRPr="00487209">
              <w:rPr>
                <w:sz w:val="18"/>
                <w:szCs w:val="18"/>
              </w:rPr>
              <w:t>када је одговарајуће, референтни број коришћене одговарајуће специфичне техничке документације и захтеве са којима је произвођач потврдио да је грађевински производ усаглашен;</w:t>
            </w:r>
          </w:p>
          <w:p w14:paraId="620D025E" w14:textId="77777777" w:rsidR="00425B2E" w:rsidRPr="00487209" w:rsidRDefault="00425B2E" w:rsidP="006C6323">
            <w:pPr>
              <w:jc w:val="both"/>
              <w:rPr>
                <w:rFonts w:ascii="Times New Roman" w:hAnsi="Times New Roman" w:cs="Times New Roman"/>
                <w:sz w:val="18"/>
                <w:szCs w:val="18"/>
                <w:lang w:val="sr-Cyrl-CS"/>
              </w:rPr>
            </w:pPr>
          </w:p>
        </w:tc>
        <w:tc>
          <w:tcPr>
            <w:tcW w:w="458" w:type="pct"/>
            <w:shd w:val="clear" w:color="auto" w:fill="auto"/>
            <w:vAlign w:val="center"/>
          </w:tcPr>
          <w:p w14:paraId="2820BB5F" w14:textId="77777777" w:rsidR="00425B2E" w:rsidRPr="00487209" w:rsidRDefault="00FA2A17"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0AC10295" w14:textId="77777777" w:rsidR="00425B2E" w:rsidRPr="00487209" w:rsidRDefault="00425B2E"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298CC427" w14:textId="77777777" w:rsidR="00425B2E" w:rsidRPr="00487209" w:rsidRDefault="00425B2E" w:rsidP="006C6323">
            <w:pPr>
              <w:spacing w:before="120" w:after="120"/>
              <w:jc w:val="center"/>
              <w:rPr>
                <w:rFonts w:ascii="Times New Roman" w:hAnsi="Times New Roman" w:cs="Times New Roman"/>
                <w:sz w:val="18"/>
                <w:szCs w:val="18"/>
                <w:lang w:val="ru-RU"/>
              </w:rPr>
            </w:pPr>
          </w:p>
        </w:tc>
      </w:tr>
      <w:tr w:rsidR="00337554" w:rsidRPr="00487209" w14:paraId="559FDE42" w14:textId="77777777" w:rsidTr="007D5144">
        <w:trPr>
          <w:trHeight w:val="688"/>
          <w:jc w:val="center"/>
        </w:trPr>
        <w:tc>
          <w:tcPr>
            <w:tcW w:w="435" w:type="pct"/>
            <w:shd w:val="clear" w:color="auto" w:fill="auto"/>
            <w:vAlign w:val="center"/>
          </w:tcPr>
          <w:p w14:paraId="7F470EDA" w14:textId="77777777" w:rsidR="00A93357" w:rsidRPr="00487209" w:rsidRDefault="00A93357"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6.3.(a)</w:t>
            </w:r>
          </w:p>
        </w:tc>
        <w:tc>
          <w:tcPr>
            <w:tcW w:w="1369" w:type="pct"/>
            <w:gridSpan w:val="2"/>
            <w:shd w:val="clear" w:color="auto" w:fill="auto"/>
            <w:vAlign w:val="center"/>
          </w:tcPr>
          <w:p w14:paraId="6411C285" w14:textId="77777777" w:rsidR="00A93357" w:rsidRPr="00487209" w:rsidRDefault="00A93357"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declaration of performance shall in addition contain:</w:t>
            </w:r>
          </w:p>
          <w:p w14:paraId="186055F0" w14:textId="77777777" w:rsidR="00A93357" w:rsidRPr="00487209" w:rsidRDefault="00A93357"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the intended use or uses for the construction product, in accordance with the applicable harmonised technical specification;</w:t>
            </w:r>
          </w:p>
          <w:p w14:paraId="42CDA810" w14:textId="77777777" w:rsidR="00A93357" w:rsidRPr="00487209" w:rsidRDefault="00A93357" w:rsidP="006C6323">
            <w:pPr>
              <w:jc w:val="both"/>
              <w:rPr>
                <w:rFonts w:ascii="Times New Roman" w:hAnsi="Times New Roman" w:cs="Times New Roman"/>
                <w:sz w:val="18"/>
                <w:szCs w:val="18"/>
                <w:lang w:val="sr-Cyrl-CS"/>
              </w:rPr>
            </w:pPr>
          </w:p>
        </w:tc>
        <w:tc>
          <w:tcPr>
            <w:tcW w:w="429" w:type="pct"/>
            <w:shd w:val="clear" w:color="auto" w:fill="auto"/>
            <w:vAlign w:val="center"/>
          </w:tcPr>
          <w:p w14:paraId="4C6F79D3"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01</w:t>
            </w:r>
          </w:p>
          <w:p w14:paraId="51687BE9" w14:textId="01A588FD" w:rsidR="00A93357" w:rsidRPr="00487209" w:rsidRDefault="005A7D7B" w:rsidP="004208D5">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8.</w:t>
            </w:r>
            <w:r w:rsidR="004208D5" w:rsidRPr="00487209">
              <w:rPr>
                <w:rFonts w:ascii="Times New Roman" w:hAnsi="Times New Roman" w:cs="Times New Roman"/>
                <w:sz w:val="18"/>
                <w:szCs w:val="18"/>
              </w:rPr>
              <w:t>2</w:t>
            </w:r>
            <w:r w:rsidRPr="00487209">
              <w:rPr>
                <w:rFonts w:ascii="Times New Roman" w:hAnsi="Times New Roman" w:cs="Times New Roman"/>
                <w:sz w:val="18"/>
                <w:szCs w:val="18"/>
                <w:lang w:val="ru-RU"/>
              </w:rPr>
              <w:t>.</w:t>
            </w:r>
            <w:r w:rsidR="004208D5" w:rsidRPr="00487209">
              <w:rPr>
                <w:rFonts w:ascii="Times New Roman" w:hAnsi="Times New Roman" w:cs="Times New Roman"/>
                <w:sz w:val="18"/>
                <w:szCs w:val="18"/>
              </w:rPr>
              <w:t>5</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67B39356" w14:textId="77777777" w:rsidR="005A7D7B" w:rsidRPr="00487209" w:rsidRDefault="005A7D7B" w:rsidP="004208D5">
            <w:pPr>
              <w:pStyle w:val="Style7"/>
              <w:spacing w:before="240" w:after="0" w:line="240" w:lineRule="auto"/>
              <w:ind w:right="-23"/>
              <w:jc w:val="both"/>
              <w:outlineLvl w:val="3"/>
              <w:rPr>
                <w:b/>
                <w:bCs/>
                <w:sz w:val="18"/>
                <w:szCs w:val="18"/>
              </w:rPr>
            </w:pPr>
            <w:r w:rsidRPr="00487209">
              <w:rPr>
                <w:sz w:val="18"/>
                <w:szCs w:val="18"/>
              </w:rPr>
              <w:t xml:space="preserve">предвиђену употребу или употребе грађевинског производа у складу са одговарајућом српском техничком спецификацијом или техничким </w:t>
            </w:r>
            <w:r w:rsidRPr="00487209">
              <w:rPr>
                <w:sz w:val="18"/>
                <w:szCs w:val="18"/>
              </w:rPr>
              <w:lastRenderedPageBreak/>
              <w:t>прописом;</w:t>
            </w:r>
          </w:p>
          <w:p w14:paraId="6F2826ED" w14:textId="77777777" w:rsidR="00A93357" w:rsidRPr="00487209" w:rsidRDefault="00A93357" w:rsidP="006C6323">
            <w:pPr>
              <w:jc w:val="both"/>
              <w:rPr>
                <w:rFonts w:ascii="Times New Roman" w:hAnsi="Times New Roman" w:cs="Times New Roman"/>
                <w:sz w:val="18"/>
                <w:szCs w:val="18"/>
                <w:lang w:val="sr-Cyrl-CS"/>
              </w:rPr>
            </w:pPr>
          </w:p>
        </w:tc>
        <w:tc>
          <w:tcPr>
            <w:tcW w:w="458" w:type="pct"/>
            <w:shd w:val="clear" w:color="auto" w:fill="auto"/>
            <w:vAlign w:val="center"/>
          </w:tcPr>
          <w:p w14:paraId="726A4662" w14:textId="77777777" w:rsidR="00A93357" w:rsidRPr="00487209" w:rsidRDefault="00243B16"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П</w:t>
            </w:r>
            <w:r w:rsidR="005A7D7B" w:rsidRPr="00487209">
              <w:rPr>
                <w:rFonts w:ascii="Times New Roman" w:hAnsi="Times New Roman" w:cs="Times New Roman"/>
                <w:sz w:val="18"/>
                <w:szCs w:val="18"/>
                <w:lang w:val="sr-Cyrl-CS"/>
              </w:rPr>
              <w:t>У</w:t>
            </w:r>
          </w:p>
        </w:tc>
        <w:tc>
          <w:tcPr>
            <w:tcW w:w="598" w:type="pct"/>
            <w:gridSpan w:val="2"/>
            <w:shd w:val="clear" w:color="auto" w:fill="auto"/>
            <w:vAlign w:val="center"/>
          </w:tcPr>
          <w:p w14:paraId="07A10ED0" w14:textId="65760357" w:rsidR="00731289" w:rsidRPr="00487209" w:rsidRDefault="00FE744D" w:rsidP="004758F8">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0C23B2" w:rsidRPr="00487209">
              <w:rPr>
                <w:rFonts w:ascii="Times New Roman" w:hAnsi="Times New Roman" w:cs="Times New Roman"/>
                <w:sz w:val="18"/>
                <w:szCs w:val="18"/>
                <w:lang w:val="ru-RU"/>
              </w:rPr>
              <w:t xml:space="preserve"> 6.3.(</w:t>
            </w:r>
            <w:r w:rsidR="000C23B2" w:rsidRPr="00487209">
              <w:rPr>
                <w:rFonts w:ascii="Times New Roman" w:hAnsi="Times New Roman" w:cs="Times New Roman"/>
                <w:sz w:val="18"/>
                <w:szCs w:val="18"/>
                <w:lang w:val="sr-Cyrl-CS"/>
              </w:rPr>
              <w:t>а</w:t>
            </w:r>
            <w:r w:rsidR="000C23B2" w:rsidRPr="00487209">
              <w:rPr>
                <w:rFonts w:ascii="Times New Roman" w:hAnsi="Times New Roman" w:cs="Times New Roman"/>
                <w:sz w:val="18"/>
                <w:szCs w:val="18"/>
                <w:lang w:val="ru-RU"/>
              </w:rPr>
              <w:t xml:space="preserve">) </w:t>
            </w:r>
            <w:r w:rsidR="000C23B2" w:rsidRPr="00487209">
              <w:rPr>
                <w:rFonts w:ascii="Times New Roman" w:hAnsi="Times New Roman" w:cs="Times New Roman"/>
                <w:sz w:val="18"/>
                <w:szCs w:val="18"/>
                <w:lang w:val="sr-Cyrl-CS"/>
              </w:rPr>
              <w:t xml:space="preserve">Уредбе 305/2011 (ЕУ) је </w:t>
            </w:r>
            <w:r w:rsidR="00243B16" w:rsidRPr="00487209">
              <w:rPr>
                <w:rFonts w:ascii="Times New Roman" w:hAnsi="Times New Roman" w:cs="Times New Roman"/>
                <w:sz w:val="18"/>
                <w:szCs w:val="18"/>
                <w:lang w:val="sr-Cyrl-CS"/>
              </w:rPr>
              <w:t>потпу</w:t>
            </w:r>
            <w:r>
              <w:rPr>
                <w:rFonts w:ascii="Times New Roman" w:hAnsi="Times New Roman" w:cs="Times New Roman"/>
                <w:sz w:val="18"/>
                <w:szCs w:val="18"/>
                <w:lang w:val="sr-Cyrl-CS"/>
              </w:rPr>
              <w:t xml:space="preserve">но пренет члан  8. </w:t>
            </w:r>
            <w:r>
              <w:rPr>
                <w:rFonts w:ascii="Times New Roman" w:hAnsi="Times New Roman" w:cs="Times New Roman"/>
                <w:sz w:val="18"/>
                <w:szCs w:val="18"/>
                <w:lang w:val="sr-Cyrl-CS"/>
              </w:rPr>
              <w:lastRenderedPageBreak/>
              <w:t>став</w:t>
            </w:r>
            <w:r w:rsidR="000C23B2" w:rsidRPr="00487209">
              <w:rPr>
                <w:rFonts w:ascii="Times New Roman" w:hAnsi="Times New Roman" w:cs="Times New Roman"/>
                <w:sz w:val="18"/>
                <w:szCs w:val="18"/>
                <w:lang w:val="sr-Cyrl-CS"/>
              </w:rPr>
              <w:t xml:space="preserve"> </w:t>
            </w:r>
            <w:r w:rsidR="004758F8" w:rsidRPr="00487209">
              <w:rPr>
                <w:rFonts w:ascii="Times New Roman" w:hAnsi="Times New Roman" w:cs="Times New Roman"/>
                <w:sz w:val="18"/>
                <w:szCs w:val="18"/>
              </w:rPr>
              <w:t xml:space="preserve">2 </w:t>
            </w:r>
            <w:r>
              <w:rPr>
                <w:rFonts w:ascii="Times New Roman" w:hAnsi="Times New Roman" w:cs="Times New Roman"/>
                <w:sz w:val="18"/>
                <w:szCs w:val="18"/>
                <w:lang w:val="sr-Cyrl-CS"/>
              </w:rPr>
              <w:t xml:space="preserve"> тачка</w:t>
            </w:r>
            <w:r w:rsidR="000C23B2" w:rsidRPr="00487209">
              <w:rPr>
                <w:rFonts w:ascii="Times New Roman" w:hAnsi="Times New Roman" w:cs="Times New Roman"/>
                <w:sz w:val="18"/>
                <w:szCs w:val="18"/>
                <w:lang w:val="sr-Cyrl-CS"/>
              </w:rPr>
              <w:t xml:space="preserve"> </w:t>
            </w:r>
            <w:r w:rsidR="004758F8" w:rsidRPr="00487209">
              <w:rPr>
                <w:rFonts w:ascii="Times New Roman" w:hAnsi="Times New Roman" w:cs="Times New Roman"/>
                <w:sz w:val="18"/>
                <w:szCs w:val="18"/>
              </w:rPr>
              <w:t>5</w:t>
            </w:r>
            <w:r w:rsidR="000C23B2"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243B16" w:rsidRPr="00487209">
              <w:rPr>
                <w:rFonts w:ascii="Times New Roman" w:hAnsi="Times New Roman" w:cs="Times New Roman"/>
                <w:sz w:val="18"/>
                <w:szCs w:val="18"/>
                <w:lang w:val="sr-Cyrl-CS"/>
              </w:rPr>
              <w:t>, уз напомену да је њоме поред хармонизоване обухваћена и нехармонизована област грађевинских производа.</w:t>
            </w:r>
          </w:p>
        </w:tc>
        <w:tc>
          <w:tcPr>
            <w:tcW w:w="480" w:type="pct"/>
            <w:shd w:val="clear" w:color="auto" w:fill="auto"/>
            <w:vAlign w:val="center"/>
          </w:tcPr>
          <w:p w14:paraId="48C200A7" w14:textId="77777777" w:rsidR="00A93357" w:rsidRPr="00487209" w:rsidRDefault="00A93357" w:rsidP="006C6323">
            <w:pPr>
              <w:spacing w:before="120" w:after="120"/>
              <w:jc w:val="center"/>
              <w:rPr>
                <w:rFonts w:ascii="Times New Roman" w:hAnsi="Times New Roman" w:cs="Times New Roman"/>
                <w:sz w:val="18"/>
                <w:szCs w:val="18"/>
                <w:lang w:val="sr-Cyrl-CS"/>
              </w:rPr>
            </w:pPr>
          </w:p>
        </w:tc>
      </w:tr>
      <w:tr w:rsidR="00337554" w:rsidRPr="00487209" w14:paraId="46F3B3EC" w14:textId="77777777" w:rsidTr="007D5144">
        <w:trPr>
          <w:trHeight w:val="1970"/>
          <w:jc w:val="center"/>
        </w:trPr>
        <w:tc>
          <w:tcPr>
            <w:tcW w:w="435" w:type="pct"/>
            <w:shd w:val="clear" w:color="auto" w:fill="auto"/>
            <w:vAlign w:val="center"/>
          </w:tcPr>
          <w:p w14:paraId="711E70C7" w14:textId="77777777" w:rsidR="00A93357" w:rsidRPr="00487209" w:rsidRDefault="00A93357"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6.3.(b)</w:t>
            </w:r>
          </w:p>
        </w:tc>
        <w:tc>
          <w:tcPr>
            <w:tcW w:w="1369" w:type="pct"/>
            <w:gridSpan w:val="2"/>
            <w:shd w:val="clear" w:color="auto" w:fill="auto"/>
            <w:vAlign w:val="center"/>
          </w:tcPr>
          <w:p w14:paraId="37D9643A" w14:textId="77777777" w:rsidR="00A93357" w:rsidRPr="00487209" w:rsidRDefault="00A93357" w:rsidP="006C6323">
            <w:pPr>
              <w:jc w:val="both"/>
              <w:rPr>
                <w:rFonts w:ascii="Times New Roman" w:hAnsi="Times New Roman" w:cs="Times New Roman"/>
                <w:sz w:val="18"/>
                <w:szCs w:val="18"/>
              </w:rPr>
            </w:pPr>
            <w:r w:rsidRPr="00487209">
              <w:rPr>
                <w:rFonts w:ascii="Times New Roman" w:hAnsi="Times New Roman" w:cs="Times New Roman"/>
                <w:sz w:val="18"/>
                <w:szCs w:val="18"/>
              </w:rPr>
              <w:t>the list of essential characteristics, as determined in the harmonised technical specification for the declared intended use or uses;</w:t>
            </w:r>
          </w:p>
        </w:tc>
        <w:tc>
          <w:tcPr>
            <w:tcW w:w="429" w:type="pct"/>
            <w:shd w:val="clear" w:color="auto" w:fill="auto"/>
            <w:vAlign w:val="center"/>
          </w:tcPr>
          <w:p w14:paraId="6BA17069"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159889A2" w14:textId="32A01BE6" w:rsidR="00A93357" w:rsidRPr="00487209" w:rsidRDefault="00FB3438" w:rsidP="004208D5">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8.</w:t>
            </w:r>
            <w:r w:rsidR="004208D5" w:rsidRPr="00487209">
              <w:rPr>
                <w:rFonts w:ascii="Times New Roman" w:hAnsi="Times New Roman" w:cs="Times New Roman"/>
                <w:sz w:val="18"/>
                <w:szCs w:val="18"/>
              </w:rPr>
              <w:t>2</w:t>
            </w:r>
            <w:r w:rsidRPr="00487209">
              <w:rPr>
                <w:rFonts w:ascii="Times New Roman" w:hAnsi="Times New Roman" w:cs="Times New Roman"/>
                <w:sz w:val="18"/>
                <w:szCs w:val="18"/>
                <w:lang w:val="ru-RU"/>
              </w:rPr>
              <w:t>.</w:t>
            </w:r>
            <w:r w:rsidR="004208D5" w:rsidRPr="00487209">
              <w:rPr>
                <w:rFonts w:ascii="Times New Roman" w:hAnsi="Times New Roman" w:cs="Times New Roman"/>
                <w:sz w:val="18"/>
                <w:szCs w:val="18"/>
              </w:rPr>
              <w:t>6</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17E4D80E" w14:textId="77777777" w:rsidR="00BF6F6C" w:rsidRPr="00487209" w:rsidRDefault="00BF6F6C" w:rsidP="006C6323">
            <w:pPr>
              <w:pStyle w:val="Style7"/>
              <w:spacing w:before="240" w:after="0" w:line="240" w:lineRule="auto"/>
              <w:ind w:right="-23"/>
              <w:jc w:val="both"/>
              <w:outlineLvl w:val="3"/>
              <w:rPr>
                <w:b/>
                <w:bCs/>
                <w:sz w:val="18"/>
                <w:szCs w:val="18"/>
              </w:rPr>
            </w:pPr>
            <w:r w:rsidRPr="00487209">
              <w:rPr>
                <w:sz w:val="18"/>
                <w:szCs w:val="18"/>
              </w:rPr>
              <w:t>списак битних карактеристика грађевинског производа, како је утврђено одговарајућом српском техничком спецификацијом или техничким прописом за наведену предвиђену употребу или употребе;</w:t>
            </w:r>
          </w:p>
          <w:p w14:paraId="41416083" w14:textId="77777777" w:rsidR="00A93357" w:rsidRPr="00487209" w:rsidRDefault="00A93357" w:rsidP="006C6323">
            <w:pPr>
              <w:jc w:val="center"/>
              <w:rPr>
                <w:rFonts w:ascii="Times New Roman" w:hAnsi="Times New Roman" w:cs="Times New Roman"/>
                <w:sz w:val="18"/>
                <w:szCs w:val="18"/>
                <w:lang w:val="sr-Cyrl-CS"/>
              </w:rPr>
            </w:pPr>
          </w:p>
        </w:tc>
        <w:tc>
          <w:tcPr>
            <w:tcW w:w="458" w:type="pct"/>
            <w:shd w:val="clear" w:color="auto" w:fill="auto"/>
            <w:vAlign w:val="center"/>
          </w:tcPr>
          <w:p w14:paraId="042049C0" w14:textId="77777777" w:rsidR="00A93357" w:rsidRPr="00487209" w:rsidRDefault="00243B16"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2B8D04E6" w14:textId="1163E282" w:rsidR="00731289" w:rsidRPr="00487209" w:rsidRDefault="00FE744D" w:rsidP="004758F8">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E67054" w:rsidRPr="00487209">
              <w:rPr>
                <w:rFonts w:ascii="Times New Roman" w:hAnsi="Times New Roman" w:cs="Times New Roman"/>
                <w:sz w:val="18"/>
                <w:szCs w:val="18"/>
                <w:lang w:val="ru-RU"/>
              </w:rPr>
              <w:t xml:space="preserve"> 6.3.(</w:t>
            </w:r>
            <w:r w:rsidR="00E67054" w:rsidRPr="00487209">
              <w:rPr>
                <w:rFonts w:ascii="Times New Roman" w:hAnsi="Times New Roman" w:cs="Times New Roman"/>
                <w:sz w:val="18"/>
                <w:szCs w:val="18"/>
              </w:rPr>
              <w:t>b</w:t>
            </w:r>
            <w:r w:rsidR="00E67054" w:rsidRPr="00487209">
              <w:rPr>
                <w:rFonts w:ascii="Times New Roman" w:hAnsi="Times New Roman" w:cs="Times New Roman"/>
                <w:sz w:val="18"/>
                <w:szCs w:val="18"/>
                <w:lang w:val="ru-RU"/>
              </w:rPr>
              <w:t xml:space="preserve">) </w:t>
            </w:r>
            <w:r w:rsidR="00E67054" w:rsidRPr="00487209">
              <w:rPr>
                <w:rFonts w:ascii="Times New Roman" w:hAnsi="Times New Roman" w:cs="Times New Roman"/>
                <w:sz w:val="18"/>
                <w:szCs w:val="18"/>
                <w:lang w:val="sr-Cyrl-CS"/>
              </w:rPr>
              <w:t xml:space="preserve">Уредбе 305/2011 (ЕУ) је </w:t>
            </w:r>
            <w:r w:rsidR="00243B16" w:rsidRPr="00487209">
              <w:rPr>
                <w:rFonts w:ascii="Times New Roman" w:hAnsi="Times New Roman" w:cs="Times New Roman"/>
                <w:sz w:val="18"/>
                <w:szCs w:val="18"/>
                <w:lang w:val="sr-Cyrl-CS"/>
              </w:rPr>
              <w:t xml:space="preserve">потпуно </w:t>
            </w:r>
            <w:r>
              <w:rPr>
                <w:rFonts w:ascii="Times New Roman" w:hAnsi="Times New Roman" w:cs="Times New Roman"/>
                <w:sz w:val="18"/>
                <w:szCs w:val="18"/>
                <w:lang w:val="sr-Cyrl-CS"/>
              </w:rPr>
              <w:t>пренет члан  8. став</w:t>
            </w:r>
            <w:r w:rsidR="00E67054" w:rsidRPr="00487209">
              <w:rPr>
                <w:rFonts w:ascii="Times New Roman" w:hAnsi="Times New Roman" w:cs="Times New Roman"/>
                <w:sz w:val="18"/>
                <w:szCs w:val="18"/>
                <w:lang w:val="sr-Cyrl-CS"/>
              </w:rPr>
              <w:t xml:space="preserve"> </w:t>
            </w:r>
            <w:r w:rsidR="004758F8" w:rsidRPr="00487209">
              <w:rPr>
                <w:rFonts w:ascii="Times New Roman" w:hAnsi="Times New Roman" w:cs="Times New Roman"/>
                <w:sz w:val="18"/>
                <w:szCs w:val="18"/>
              </w:rPr>
              <w:t>2</w:t>
            </w:r>
            <w:r>
              <w:rPr>
                <w:rFonts w:ascii="Times New Roman" w:hAnsi="Times New Roman" w:cs="Times New Roman"/>
                <w:sz w:val="18"/>
                <w:szCs w:val="18"/>
                <w:lang w:val="sr-Cyrl-CS"/>
              </w:rPr>
              <w:t xml:space="preserve"> тачка</w:t>
            </w:r>
            <w:r w:rsidR="00E67054" w:rsidRPr="00487209">
              <w:rPr>
                <w:rFonts w:ascii="Times New Roman" w:hAnsi="Times New Roman" w:cs="Times New Roman"/>
                <w:sz w:val="18"/>
                <w:szCs w:val="18"/>
                <w:lang w:val="sr-Cyrl-CS"/>
              </w:rPr>
              <w:t xml:space="preserve"> </w:t>
            </w:r>
            <w:r w:rsidR="004758F8" w:rsidRPr="00487209">
              <w:rPr>
                <w:rFonts w:ascii="Times New Roman" w:hAnsi="Times New Roman" w:cs="Times New Roman"/>
                <w:sz w:val="18"/>
                <w:szCs w:val="18"/>
              </w:rPr>
              <w:t>6</w:t>
            </w:r>
            <w:r w:rsidR="00E67054"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243B16" w:rsidRPr="00487209">
              <w:rPr>
                <w:rFonts w:ascii="Times New Roman" w:hAnsi="Times New Roman" w:cs="Times New Roman"/>
                <w:sz w:val="18"/>
                <w:szCs w:val="18"/>
                <w:lang w:val="sr-Cyrl-CS"/>
              </w:rPr>
              <w:t xml:space="preserve">, </w:t>
            </w:r>
            <w:r w:rsidR="00E67054" w:rsidRPr="00487209">
              <w:rPr>
                <w:rFonts w:ascii="Times New Roman" w:hAnsi="Times New Roman" w:cs="Times New Roman"/>
                <w:sz w:val="18"/>
                <w:szCs w:val="18"/>
                <w:lang w:val="sr-Cyrl-CS"/>
              </w:rPr>
              <w:t xml:space="preserve"> </w:t>
            </w:r>
            <w:r w:rsidR="00243B16" w:rsidRPr="00487209">
              <w:rPr>
                <w:rFonts w:ascii="Times New Roman" w:hAnsi="Times New Roman" w:cs="Times New Roman"/>
                <w:sz w:val="18"/>
                <w:szCs w:val="18"/>
                <w:lang w:val="sr-Cyrl-CS"/>
              </w:rPr>
              <w:t>уз напомену да је њоме поред хармонизоване обухваћена и нехармонизована област грађевинских производа.</w:t>
            </w:r>
          </w:p>
        </w:tc>
        <w:tc>
          <w:tcPr>
            <w:tcW w:w="480" w:type="pct"/>
            <w:shd w:val="clear" w:color="auto" w:fill="auto"/>
            <w:vAlign w:val="center"/>
          </w:tcPr>
          <w:p w14:paraId="5C01AA6B" w14:textId="77777777" w:rsidR="00A93357" w:rsidRPr="00487209" w:rsidRDefault="00A93357" w:rsidP="006C6323">
            <w:pPr>
              <w:spacing w:before="120" w:after="120"/>
              <w:jc w:val="center"/>
              <w:rPr>
                <w:rFonts w:ascii="Times New Roman" w:hAnsi="Times New Roman" w:cs="Times New Roman"/>
                <w:sz w:val="18"/>
                <w:szCs w:val="18"/>
                <w:lang w:val="ru-RU"/>
              </w:rPr>
            </w:pPr>
          </w:p>
        </w:tc>
      </w:tr>
      <w:tr w:rsidR="00337554" w:rsidRPr="00487209" w14:paraId="487EB58B" w14:textId="77777777" w:rsidTr="007D5144">
        <w:trPr>
          <w:trHeight w:val="1970"/>
          <w:jc w:val="center"/>
        </w:trPr>
        <w:tc>
          <w:tcPr>
            <w:tcW w:w="435" w:type="pct"/>
            <w:shd w:val="clear" w:color="auto" w:fill="auto"/>
            <w:vAlign w:val="center"/>
          </w:tcPr>
          <w:p w14:paraId="0E4A318A" w14:textId="77777777" w:rsidR="00A93357" w:rsidRPr="00487209" w:rsidRDefault="00A93357"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6.3.(c)</w:t>
            </w:r>
          </w:p>
        </w:tc>
        <w:tc>
          <w:tcPr>
            <w:tcW w:w="1369" w:type="pct"/>
            <w:gridSpan w:val="2"/>
            <w:shd w:val="clear" w:color="auto" w:fill="auto"/>
            <w:vAlign w:val="center"/>
          </w:tcPr>
          <w:p w14:paraId="4F5B3594" w14:textId="77777777" w:rsidR="00A93357" w:rsidRPr="00487209" w:rsidRDefault="00A93357" w:rsidP="006C6323">
            <w:pPr>
              <w:jc w:val="both"/>
              <w:rPr>
                <w:rFonts w:ascii="Times New Roman" w:hAnsi="Times New Roman" w:cs="Times New Roman"/>
                <w:sz w:val="18"/>
                <w:szCs w:val="18"/>
              </w:rPr>
            </w:pPr>
            <w:r w:rsidRPr="00487209">
              <w:rPr>
                <w:rFonts w:ascii="Times New Roman" w:hAnsi="Times New Roman" w:cs="Times New Roman"/>
                <w:sz w:val="18"/>
                <w:szCs w:val="18"/>
              </w:rPr>
              <w:t>the performance of at least one of the essential characteristics of the construction product, relevant for the declared intended use or uses;</w:t>
            </w:r>
          </w:p>
        </w:tc>
        <w:tc>
          <w:tcPr>
            <w:tcW w:w="429" w:type="pct"/>
            <w:shd w:val="clear" w:color="auto" w:fill="auto"/>
            <w:vAlign w:val="center"/>
          </w:tcPr>
          <w:p w14:paraId="2B626767"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57CDC930" w14:textId="263CC166" w:rsidR="00A93357" w:rsidRPr="00487209" w:rsidRDefault="00E63AEF" w:rsidP="004208D5">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8.</w:t>
            </w:r>
            <w:r w:rsidR="004208D5" w:rsidRPr="00487209">
              <w:rPr>
                <w:rFonts w:ascii="Times New Roman" w:hAnsi="Times New Roman" w:cs="Times New Roman"/>
                <w:sz w:val="18"/>
                <w:szCs w:val="18"/>
              </w:rPr>
              <w:t>2</w:t>
            </w:r>
            <w:r w:rsidRPr="00487209">
              <w:rPr>
                <w:rFonts w:ascii="Times New Roman" w:hAnsi="Times New Roman" w:cs="Times New Roman"/>
                <w:sz w:val="18"/>
                <w:szCs w:val="18"/>
                <w:lang w:val="ru-RU"/>
              </w:rPr>
              <w:t>.</w:t>
            </w:r>
            <w:r w:rsidR="004208D5" w:rsidRPr="00487209">
              <w:rPr>
                <w:rFonts w:ascii="Times New Roman" w:hAnsi="Times New Roman" w:cs="Times New Roman"/>
                <w:sz w:val="18"/>
                <w:szCs w:val="18"/>
              </w:rPr>
              <w:t>7</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0CAC27A8" w14:textId="77777777" w:rsidR="00E63AEF" w:rsidRPr="00487209" w:rsidRDefault="00E63AEF" w:rsidP="006C6323">
            <w:pPr>
              <w:pStyle w:val="Style7"/>
              <w:spacing w:before="240" w:after="0" w:line="240" w:lineRule="auto"/>
              <w:ind w:right="-23"/>
              <w:jc w:val="both"/>
              <w:outlineLvl w:val="3"/>
              <w:rPr>
                <w:b/>
                <w:bCs/>
                <w:sz w:val="18"/>
                <w:szCs w:val="18"/>
              </w:rPr>
            </w:pPr>
            <w:r w:rsidRPr="00487209">
              <w:rPr>
                <w:sz w:val="18"/>
                <w:szCs w:val="18"/>
              </w:rPr>
              <w:t>перформансе бар једне битне карактеристике грађевинског производа која је од значаја за наведену предвиђену употребу или употребе;</w:t>
            </w:r>
          </w:p>
          <w:p w14:paraId="437A1D1E" w14:textId="77777777" w:rsidR="00A93357" w:rsidRPr="00487209" w:rsidRDefault="00A93357" w:rsidP="006C6323">
            <w:pPr>
              <w:jc w:val="both"/>
              <w:rPr>
                <w:rFonts w:ascii="Times New Roman" w:hAnsi="Times New Roman" w:cs="Times New Roman"/>
                <w:sz w:val="18"/>
                <w:szCs w:val="18"/>
                <w:lang w:val="sr-Cyrl-CS"/>
              </w:rPr>
            </w:pPr>
          </w:p>
        </w:tc>
        <w:tc>
          <w:tcPr>
            <w:tcW w:w="458" w:type="pct"/>
            <w:shd w:val="clear" w:color="auto" w:fill="auto"/>
            <w:vAlign w:val="center"/>
          </w:tcPr>
          <w:p w14:paraId="3EBBCD82" w14:textId="77777777" w:rsidR="00A93357" w:rsidRPr="00487209" w:rsidRDefault="00957387"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45C7C440" w14:textId="77777777" w:rsidR="00A93357" w:rsidRPr="00487209" w:rsidRDefault="00A93357"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1BC0A4CB" w14:textId="77777777" w:rsidR="00A93357" w:rsidRPr="00487209" w:rsidRDefault="00A93357" w:rsidP="006C6323">
            <w:pPr>
              <w:spacing w:before="120" w:after="120"/>
              <w:jc w:val="center"/>
              <w:rPr>
                <w:rFonts w:ascii="Times New Roman" w:hAnsi="Times New Roman" w:cs="Times New Roman"/>
                <w:sz w:val="18"/>
                <w:szCs w:val="18"/>
                <w:lang w:val="ru-RU"/>
              </w:rPr>
            </w:pPr>
          </w:p>
        </w:tc>
      </w:tr>
      <w:tr w:rsidR="00337554" w:rsidRPr="00487209" w14:paraId="64373129" w14:textId="77777777" w:rsidTr="007D5144">
        <w:trPr>
          <w:trHeight w:val="488"/>
          <w:jc w:val="center"/>
        </w:trPr>
        <w:tc>
          <w:tcPr>
            <w:tcW w:w="435" w:type="pct"/>
            <w:shd w:val="clear" w:color="auto" w:fill="auto"/>
            <w:vAlign w:val="center"/>
          </w:tcPr>
          <w:p w14:paraId="40077F5F" w14:textId="77777777" w:rsidR="00A93357" w:rsidRPr="00487209" w:rsidRDefault="00A93357"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6.3.(d)</w:t>
            </w:r>
          </w:p>
        </w:tc>
        <w:tc>
          <w:tcPr>
            <w:tcW w:w="1369" w:type="pct"/>
            <w:gridSpan w:val="2"/>
            <w:shd w:val="clear" w:color="auto" w:fill="auto"/>
            <w:vAlign w:val="center"/>
          </w:tcPr>
          <w:p w14:paraId="7AAE2C3C" w14:textId="77777777" w:rsidR="00A93357" w:rsidRPr="00487209" w:rsidRDefault="00A93357" w:rsidP="006C6323">
            <w:pPr>
              <w:jc w:val="both"/>
              <w:rPr>
                <w:rFonts w:ascii="Times New Roman" w:hAnsi="Times New Roman" w:cs="Times New Roman"/>
                <w:sz w:val="18"/>
                <w:szCs w:val="18"/>
              </w:rPr>
            </w:pPr>
            <w:r w:rsidRPr="00487209">
              <w:rPr>
                <w:rFonts w:ascii="Times New Roman" w:hAnsi="Times New Roman" w:cs="Times New Roman"/>
                <w:sz w:val="18"/>
                <w:szCs w:val="18"/>
              </w:rPr>
              <w:t>where applicable, the performance of the construction product, by levels or classes, or in a description, if necessary based on a calculation in relation to its essential characteristics determined in accordance with Article 3(3);</w:t>
            </w:r>
          </w:p>
        </w:tc>
        <w:tc>
          <w:tcPr>
            <w:tcW w:w="429" w:type="pct"/>
            <w:shd w:val="clear" w:color="auto" w:fill="auto"/>
            <w:vAlign w:val="center"/>
          </w:tcPr>
          <w:p w14:paraId="355BE6D7"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72FAA3BE" w14:textId="53671D35" w:rsidR="00A93357" w:rsidRPr="00487209" w:rsidRDefault="00945990" w:rsidP="004208D5">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8.</w:t>
            </w:r>
            <w:r w:rsidR="004208D5" w:rsidRPr="00487209">
              <w:rPr>
                <w:rFonts w:ascii="Times New Roman" w:hAnsi="Times New Roman" w:cs="Times New Roman"/>
                <w:sz w:val="18"/>
                <w:szCs w:val="18"/>
              </w:rPr>
              <w:t>2</w:t>
            </w:r>
            <w:r w:rsidRPr="00487209">
              <w:rPr>
                <w:rFonts w:ascii="Times New Roman" w:hAnsi="Times New Roman" w:cs="Times New Roman"/>
                <w:sz w:val="18"/>
                <w:szCs w:val="18"/>
                <w:lang w:val="ru-RU"/>
              </w:rPr>
              <w:t>.</w:t>
            </w:r>
            <w:r w:rsidR="004208D5" w:rsidRPr="00487209">
              <w:rPr>
                <w:rFonts w:ascii="Times New Roman" w:hAnsi="Times New Roman" w:cs="Times New Roman"/>
                <w:sz w:val="18"/>
                <w:szCs w:val="18"/>
              </w:rPr>
              <w:t>8</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356F3026" w14:textId="77777777" w:rsidR="004208D5" w:rsidRPr="00487209" w:rsidRDefault="004208D5" w:rsidP="004208D5">
            <w:pPr>
              <w:shd w:val="clear" w:color="auto" w:fill="FFFFFF"/>
              <w:tabs>
                <w:tab w:val="left" w:pos="1080"/>
              </w:tabs>
              <w:spacing w:before="120" w:after="120"/>
              <w:ind w:right="-23"/>
              <w:jc w:val="both"/>
              <w:outlineLvl w:val="3"/>
              <w:rPr>
                <w:rFonts w:ascii="Times New Roman" w:eastAsia="Batang" w:hAnsi="Times New Roman" w:cs="Times New Roman"/>
                <w:b/>
                <w:bCs/>
                <w:sz w:val="18"/>
                <w:szCs w:val="18"/>
                <w:lang w:val="sr-Cyrl-CS" w:eastAsia="ko-KR"/>
              </w:rPr>
            </w:pPr>
            <w:r w:rsidRPr="00487209">
              <w:rPr>
                <w:rFonts w:ascii="Times New Roman" w:eastAsia="Batang" w:hAnsi="Times New Roman" w:cs="Times New Roman"/>
                <w:sz w:val="18"/>
                <w:szCs w:val="18"/>
                <w:lang w:val="sr-Cyrl-CS" w:eastAsia="ko-KR"/>
              </w:rPr>
              <w:t>када је то одговарајуће, перформансе грађевинског производа, према нивоима, класама или описно, и ако је потребно, на основу прорачуна у вези са његовим битним карактеристикама утврђеним у складу са чланом 5. став 5.</w:t>
            </w:r>
            <w:r w:rsidRPr="00487209">
              <w:rPr>
                <w:rFonts w:ascii="Times New Roman" w:eastAsia="Batang" w:hAnsi="Times New Roman" w:cs="Times New Roman"/>
                <w:sz w:val="18"/>
                <w:szCs w:val="18"/>
                <w:lang w:val="sr-Latn-CS" w:eastAsia="ko-KR"/>
              </w:rPr>
              <w:t xml:space="preserve"> </w:t>
            </w:r>
            <w:r w:rsidRPr="00487209">
              <w:rPr>
                <w:rFonts w:ascii="Times New Roman" w:eastAsia="Batang" w:hAnsi="Times New Roman" w:cs="Times New Roman"/>
                <w:sz w:val="18"/>
                <w:szCs w:val="18"/>
                <w:lang w:val="sr-Cyrl-CS" w:eastAsia="ko-KR"/>
              </w:rPr>
              <w:t>овог закона;</w:t>
            </w:r>
          </w:p>
          <w:p w14:paraId="1468B6BF" w14:textId="7C99DAE3" w:rsidR="00A93357" w:rsidRPr="00487209" w:rsidRDefault="00A93357" w:rsidP="00BC196E">
            <w:pPr>
              <w:pStyle w:val="Style7"/>
              <w:spacing w:before="240" w:after="0" w:line="240" w:lineRule="auto"/>
              <w:ind w:right="-23"/>
              <w:jc w:val="both"/>
              <w:outlineLvl w:val="3"/>
              <w:rPr>
                <w:sz w:val="18"/>
                <w:szCs w:val="18"/>
                <w:lang w:val="ru-RU"/>
              </w:rPr>
            </w:pPr>
          </w:p>
        </w:tc>
        <w:tc>
          <w:tcPr>
            <w:tcW w:w="458" w:type="pct"/>
            <w:shd w:val="clear" w:color="auto" w:fill="auto"/>
            <w:vAlign w:val="center"/>
          </w:tcPr>
          <w:p w14:paraId="103787A5" w14:textId="77777777" w:rsidR="00A93357" w:rsidRPr="00487209" w:rsidRDefault="003C1545"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Д</w:t>
            </w:r>
            <w:r w:rsidR="00957387" w:rsidRPr="00487209">
              <w:rPr>
                <w:rFonts w:ascii="Times New Roman" w:hAnsi="Times New Roman" w:cs="Times New Roman"/>
                <w:sz w:val="18"/>
                <w:szCs w:val="18"/>
                <w:lang w:val="ru-RU"/>
              </w:rPr>
              <w:t>У</w:t>
            </w:r>
          </w:p>
        </w:tc>
        <w:tc>
          <w:tcPr>
            <w:tcW w:w="598" w:type="pct"/>
            <w:gridSpan w:val="2"/>
            <w:shd w:val="clear" w:color="auto" w:fill="auto"/>
            <w:vAlign w:val="center"/>
          </w:tcPr>
          <w:p w14:paraId="4435558F" w14:textId="07769A36" w:rsidR="00731289" w:rsidRPr="00487209" w:rsidRDefault="001E14D4" w:rsidP="004758F8">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882C8C" w:rsidRPr="00487209">
              <w:rPr>
                <w:rFonts w:ascii="Times New Roman" w:hAnsi="Times New Roman" w:cs="Times New Roman"/>
                <w:sz w:val="18"/>
                <w:szCs w:val="18"/>
                <w:lang w:val="ru-RU"/>
              </w:rPr>
              <w:t xml:space="preserve"> 6.3.(</w:t>
            </w:r>
            <w:r w:rsidR="00C86915" w:rsidRPr="00487209">
              <w:rPr>
                <w:rFonts w:ascii="Times New Roman" w:hAnsi="Times New Roman" w:cs="Times New Roman"/>
                <w:sz w:val="18"/>
                <w:szCs w:val="18"/>
              </w:rPr>
              <w:t>d</w:t>
            </w:r>
            <w:r w:rsidR="00882C8C" w:rsidRPr="00487209">
              <w:rPr>
                <w:rFonts w:ascii="Times New Roman" w:hAnsi="Times New Roman" w:cs="Times New Roman"/>
                <w:sz w:val="18"/>
                <w:szCs w:val="18"/>
                <w:lang w:val="ru-RU"/>
              </w:rPr>
              <w:t xml:space="preserve">) </w:t>
            </w:r>
            <w:r w:rsidR="00882C8C" w:rsidRPr="00487209">
              <w:rPr>
                <w:rFonts w:ascii="Times New Roman" w:hAnsi="Times New Roman" w:cs="Times New Roman"/>
                <w:sz w:val="18"/>
                <w:szCs w:val="18"/>
                <w:lang w:val="sr-Cyrl-CS"/>
              </w:rPr>
              <w:t>Уредбе 305/2</w:t>
            </w:r>
            <w:r>
              <w:rPr>
                <w:rFonts w:ascii="Times New Roman" w:hAnsi="Times New Roman" w:cs="Times New Roman"/>
                <w:sz w:val="18"/>
                <w:szCs w:val="18"/>
                <w:lang w:val="sr-Cyrl-CS"/>
              </w:rPr>
              <w:t>011 (ЕУ) је делимично пренет члан  8. став</w:t>
            </w:r>
            <w:r w:rsidR="00882C8C" w:rsidRPr="00487209">
              <w:rPr>
                <w:rFonts w:ascii="Times New Roman" w:hAnsi="Times New Roman" w:cs="Times New Roman"/>
                <w:sz w:val="18"/>
                <w:szCs w:val="18"/>
                <w:lang w:val="sr-Cyrl-CS"/>
              </w:rPr>
              <w:t xml:space="preserve"> </w:t>
            </w:r>
            <w:r w:rsidR="004758F8" w:rsidRPr="00487209">
              <w:rPr>
                <w:rFonts w:ascii="Times New Roman" w:hAnsi="Times New Roman" w:cs="Times New Roman"/>
                <w:sz w:val="18"/>
                <w:szCs w:val="18"/>
              </w:rPr>
              <w:t>2</w:t>
            </w:r>
            <w:r>
              <w:rPr>
                <w:rFonts w:ascii="Times New Roman" w:hAnsi="Times New Roman" w:cs="Times New Roman"/>
                <w:sz w:val="18"/>
                <w:szCs w:val="18"/>
                <w:lang w:val="sr-Cyrl-CS"/>
              </w:rPr>
              <w:t xml:space="preserve"> тачка</w:t>
            </w:r>
            <w:r w:rsidR="00882C8C" w:rsidRPr="00487209">
              <w:rPr>
                <w:rFonts w:ascii="Times New Roman" w:hAnsi="Times New Roman" w:cs="Times New Roman"/>
                <w:sz w:val="18"/>
                <w:szCs w:val="18"/>
                <w:lang w:val="sr-Cyrl-CS"/>
              </w:rPr>
              <w:t xml:space="preserve"> </w:t>
            </w:r>
            <w:r w:rsidR="004758F8" w:rsidRPr="00487209">
              <w:rPr>
                <w:rFonts w:ascii="Times New Roman" w:hAnsi="Times New Roman" w:cs="Times New Roman"/>
                <w:sz w:val="18"/>
                <w:szCs w:val="18"/>
              </w:rPr>
              <w:t>8</w:t>
            </w:r>
            <w:r w:rsidR="00882C8C"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882C8C" w:rsidRPr="00487209">
              <w:rPr>
                <w:rFonts w:ascii="Times New Roman" w:hAnsi="Times New Roman" w:cs="Times New Roman"/>
                <w:sz w:val="18"/>
                <w:szCs w:val="18"/>
                <w:lang w:val="sr-Cyrl-CS"/>
              </w:rPr>
              <w:t xml:space="preserve"> због статуса нечланице ЕУ. Потпуно усклађивање биће могуће након приступања ЕУ.</w:t>
            </w:r>
          </w:p>
        </w:tc>
        <w:tc>
          <w:tcPr>
            <w:tcW w:w="480" w:type="pct"/>
            <w:shd w:val="clear" w:color="auto" w:fill="auto"/>
            <w:vAlign w:val="center"/>
          </w:tcPr>
          <w:p w14:paraId="4D201E4C" w14:textId="77777777" w:rsidR="00A93357" w:rsidRPr="00487209" w:rsidRDefault="00A93357" w:rsidP="006C6323">
            <w:pPr>
              <w:spacing w:before="120" w:after="120"/>
              <w:jc w:val="center"/>
              <w:rPr>
                <w:rFonts w:ascii="Times New Roman" w:hAnsi="Times New Roman" w:cs="Times New Roman"/>
                <w:sz w:val="18"/>
                <w:szCs w:val="18"/>
                <w:lang w:val="ru-RU"/>
              </w:rPr>
            </w:pPr>
          </w:p>
        </w:tc>
      </w:tr>
      <w:tr w:rsidR="00337554" w:rsidRPr="00487209" w14:paraId="686A6BF6" w14:textId="77777777" w:rsidTr="007D5144">
        <w:trPr>
          <w:trHeight w:val="1970"/>
          <w:jc w:val="center"/>
        </w:trPr>
        <w:tc>
          <w:tcPr>
            <w:tcW w:w="435" w:type="pct"/>
            <w:shd w:val="clear" w:color="auto" w:fill="auto"/>
            <w:vAlign w:val="center"/>
          </w:tcPr>
          <w:p w14:paraId="3465CCC9" w14:textId="77777777" w:rsidR="007242C5" w:rsidRPr="00487209" w:rsidRDefault="007242C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6.3.(e)</w:t>
            </w:r>
          </w:p>
        </w:tc>
        <w:tc>
          <w:tcPr>
            <w:tcW w:w="1369" w:type="pct"/>
            <w:gridSpan w:val="2"/>
            <w:shd w:val="clear" w:color="auto" w:fill="auto"/>
            <w:vAlign w:val="center"/>
          </w:tcPr>
          <w:p w14:paraId="406DFB29" w14:textId="77777777" w:rsidR="007242C5" w:rsidRPr="00487209" w:rsidRDefault="007242C5" w:rsidP="006C6323">
            <w:pPr>
              <w:jc w:val="both"/>
              <w:rPr>
                <w:rFonts w:ascii="Times New Roman" w:hAnsi="Times New Roman" w:cs="Times New Roman"/>
                <w:sz w:val="18"/>
                <w:szCs w:val="18"/>
              </w:rPr>
            </w:pPr>
            <w:r w:rsidRPr="00487209">
              <w:rPr>
                <w:rFonts w:ascii="Times New Roman" w:hAnsi="Times New Roman" w:cs="Times New Roman"/>
                <w:sz w:val="18"/>
                <w:szCs w:val="18"/>
              </w:rPr>
              <w:t>the performance of those essential characteristics of the construction product which are related to the intended use or uses, taking into consideration the provisions in relation to the intended use or uses where the manufacturer intends the product to be made available on the market;</w:t>
            </w:r>
          </w:p>
        </w:tc>
        <w:tc>
          <w:tcPr>
            <w:tcW w:w="429" w:type="pct"/>
            <w:shd w:val="clear" w:color="auto" w:fill="auto"/>
            <w:vAlign w:val="center"/>
          </w:tcPr>
          <w:p w14:paraId="7925AC9C"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4D75791C" w14:textId="732CA79A" w:rsidR="007242C5" w:rsidRPr="00487209" w:rsidRDefault="007242C5" w:rsidP="004E548E">
            <w:pPr>
              <w:jc w:val="center"/>
              <w:rPr>
                <w:rFonts w:ascii="Times New Roman" w:hAnsi="Times New Roman" w:cs="Times New Roman"/>
                <w:sz w:val="18"/>
                <w:szCs w:val="18"/>
              </w:rPr>
            </w:pPr>
            <w:r w:rsidRPr="00487209">
              <w:rPr>
                <w:rFonts w:ascii="Times New Roman" w:hAnsi="Times New Roman" w:cs="Times New Roman"/>
                <w:sz w:val="18"/>
                <w:szCs w:val="18"/>
                <w:lang w:val="ru-RU"/>
              </w:rPr>
              <w:t>8.</w:t>
            </w:r>
            <w:r w:rsidR="004E548E" w:rsidRPr="00487209">
              <w:rPr>
                <w:rFonts w:ascii="Times New Roman" w:hAnsi="Times New Roman" w:cs="Times New Roman"/>
                <w:sz w:val="18"/>
                <w:szCs w:val="18"/>
              </w:rPr>
              <w:t>2</w:t>
            </w:r>
            <w:r w:rsidRPr="00487209">
              <w:rPr>
                <w:rFonts w:ascii="Times New Roman" w:hAnsi="Times New Roman" w:cs="Times New Roman"/>
                <w:sz w:val="18"/>
                <w:szCs w:val="18"/>
                <w:lang w:val="ru-RU"/>
              </w:rPr>
              <w:t>.</w:t>
            </w:r>
            <w:r w:rsidR="004E548E" w:rsidRPr="00487209">
              <w:rPr>
                <w:rFonts w:ascii="Times New Roman" w:hAnsi="Times New Roman" w:cs="Times New Roman"/>
                <w:sz w:val="18"/>
                <w:szCs w:val="18"/>
              </w:rPr>
              <w:t>9</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4C974ABE" w14:textId="036D15E8" w:rsidR="007242C5" w:rsidRPr="00487209" w:rsidRDefault="00372C81" w:rsidP="006C6323">
            <w:pPr>
              <w:jc w:val="both"/>
              <w:rPr>
                <w:rFonts w:ascii="Times New Roman" w:hAnsi="Times New Roman" w:cs="Times New Roman"/>
                <w:sz w:val="18"/>
                <w:szCs w:val="18"/>
                <w:lang w:val="sr-Cyrl-CS"/>
              </w:rPr>
            </w:pPr>
            <w:r w:rsidRPr="00C5463A">
              <w:rPr>
                <w:rFonts w:ascii="Times New Roman" w:hAnsi="Times New Roman" w:cs="Times New Roman"/>
                <w:sz w:val="18"/>
                <w:szCs w:val="18"/>
              </w:rPr>
              <w:t>9)</w:t>
            </w:r>
            <w:r w:rsidRPr="00C5463A">
              <w:rPr>
                <w:rFonts w:ascii="Times New Roman" w:hAnsi="Times New Roman" w:cs="Times New Roman"/>
                <w:sz w:val="18"/>
                <w:szCs w:val="18"/>
              </w:rPr>
              <w:tab/>
              <w:t>перформансе оних битних карактеристика грађевинског производа које се односе на предвиђену употребу или употребе, у складу са одредбама којимаодговарајућом српском техничком спецификацијом или техничким прописом којим је предвиђена употреба грађевинског производа;</w:t>
            </w:r>
          </w:p>
        </w:tc>
        <w:tc>
          <w:tcPr>
            <w:tcW w:w="458" w:type="pct"/>
            <w:shd w:val="clear" w:color="auto" w:fill="auto"/>
            <w:vAlign w:val="center"/>
          </w:tcPr>
          <w:p w14:paraId="631B2FC4" w14:textId="77777777" w:rsidR="007242C5" w:rsidRPr="00487209" w:rsidRDefault="004F33F6"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ДУ</w:t>
            </w:r>
          </w:p>
        </w:tc>
        <w:tc>
          <w:tcPr>
            <w:tcW w:w="598" w:type="pct"/>
            <w:gridSpan w:val="2"/>
            <w:shd w:val="clear" w:color="auto" w:fill="auto"/>
            <w:vAlign w:val="center"/>
          </w:tcPr>
          <w:p w14:paraId="14E39E22" w14:textId="62991D08" w:rsidR="002C40E4" w:rsidRPr="00487209" w:rsidRDefault="001E14D4" w:rsidP="004758F8">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4F33F6" w:rsidRPr="00487209">
              <w:rPr>
                <w:rFonts w:ascii="Times New Roman" w:hAnsi="Times New Roman" w:cs="Times New Roman"/>
                <w:sz w:val="18"/>
                <w:szCs w:val="18"/>
                <w:lang w:val="ru-RU"/>
              </w:rPr>
              <w:t xml:space="preserve"> 6.3.(</w:t>
            </w:r>
            <w:r w:rsidR="004F33F6" w:rsidRPr="00487209">
              <w:rPr>
                <w:rFonts w:ascii="Times New Roman" w:hAnsi="Times New Roman" w:cs="Times New Roman"/>
                <w:sz w:val="18"/>
                <w:szCs w:val="18"/>
                <w:lang w:val="sr-Cyrl-CS"/>
              </w:rPr>
              <w:t>е</w:t>
            </w:r>
            <w:r w:rsidR="004F33F6" w:rsidRPr="00487209">
              <w:rPr>
                <w:rFonts w:ascii="Times New Roman" w:hAnsi="Times New Roman" w:cs="Times New Roman"/>
                <w:sz w:val="18"/>
                <w:szCs w:val="18"/>
                <w:lang w:val="ru-RU"/>
              </w:rPr>
              <w:t xml:space="preserve">) </w:t>
            </w:r>
            <w:r w:rsidR="004F33F6" w:rsidRPr="00487209">
              <w:rPr>
                <w:rFonts w:ascii="Times New Roman" w:hAnsi="Times New Roman" w:cs="Times New Roman"/>
                <w:sz w:val="18"/>
                <w:szCs w:val="18"/>
                <w:lang w:val="sr-Cyrl-CS"/>
              </w:rPr>
              <w:t>Уредбе 305/2011 (</w:t>
            </w:r>
            <w:r>
              <w:rPr>
                <w:rFonts w:ascii="Times New Roman" w:hAnsi="Times New Roman" w:cs="Times New Roman"/>
                <w:sz w:val="18"/>
                <w:szCs w:val="18"/>
                <w:lang w:val="sr-Cyrl-CS"/>
              </w:rPr>
              <w:t>ЕУ) је делимично усклађен са члан 8. став</w:t>
            </w:r>
            <w:r w:rsidR="004F33F6" w:rsidRPr="00487209">
              <w:rPr>
                <w:rFonts w:ascii="Times New Roman" w:hAnsi="Times New Roman" w:cs="Times New Roman"/>
                <w:sz w:val="18"/>
                <w:szCs w:val="18"/>
                <w:lang w:val="sr-Cyrl-CS"/>
              </w:rPr>
              <w:t xml:space="preserve"> </w:t>
            </w:r>
            <w:r w:rsidR="004758F8" w:rsidRPr="00487209">
              <w:rPr>
                <w:rFonts w:ascii="Times New Roman" w:hAnsi="Times New Roman" w:cs="Times New Roman"/>
                <w:sz w:val="18"/>
                <w:szCs w:val="18"/>
              </w:rPr>
              <w:t>2</w:t>
            </w:r>
            <w:r>
              <w:rPr>
                <w:rFonts w:ascii="Times New Roman" w:hAnsi="Times New Roman" w:cs="Times New Roman"/>
                <w:sz w:val="18"/>
                <w:szCs w:val="18"/>
                <w:lang w:val="sr-Cyrl-CS"/>
              </w:rPr>
              <w:t>. тачка</w:t>
            </w:r>
            <w:r w:rsidR="004F33F6" w:rsidRPr="00487209">
              <w:rPr>
                <w:rFonts w:ascii="Times New Roman" w:hAnsi="Times New Roman" w:cs="Times New Roman"/>
                <w:sz w:val="18"/>
                <w:szCs w:val="18"/>
                <w:lang w:val="sr-Cyrl-CS"/>
              </w:rPr>
              <w:t xml:space="preserve"> </w:t>
            </w:r>
            <w:r w:rsidR="004758F8" w:rsidRPr="00487209">
              <w:rPr>
                <w:rFonts w:ascii="Times New Roman" w:hAnsi="Times New Roman" w:cs="Times New Roman"/>
                <w:sz w:val="18"/>
                <w:szCs w:val="18"/>
              </w:rPr>
              <w:t>9</w:t>
            </w:r>
            <w:r w:rsidR="004F33F6"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4F33F6" w:rsidRPr="00487209">
              <w:rPr>
                <w:rFonts w:ascii="Times New Roman" w:hAnsi="Times New Roman" w:cs="Times New Roman"/>
                <w:sz w:val="18"/>
                <w:szCs w:val="18"/>
                <w:lang w:val="sr-Cyrl-CS"/>
              </w:rPr>
              <w:t xml:space="preserve"> због статуса нечланице ЕУ. Потпуно усклађивање биће могуће након приступања ЕУ.</w:t>
            </w:r>
          </w:p>
        </w:tc>
        <w:tc>
          <w:tcPr>
            <w:tcW w:w="480" w:type="pct"/>
            <w:shd w:val="clear" w:color="auto" w:fill="auto"/>
            <w:vAlign w:val="center"/>
          </w:tcPr>
          <w:p w14:paraId="7B362D07" w14:textId="77777777" w:rsidR="007242C5" w:rsidRPr="00487209" w:rsidRDefault="007242C5" w:rsidP="006C6323">
            <w:pPr>
              <w:spacing w:before="120" w:after="120"/>
              <w:jc w:val="center"/>
              <w:rPr>
                <w:rFonts w:ascii="Times New Roman" w:hAnsi="Times New Roman" w:cs="Times New Roman"/>
                <w:sz w:val="18"/>
                <w:szCs w:val="18"/>
                <w:lang w:val="ru-RU"/>
              </w:rPr>
            </w:pPr>
          </w:p>
        </w:tc>
      </w:tr>
      <w:tr w:rsidR="00337554" w:rsidRPr="00487209" w14:paraId="5CED81FE" w14:textId="77777777" w:rsidTr="007D5144">
        <w:trPr>
          <w:trHeight w:val="1970"/>
          <w:jc w:val="center"/>
        </w:trPr>
        <w:tc>
          <w:tcPr>
            <w:tcW w:w="435" w:type="pct"/>
            <w:shd w:val="clear" w:color="auto" w:fill="auto"/>
            <w:vAlign w:val="center"/>
          </w:tcPr>
          <w:p w14:paraId="55BCB779" w14:textId="77777777" w:rsidR="007242C5" w:rsidRPr="00487209" w:rsidRDefault="007242C5"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6.</w:t>
            </w:r>
            <w:r w:rsidR="00597DA8" w:rsidRPr="00487209">
              <w:rPr>
                <w:rFonts w:ascii="Times New Roman" w:hAnsi="Times New Roman" w:cs="Times New Roman"/>
                <w:sz w:val="18"/>
                <w:szCs w:val="18"/>
                <w:lang w:val="ru-RU"/>
              </w:rPr>
              <w:t>3</w:t>
            </w:r>
            <w:r w:rsidRPr="00487209">
              <w:rPr>
                <w:rFonts w:ascii="Times New Roman" w:hAnsi="Times New Roman" w:cs="Times New Roman"/>
                <w:sz w:val="18"/>
                <w:szCs w:val="18"/>
                <w:lang w:val="ru-RU"/>
              </w:rPr>
              <w:t>.(</w:t>
            </w:r>
            <w:r w:rsidRPr="00487209">
              <w:rPr>
                <w:rFonts w:ascii="Times New Roman" w:hAnsi="Times New Roman" w:cs="Times New Roman"/>
                <w:sz w:val="18"/>
                <w:szCs w:val="18"/>
              </w:rPr>
              <w:t>f</w:t>
            </w:r>
            <w:r w:rsidRPr="00487209">
              <w:rPr>
                <w:rFonts w:ascii="Times New Roman" w:hAnsi="Times New Roman" w:cs="Times New Roman"/>
                <w:sz w:val="18"/>
                <w:szCs w:val="18"/>
                <w:lang w:val="ru-RU"/>
              </w:rPr>
              <w:t>)</w:t>
            </w:r>
          </w:p>
        </w:tc>
        <w:tc>
          <w:tcPr>
            <w:tcW w:w="1369" w:type="pct"/>
            <w:gridSpan w:val="2"/>
            <w:shd w:val="clear" w:color="auto" w:fill="auto"/>
            <w:vAlign w:val="center"/>
          </w:tcPr>
          <w:p w14:paraId="43D78781" w14:textId="77777777" w:rsidR="007242C5" w:rsidRPr="00487209" w:rsidRDefault="007242C5" w:rsidP="006C6323">
            <w:pPr>
              <w:jc w:val="both"/>
              <w:rPr>
                <w:rFonts w:ascii="Times New Roman" w:hAnsi="Times New Roman" w:cs="Times New Roman"/>
                <w:sz w:val="18"/>
                <w:szCs w:val="18"/>
              </w:rPr>
            </w:pPr>
            <w:r w:rsidRPr="00487209">
              <w:rPr>
                <w:rFonts w:ascii="Times New Roman" w:hAnsi="Times New Roman" w:cs="Times New Roman"/>
                <w:sz w:val="18"/>
                <w:szCs w:val="18"/>
              </w:rPr>
              <w:t>for</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listed</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essential</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characteristics</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for</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which</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no</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performance is declared, the letters ‘NPD’ (No Performance Determined);</w:t>
            </w:r>
          </w:p>
        </w:tc>
        <w:tc>
          <w:tcPr>
            <w:tcW w:w="429" w:type="pct"/>
            <w:shd w:val="clear" w:color="auto" w:fill="auto"/>
            <w:vAlign w:val="center"/>
          </w:tcPr>
          <w:p w14:paraId="21B39DD9"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5A3FACAA" w14:textId="6AA690A4" w:rsidR="007242C5" w:rsidRPr="00487209" w:rsidRDefault="007242C5" w:rsidP="004E548E">
            <w:pPr>
              <w:jc w:val="center"/>
              <w:rPr>
                <w:rFonts w:ascii="Times New Roman" w:hAnsi="Times New Roman" w:cs="Times New Roman"/>
                <w:sz w:val="18"/>
                <w:szCs w:val="18"/>
              </w:rPr>
            </w:pPr>
            <w:r w:rsidRPr="00487209">
              <w:rPr>
                <w:rFonts w:ascii="Times New Roman" w:hAnsi="Times New Roman" w:cs="Times New Roman"/>
                <w:sz w:val="18"/>
                <w:szCs w:val="18"/>
                <w:lang w:val="ru-RU"/>
              </w:rPr>
              <w:t>8.</w:t>
            </w:r>
            <w:r w:rsidR="004E548E" w:rsidRPr="00487209">
              <w:rPr>
                <w:rFonts w:ascii="Times New Roman" w:hAnsi="Times New Roman" w:cs="Times New Roman"/>
                <w:sz w:val="18"/>
                <w:szCs w:val="18"/>
              </w:rPr>
              <w:t>2</w:t>
            </w:r>
            <w:r w:rsidRPr="00487209">
              <w:rPr>
                <w:rFonts w:ascii="Times New Roman" w:hAnsi="Times New Roman" w:cs="Times New Roman"/>
                <w:sz w:val="18"/>
                <w:szCs w:val="18"/>
                <w:lang w:val="ru-RU"/>
              </w:rPr>
              <w:t>.</w:t>
            </w:r>
            <w:r w:rsidR="004E548E" w:rsidRPr="00487209">
              <w:rPr>
                <w:rFonts w:ascii="Times New Roman" w:hAnsi="Times New Roman" w:cs="Times New Roman"/>
                <w:sz w:val="18"/>
                <w:szCs w:val="18"/>
              </w:rPr>
              <w:t>10</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57CFCACD" w14:textId="3A114A6E" w:rsidR="007242C5" w:rsidRPr="00487209" w:rsidRDefault="007242C5" w:rsidP="006C6323">
            <w:pPr>
              <w:pStyle w:val="Style7"/>
              <w:spacing w:before="240" w:after="0" w:line="240" w:lineRule="auto"/>
              <w:ind w:right="-23"/>
              <w:jc w:val="both"/>
              <w:outlineLvl w:val="3"/>
              <w:rPr>
                <w:b/>
                <w:bCs/>
                <w:sz w:val="18"/>
                <w:szCs w:val="18"/>
              </w:rPr>
            </w:pPr>
            <w:r w:rsidRPr="00487209">
              <w:rPr>
                <w:sz w:val="18"/>
                <w:szCs w:val="18"/>
              </w:rPr>
              <w:t>слова „</w:t>
            </w:r>
            <w:r w:rsidRPr="00487209">
              <w:rPr>
                <w:rStyle w:val="FontStyle41"/>
                <w:rFonts w:ascii="Times New Roman" w:hAnsi="Times New Roman" w:cs="Times New Roman"/>
                <w:sz w:val="18"/>
                <w:szCs w:val="18"/>
              </w:rPr>
              <w:t>NPD</w:t>
            </w:r>
            <w:r w:rsidRPr="00487209">
              <w:rPr>
                <w:sz w:val="18"/>
                <w:szCs w:val="18"/>
              </w:rPr>
              <w:t>“ (перформанс</w:t>
            </w:r>
            <w:r w:rsidRPr="00487209">
              <w:rPr>
                <w:sz w:val="18"/>
                <w:szCs w:val="18"/>
                <w:lang w:val="sr-Latn-BA"/>
              </w:rPr>
              <w:t>a</w:t>
            </w:r>
            <w:r w:rsidRPr="00487209">
              <w:rPr>
                <w:sz w:val="18"/>
                <w:szCs w:val="18"/>
              </w:rPr>
              <w:t xml:space="preserve"> није утврђена) за наведене битне карактеристике </w:t>
            </w:r>
            <w:r w:rsidR="00372C81">
              <w:rPr>
                <w:sz w:val="18"/>
                <w:szCs w:val="18"/>
              </w:rPr>
              <w:t xml:space="preserve">грађевинског производа </w:t>
            </w:r>
            <w:r w:rsidRPr="00487209">
              <w:rPr>
                <w:sz w:val="18"/>
                <w:szCs w:val="18"/>
              </w:rPr>
              <w:t>за које перформансе нису наведене;</w:t>
            </w:r>
          </w:p>
        </w:tc>
        <w:tc>
          <w:tcPr>
            <w:tcW w:w="458" w:type="pct"/>
            <w:shd w:val="clear" w:color="auto" w:fill="auto"/>
            <w:vAlign w:val="center"/>
          </w:tcPr>
          <w:p w14:paraId="59A3FA88" w14:textId="77777777" w:rsidR="007242C5" w:rsidRPr="00487209" w:rsidRDefault="007242C5"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02CF0801" w14:textId="77777777" w:rsidR="007242C5" w:rsidRPr="00487209" w:rsidRDefault="007242C5"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B72C49C" w14:textId="77777777" w:rsidR="007242C5" w:rsidRPr="00487209" w:rsidRDefault="007242C5" w:rsidP="006C6323">
            <w:pPr>
              <w:spacing w:before="120" w:after="120"/>
              <w:jc w:val="center"/>
              <w:rPr>
                <w:rFonts w:ascii="Times New Roman" w:hAnsi="Times New Roman" w:cs="Times New Roman"/>
                <w:sz w:val="18"/>
                <w:szCs w:val="18"/>
                <w:lang w:val="ru-RU"/>
              </w:rPr>
            </w:pPr>
          </w:p>
        </w:tc>
      </w:tr>
      <w:tr w:rsidR="00337554" w:rsidRPr="00487209" w14:paraId="047100EC" w14:textId="77777777" w:rsidTr="007D5144">
        <w:trPr>
          <w:trHeight w:val="1970"/>
          <w:jc w:val="center"/>
        </w:trPr>
        <w:tc>
          <w:tcPr>
            <w:tcW w:w="435" w:type="pct"/>
            <w:shd w:val="clear" w:color="auto" w:fill="auto"/>
            <w:vAlign w:val="center"/>
          </w:tcPr>
          <w:p w14:paraId="1EA0DEA4" w14:textId="77777777" w:rsidR="00597DA8" w:rsidRPr="00487209" w:rsidRDefault="00597DA8"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w:t>
            </w:r>
            <w:r w:rsidRPr="00487209">
              <w:rPr>
                <w:rFonts w:ascii="Times New Roman" w:hAnsi="Times New Roman" w:cs="Times New Roman"/>
                <w:sz w:val="18"/>
                <w:szCs w:val="18"/>
                <w:lang w:val="sr-Cyrl-CS"/>
              </w:rPr>
              <w:t>3</w:t>
            </w:r>
            <w:r w:rsidRPr="00487209">
              <w:rPr>
                <w:rFonts w:ascii="Times New Roman" w:hAnsi="Times New Roman" w:cs="Times New Roman"/>
                <w:sz w:val="18"/>
                <w:szCs w:val="18"/>
              </w:rPr>
              <w:t>.(g)</w:t>
            </w:r>
          </w:p>
        </w:tc>
        <w:tc>
          <w:tcPr>
            <w:tcW w:w="1369" w:type="pct"/>
            <w:gridSpan w:val="2"/>
            <w:shd w:val="clear" w:color="auto" w:fill="auto"/>
            <w:vAlign w:val="center"/>
          </w:tcPr>
          <w:p w14:paraId="1C8A0C9A" w14:textId="77777777" w:rsidR="00597DA8" w:rsidRPr="00487209" w:rsidRDefault="00597DA8" w:rsidP="006C6323">
            <w:pPr>
              <w:jc w:val="both"/>
              <w:rPr>
                <w:rFonts w:ascii="Times New Roman" w:hAnsi="Times New Roman" w:cs="Times New Roman"/>
                <w:sz w:val="18"/>
                <w:szCs w:val="18"/>
              </w:rPr>
            </w:pPr>
            <w:r w:rsidRPr="00487209">
              <w:rPr>
                <w:rFonts w:ascii="Times New Roman" w:hAnsi="Times New Roman" w:cs="Times New Roman"/>
                <w:sz w:val="18"/>
                <w:szCs w:val="18"/>
              </w:rPr>
              <w:t>when a European Technical Assessment has been issued for that product, the performance, by levels or classes, or in a description, of the construction product in relation to all essential characteristics contained in the corresponding European Technical Assessment.</w:t>
            </w:r>
          </w:p>
        </w:tc>
        <w:tc>
          <w:tcPr>
            <w:tcW w:w="429" w:type="pct"/>
            <w:shd w:val="clear" w:color="auto" w:fill="auto"/>
            <w:vAlign w:val="center"/>
          </w:tcPr>
          <w:p w14:paraId="77122D4F" w14:textId="379F5A65" w:rsidR="00597DA8" w:rsidRPr="00487209" w:rsidRDefault="003A0D26" w:rsidP="006C6323">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8.2.11)</w:t>
            </w:r>
          </w:p>
        </w:tc>
        <w:tc>
          <w:tcPr>
            <w:tcW w:w="1231" w:type="pct"/>
            <w:gridSpan w:val="2"/>
            <w:shd w:val="clear" w:color="auto" w:fill="auto"/>
            <w:vAlign w:val="center"/>
          </w:tcPr>
          <w:p w14:paraId="0F6126D7" w14:textId="3F4FC339" w:rsidR="00597DA8" w:rsidRPr="00487209" w:rsidRDefault="003A0D26" w:rsidP="006C6323">
            <w:pPr>
              <w:pStyle w:val="Style7"/>
              <w:spacing w:before="240" w:after="0" w:line="240" w:lineRule="auto"/>
              <w:ind w:right="-23"/>
              <w:jc w:val="both"/>
              <w:outlineLvl w:val="3"/>
              <w:rPr>
                <w:sz w:val="18"/>
                <w:szCs w:val="18"/>
              </w:rPr>
            </w:pPr>
            <w:r w:rsidRPr="003A0D26">
              <w:rPr>
                <w:sz w:val="18"/>
                <w:szCs w:val="18"/>
              </w:rPr>
              <w:t>11)</w:t>
            </w:r>
            <w:r w:rsidRPr="003A0D26">
              <w:rPr>
                <w:sz w:val="18"/>
                <w:szCs w:val="18"/>
              </w:rPr>
              <w:tab/>
              <w:t>када је за грађевински производ издата Српска техничка оцена, перформансе грађевинског производа у вези са свим његовим битним карактеристикама садржаним у одговарајућој Српској техничкој оцени, према нивоима, класама или описно;</w:t>
            </w:r>
          </w:p>
        </w:tc>
        <w:tc>
          <w:tcPr>
            <w:tcW w:w="458" w:type="pct"/>
            <w:shd w:val="clear" w:color="auto" w:fill="auto"/>
            <w:vAlign w:val="center"/>
          </w:tcPr>
          <w:p w14:paraId="1D1BB264" w14:textId="452E4B43" w:rsidR="00597DA8" w:rsidRPr="00487209" w:rsidRDefault="003A0D26" w:rsidP="006C6323">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Д</w:t>
            </w:r>
            <w:r w:rsidRPr="00487209">
              <w:rPr>
                <w:rFonts w:ascii="Times New Roman" w:hAnsi="Times New Roman" w:cs="Times New Roman"/>
                <w:sz w:val="18"/>
                <w:szCs w:val="18"/>
                <w:lang w:val="ru-RU"/>
              </w:rPr>
              <w:t>У</w:t>
            </w:r>
          </w:p>
        </w:tc>
        <w:tc>
          <w:tcPr>
            <w:tcW w:w="598" w:type="pct"/>
            <w:gridSpan w:val="2"/>
            <w:shd w:val="clear" w:color="auto" w:fill="auto"/>
            <w:vAlign w:val="center"/>
          </w:tcPr>
          <w:p w14:paraId="2D5F8E5C" w14:textId="67C7A899" w:rsidR="00597DA8" w:rsidRPr="00487209" w:rsidRDefault="00534CF8" w:rsidP="003A0D26">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sr-Cyrl-CS"/>
              </w:rPr>
              <w:t>Члан</w:t>
            </w:r>
            <w:r w:rsidR="003A0D26" w:rsidRPr="003A0D26">
              <w:rPr>
                <w:rFonts w:ascii="Times New Roman" w:hAnsi="Times New Roman" w:cs="Times New Roman"/>
                <w:sz w:val="18"/>
                <w:szCs w:val="18"/>
                <w:lang w:val="sr-Cyrl-CS"/>
              </w:rPr>
              <w:t xml:space="preserve"> 6.3.(</w:t>
            </w:r>
            <w:r w:rsidR="003A0D26">
              <w:rPr>
                <w:rFonts w:ascii="Times New Roman" w:hAnsi="Times New Roman" w:cs="Times New Roman"/>
                <w:sz w:val="18"/>
                <w:szCs w:val="18"/>
              </w:rPr>
              <w:t>g</w:t>
            </w:r>
            <w:r w:rsidR="003A0D26" w:rsidRPr="003A0D26">
              <w:rPr>
                <w:rFonts w:ascii="Times New Roman" w:hAnsi="Times New Roman" w:cs="Times New Roman"/>
                <w:sz w:val="18"/>
                <w:szCs w:val="18"/>
                <w:lang w:val="sr-Cyrl-CS"/>
              </w:rPr>
              <w:t>) Уредбе 305/2011 (</w:t>
            </w:r>
            <w:r>
              <w:rPr>
                <w:rFonts w:ascii="Times New Roman" w:hAnsi="Times New Roman" w:cs="Times New Roman"/>
                <w:sz w:val="18"/>
                <w:szCs w:val="18"/>
                <w:lang w:val="sr-Cyrl-CS"/>
              </w:rPr>
              <w:t>ЕУ) је делимично усклађен са чланом 8. став 2. тачка</w:t>
            </w:r>
            <w:r w:rsidR="003A0D26" w:rsidRPr="003A0D26">
              <w:rPr>
                <w:rFonts w:ascii="Times New Roman" w:hAnsi="Times New Roman" w:cs="Times New Roman"/>
                <w:sz w:val="18"/>
                <w:szCs w:val="18"/>
                <w:lang w:val="sr-Cyrl-CS"/>
              </w:rPr>
              <w:t xml:space="preserve"> 9) </w:t>
            </w:r>
            <w:r w:rsidR="0073105A">
              <w:rPr>
                <w:rFonts w:ascii="Times New Roman" w:hAnsi="Times New Roman" w:cs="Times New Roman"/>
                <w:sz w:val="18"/>
                <w:szCs w:val="18"/>
                <w:lang w:val="sr-Cyrl-CS"/>
              </w:rPr>
              <w:t>Предлог</w:t>
            </w:r>
            <w:r w:rsidR="003A0D26" w:rsidRPr="003A0D26">
              <w:rPr>
                <w:rFonts w:ascii="Times New Roman" w:hAnsi="Times New Roman" w:cs="Times New Roman"/>
                <w:sz w:val="18"/>
                <w:szCs w:val="18"/>
                <w:lang w:val="sr-Cyrl-CS"/>
              </w:rPr>
              <w:t>а закона о грађевинским производима због статуса нечланице ЕУ. Потпуно усклађивање биће могуће након приступања ЕУ.</w:t>
            </w:r>
          </w:p>
        </w:tc>
        <w:tc>
          <w:tcPr>
            <w:tcW w:w="480" w:type="pct"/>
            <w:shd w:val="clear" w:color="auto" w:fill="auto"/>
            <w:vAlign w:val="center"/>
          </w:tcPr>
          <w:p w14:paraId="45E5300B" w14:textId="77777777" w:rsidR="00597DA8" w:rsidRPr="00487209" w:rsidRDefault="00597DA8" w:rsidP="006C6323">
            <w:pPr>
              <w:spacing w:before="120" w:after="120"/>
              <w:jc w:val="center"/>
              <w:rPr>
                <w:rFonts w:ascii="Times New Roman" w:hAnsi="Times New Roman" w:cs="Times New Roman"/>
                <w:sz w:val="18"/>
                <w:szCs w:val="18"/>
                <w:lang w:val="ru-RU"/>
              </w:rPr>
            </w:pPr>
          </w:p>
        </w:tc>
      </w:tr>
      <w:tr w:rsidR="00337554" w:rsidRPr="00487209" w14:paraId="7878BDEE" w14:textId="77777777" w:rsidTr="007D5144">
        <w:trPr>
          <w:trHeight w:val="1970"/>
          <w:jc w:val="center"/>
        </w:trPr>
        <w:tc>
          <w:tcPr>
            <w:tcW w:w="435" w:type="pct"/>
            <w:shd w:val="clear" w:color="auto" w:fill="auto"/>
            <w:vAlign w:val="center"/>
          </w:tcPr>
          <w:p w14:paraId="7E3D18ED" w14:textId="77777777" w:rsidR="00A93357" w:rsidRPr="00487209" w:rsidRDefault="00A93357"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6.4.</w:t>
            </w:r>
          </w:p>
        </w:tc>
        <w:tc>
          <w:tcPr>
            <w:tcW w:w="1369" w:type="pct"/>
            <w:gridSpan w:val="2"/>
            <w:shd w:val="clear" w:color="auto" w:fill="auto"/>
            <w:vAlign w:val="center"/>
          </w:tcPr>
          <w:p w14:paraId="08F228F9" w14:textId="77777777" w:rsidR="00A93357" w:rsidRPr="00487209" w:rsidRDefault="00A93357" w:rsidP="006C6323">
            <w:pPr>
              <w:jc w:val="both"/>
              <w:rPr>
                <w:rFonts w:ascii="Times New Roman" w:hAnsi="Times New Roman" w:cs="Times New Roman"/>
                <w:sz w:val="18"/>
                <w:szCs w:val="18"/>
              </w:rPr>
            </w:pPr>
            <w:r w:rsidRPr="00487209">
              <w:rPr>
                <w:rFonts w:ascii="Times New Roman" w:hAnsi="Times New Roman" w:cs="Times New Roman"/>
                <w:sz w:val="18"/>
                <w:szCs w:val="18"/>
              </w:rPr>
              <w:t>The declaration of performance shall be drawn up using the model set out in Annex III.</w:t>
            </w:r>
          </w:p>
        </w:tc>
        <w:tc>
          <w:tcPr>
            <w:tcW w:w="429" w:type="pct"/>
            <w:shd w:val="clear" w:color="auto" w:fill="auto"/>
            <w:vAlign w:val="center"/>
          </w:tcPr>
          <w:p w14:paraId="02BB5C36"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0E09E66A" w14:textId="6C7A3B75" w:rsidR="00A93357" w:rsidRPr="00487209" w:rsidRDefault="00B62955" w:rsidP="004E548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8.</w:t>
            </w:r>
            <w:r w:rsidR="004E548E" w:rsidRPr="00487209">
              <w:rPr>
                <w:rFonts w:ascii="Times New Roman" w:hAnsi="Times New Roman" w:cs="Times New Roman"/>
                <w:sz w:val="18"/>
                <w:szCs w:val="18"/>
              </w:rPr>
              <w:t>3</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21ADC791" w14:textId="1DB69FB8" w:rsidR="00A93357" w:rsidRPr="00487209" w:rsidRDefault="00372C81" w:rsidP="006C6323">
            <w:pPr>
              <w:jc w:val="both"/>
              <w:rPr>
                <w:rFonts w:ascii="Times New Roman" w:hAnsi="Times New Roman" w:cs="Times New Roman"/>
                <w:sz w:val="18"/>
                <w:szCs w:val="18"/>
                <w:lang w:val="sr-Cyrl-CS"/>
              </w:rPr>
            </w:pPr>
            <w:r w:rsidRPr="00372C81">
              <w:rPr>
                <w:rFonts w:ascii="Times New Roman" w:eastAsia="Batang" w:hAnsi="Times New Roman" w:cs="Times New Roman"/>
                <w:sz w:val="18"/>
                <w:szCs w:val="18"/>
                <w:lang w:val="sr-Cyrl-CS" w:eastAsia="ko-KR"/>
              </w:rPr>
              <w:t>Министар надлежан за послове грађевинарства ближе прописује садржину и начин израде декларације о перформансама.</w:t>
            </w:r>
          </w:p>
        </w:tc>
        <w:tc>
          <w:tcPr>
            <w:tcW w:w="458" w:type="pct"/>
            <w:shd w:val="clear" w:color="auto" w:fill="auto"/>
            <w:vAlign w:val="center"/>
          </w:tcPr>
          <w:p w14:paraId="22CDBDCD" w14:textId="491E86AB" w:rsidR="00A93357" w:rsidRPr="00487209" w:rsidRDefault="004758F8"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rPr>
              <w:t>H</w:t>
            </w:r>
            <w:r w:rsidR="00B62955" w:rsidRPr="00487209">
              <w:rPr>
                <w:rFonts w:ascii="Times New Roman" w:hAnsi="Times New Roman" w:cs="Times New Roman"/>
                <w:sz w:val="18"/>
                <w:szCs w:val="18"/>
                <w:lang w:val="ru-RU"/>
              </w:rPr>
              <w:t>У</w:t>
            </w:r>
          </w:p>
        </w:tc>
        <w:tc>
          <w:tcPr>
            <w:tcW w:w="598" w:type="pct"/>
            <w:gridSpan w:val="2"/>
            <w:shd w:val="clear" w:color="auto" w:fill="auto"/>
            <w:vAlign w:val="center"/>
          </w:tcPr>
          <w:p w14:paraId="49F716D2" w14:textId="101D4909" w:rsidR="00A93357" w:rsidRPr="00487209" w:rsidRDefault="004758F8" w:rsidP="00F840B1">
            <w:pPr>
              <w:spacing w:before="120" w:after="120"/>
              <w:ind w:firstLine="21"/>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Pr="00487209">
              <w:rPr>
                <w:rFonts w:ascii="Times New Roman" w:hAnsi="Times New Roman" w:cs="Times New Roman"/>
                <w:sz w:val="18"/>
                <w:szCs w:val="18"/>
                <w:lang w:val="sr-Cyrl-CS"/>
              </w:rPr>
              <w:t>а закона о грађевинским производима која се може упоредити са ч</w:t>
            </w:r>
            <w:r w:rsidR="00F840B1">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6.</w:t>
            </w:r>
            <w:r w:rsidR="008111AF" w:rsidRPr="00487209">
              <w:rPr>
                <w:rFonts w:ascii="Times New Roman" w:hAnsi="Times New Roman" w:cs="Times New Roman"/>
                <w:sz w:val="18"/>
                <w:szCs w:val="18"/>
              </w:rPr>
              <w:t>4.</w:t>
            </w:r>
            <w:r w:rsidRPr="00487209">
              <w:rPr>
                <w:rFonts w:ascii="Times New Roman" w:hAnsi="Times New Roman" w:cs="Times New Roman"/>
                <w:sz w:val="18"/>
                <w:szCs w:val="18"/>
                <w:lang w:val="ru-RU"/>
              </w:rPr>
              <w:t xml:space="preserve"> </w:t>
            </w:r>
            <w:r w:rsidR="008111AF" w:rsidRPr="00487209">
              <w:rPr>
                <w:rFonts w:ascii="Times New Roman" w:hAnsi="Times New Roman" w:cs="Times New Roman"/>
                <w:sz w:val="18"/>
                <w:szCs w:val="18"/>
                <w:lang w:val="sr-Cyrl-CS"/>
              </w:rPr>
              <w:t>Уредбе 305/2011 (ЕУ)</w:t>
            </w:r>
            <w:r w:rsidRPr="00487209">
              <w:rPr>
                <w:rFonts w:ascii="Times New Roman" w:hAnsi="Times New Roman" w:cs="Times New Roman"/>
                <w:sz w:val="18"/>
                <w:szCs w:val="18"/>
                <w:lang w:val="sr-Cyrl-CS"/>
              </w:rPr>
              <w:t xml:space="preserve">. Усклађивање ће бити могуће </w:t>
            </w:r>
            <w:r w:rsidR="008111AF" w:rsidRPr="00487209">
              <w:rPr>
                <w:rFonts w:ascii="Times New Roman" w:hAnsi="Times New Roman" w:cs="Times New Roman"/>
                <w:sz w:val="18"/>
                <w:szCs w:val="18"/>
                <w:lang w:val="sr-Cyrl-CS"/>
              </w:rPr>
              <w:t xml:space="preserve">доношењем </w:t>
            </w:r>
            <w:r w:rsidR="008111AF" w:rsidRPr="00487209">
              <w:rPr>
                <w:rFonts w:ascii="Times New Roman" w:hAnsi="Times New Roman" w:cs="Times New Roman"/>
                <w:sz w:val="18"/>
                <w:szCs w:val="18"/>
                <w:lang w:val="sr-Cyrl-CS"/>
              </w:rPr>
              <w:lastRenderedPageBreak/>
              <w:t>по</w:t>
            </w:r>
            <w:r w:rsidR="00F840B1">
              <w:rPr>
                <w:rFonts w:ascii="Times New Roman" w:hAnsi="Times New Roman" w:cs="Times New Roman"/>
                <w:sz w:val="18"/>
                <w:szCs w:val="18"/>
                <w:lang w:val="sr-Cyrl-CS"/>
              </w:rPr>
              <w:t xml:space="preserve">дзаконског акта предвиђеног члан </w:t>
            </w:r>
            <w:r w:rsidR="008111AF" w:rsidRPr="00487209">
              <w:rPr>
                <w:rFonts w:ascii="Times New Roman" w:hAnsi="Times New Roman" w:cs="Times New Roman"/>
                <w:sz w:val="18"/>
                <w:szCs w:val="18"/>
                <w:lang w:val="sr-Cyrl-CS"/>
              </w:rPr>
              <w:t>8. ст</w:t>
            </w:r>
            <w:r w:rsidR="00F840B1">
              <w:rPr>
                <w:rFonts w:ascii="Times New Roman" w:hAnsi="Times New Roman" w:cs="Times New Roman"/>
                <w:sz w:val="18"/>
                <w:szCs w:val="18"/>
                <w:lang w:val="sr-Cyrl-CS"/>
              </w:rPr>
              <w:t>ав</w:t>
            </w:r>
            <w:r w:rsidR="008111AF" w:rsidRPr="00487209">
              <w:rPr>
                <w:rFonts w:ascii="Times New Roman" w:hAnsi="Times New Roman" w:cs="Times New Roman"/>
                <w:sz w:val="18"/>
                <w:szCs w:val="18"/>
                <w:lang w:val="sr-Cyrl-CS"/>
              </w:rPr>
              <w:t xml:space="preserve"> 3. </w:t>
            </w:r>
            <w:r w:rsidR="0073105A">
              <w:rPr>
                <w:rFonts w:ascii="Times New Roman" w:hAnsi="Times New Roman" w:cs="Times New Roman"/>
                <w:sz w:val="18"/>
                <w:szCs w:val="18"/>
                <w:lang w:val="sr-Cyrl-CS"/>
              </w:rPr>
              <w:t>Предлог</w:t>
            </w:r>
            <w:r w:rsidR="008111AF" w:rsidRPr="00487209">
              <w:rPr>
                <w:rFonts w:ascii="Times New Roman" w:hAnsi="Times New Roman" w:cs="Times New Roman"/>
                <w:sz w:val="18"/>
                <w:szCs w:val="18"/>
                <w:lang w:val="sr-Cyrl-CS"/>
              </w:rPr>
              <w:t>а закона о грађевинским производима</w:t>
            </w:r>
          </w:p>
        </w:tc>
        <w:tc>
          <w:tcPr>
            <w:tcW w:w="480" w:type="pct"/>
            <w:shd w:val="clear" w:color="auto" w:fill="auto"/>
            <w:vAlign w:val="center"/>
          </w:tcPr>
          <w:p w14:paraId="27335CB8" w14:textId="77777777" w:rsidR="00A93357" w:rsidRPr="00487209" w:rsidRDefault="00A93357" w:rsidP="006C6323">
            <w:pPr>
              <w:spacing w:before="120" w:after="120"/>
              <w:jc w:val="center"/>
              <w:rPr>
                <w:rFonts w:ascii="Times New Roman" w:hAnsi="Times New Roman" w:cs="Times New Roman"/>
                <w:sz w:val="18"/>
                <w:szCs w:val="18"/>
                <w:lang w:val="ru-RU"/>
              </w:rPr>
            </w:pPr>
          </w:p>
        </w:tc>
      </w:tr>
      <w:tr w:rsidR="00337554" w:rsidRPr="00487209" w14:paraId="7913288F" w14:textId="77777777" w:rsidTr="007D5144">
        <w:trPr>
          <w:trHeight w:val="1970"/>
          <w:jc w:val="center"/>
        </w:trPr>
        <w:tc>
          <w:tcPr>
            <w:tcW w:w="435" w:type="pct"/>
            <w:shd w:val="clear" w:color="auto" w:fill="auto"/>
            <w:vAlign w:val="center"/>
          </w:tcPr>
          <w:p w14:paraId="4B1B516A" w14:textId="77777777" w:rsidR="00A93357" w:rsidRPr="00487209" w:rsidRDefault="00A93357"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6.5.</w:t>
            </w:r>
          </w:p>
        </w:tc>
        <w:tc>
          <w:tcPr>
            <w:tcW w:w="1369" w:type="pct"/>
            <w:gridSpan w:val="2"/>
            <w:shd w:val="clear" w:color="auto" w:fill="auto"/>
            <w:vAlign w:val="center"/>
          </w:tcPr>
          <w:p w14:paraId="720F3662" w14:textId="70F4CBD6" w:rsidR="00A93357" w:rsidRPr="00487209" w:rsidRDefault="00A93357" w:rsidP="006C6323">
            <w:pPr>
              <w:jc w:val="both"/>
              <w:rPr>
                <w:rFonts w:ascii="Times New Roman" w:hAnsi="Times New Roman" w:cs="Times New Roman"/>
                <w:sz w:val="18"/>
                <w:szCs w:val="18"/>
              </w:rPr>
            </w:pPr>
            <w:r w:rsidRPr="00487209">
              <w:rPr>
                <w:rFonts w:ascii="Times New Roman" w:hAnsi="Times New Roman" w:cs="Times New Roman"/>
                <w:sz w:val="18"/>
                <w:szCs w:val="18"/>
              </w:rPr>
              <w:t>The information referred to in Article 31 or, as the case may be, in Article 33 of Regulation (EC) No 1907/20</w:t>
            </w:r>
            <w:r w:rsidR="00F249E1" w:rsidRPr="00487209">
              <w:rPr>
                <w:rFonts w:ascii="Times New Roman" w:hAnsi="Times New Roman" w:cs="Times New Roman"/>
                <w:sz w:val="18"/>
                <w:szCs w:val="18"/>
              </w:rPr>
              <w:t>01</w:t>
            </w:r>
            <w:r w:rsidRPr="00487209">
              <w:rPr>
                <w:rFonts w:ascii="Times New Roman" w:hAnsi="Times New Roman" w:cs="Times New Roman"/>
                <w:sz w:val="18"/>
                <w:szCs w:val="18"/>
              </w:rPr>
              <w:t>, shall be provided together with the declaration of performance.</w:t>
            </w:r>
          </w:p>
        </w:tc>
        <w:tc>
          <w:tcPr>
            <w:tcW w:w="429" w:type="pct"/>
            <w:shd w:val="clear" w:color="auto" w:fill="auto"/>
            <w:vAlign w:val="center"/>
          </w:tcPr>
          <w:p w14:paraId="68CD36F1"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1F85B1BB" w14:textId="37354024" w:rsidR="00A93357" w:rsidRPr="00487209" w:rsidRDefault="00DC3F53" w:rsidP="004E548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8.</w:t>
            </w:r>
            <w:r w:rsidR="004E548E" w:rsidRPr="00487209">
              <w:rPr>
                <w:rFonts w:ascii="Times New Roman" w:hAnsi="Times New Roman" w:cs="Times New Roman"/>
                <w:sz w:val="18"/>
                <w:szCs w:val="18"/>
                <w:lang w:val="ru-RU"/>
              </w:rPr>
              <w:t>4</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094A4191" w14:textId="3024279D" w:rsidR="00A93357" w:rsidRPr="00487209" w:rsidRDefault="00372C81" w:rsidP="006C6323">
            <w:pPr>
              <w:pStyle w:val="Style7"/>
              <w:spacing w:before="240" w:after="0" w:line="240" w:lineRule="auto"/>
              <w:ind w:right="-23"/>
              <w:jc w:val="both"/>
              <w:outlineLvl w:val="3"/>
              <w:rPr>
                <w:sz w:val="18"/>
                <w:szCs w:val="18"/>
              </w:rPr>
            </w:pPr>
            <w:r w:rsidRPr="00372C81">
              <w:rPr>
                <w:sz w:val="18"/>
                <w:szCs w:val="18"/>
              </w:rPr>
              <w:t>Декларацију о перформансама из члана 6. став 1. овог закона прате и информације утврђене прописом којим се уређује стављање у промет хемикалија, као информације о безбедности које су део техничких упутстава.</w:t>
            </w:r>
          </w:p>
        </w:tc>
        <w:tc>
          <w:tcPr>
            <w:tcW w:w="458" w:type="pct"/>
            <w:shd w:val="clear" w:color="auto" w:fill="auto"/>
            <w:vAlign w:val="center"/>
          </w:tcPr>
          <w:p w14:paraId="00C21220" w14:textId="77777777" w:rsidR="00A93357" w:rsidRPr="00487209" w:rsidRDefault="008143BA"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2A8C19B9" w14:textId="65ABAE26" w:rsidR="00731289" w:rsidRPr="00487209" w:rsidRDefault="007B36A3" w:rsidP="00084849">
            <w:pPr>
              <w:spacing w:before="120" w:after="120"/>
              <w:jc w:val="both"/>
              <w:rPr>
                <w:rFonts w:ascii="Times New Roman" w:hAnsi="Times New Roman" w:cs="Times New Roman"/>
                <w:sz w:val="18"/>
                <w:szCs w:val="18"/>
                <w:lang w:val="sr-Cyrl-CS"/>
              </w:rPr>
            </w:pPr>
            <w:r w:rsidRPr="00487209">
              <w:rPr>
                <w:rFonts w:ascii="Times New Roman" w:hAnsi="Times New Roman" w:cs="Times New Roman"/>
                <w:sz w:val="18"/>
                <w:szCs w:val="18"/>
                <w:lang w:val="ru-RU"/>
              </w:rPr>
              <w:t>Чл</w:t>
            </w:r>
            <w:r w:rsidR="00084849">
              <w:rPr>
                <w:rFonts w:ascii="Times New Roman" w:hAnsi="Times New Roman" w:cs="Times New Roman"/>
                <w:sz w:val="18"/>
                <w:szCs w:val="18"/>
                <w:lang w:val="ru-RU"/>
              </w:rPr>
              <w:t>ан</w:t>
            </w:r>
            <w:r w:rsidRPr="00487209">
              <w:rPr>
                <w:rFonts w:ascii="Times New Roman" w:hAnsi="Times New Roman" w:cs="Times New Roman"/>
                <w:sz w:val="18"/>
                <w:szCs w:val="18"/>
                <w:lang w:val="ru-RU"/>
              </w:rPr>
              <w:t xml:space="preserve"> 6.5.</w:t>
            </w:r>
            <w:r w:rsidRPr="00487209">
              <w:rPr>
                <w:rFonts w:ascii="Times New Roman" w:hAnsi="Times New Roman" w:cs="Times New Roman"/>
                <w:sz w:val="18"/>
                <w:szCs w:val="18"/>
                <w:lang w:val="sr-Cyrl-CS"/>
              </w:rPr>
              <w:t xml:space="preserve"> Уредбе 305/2011</w:t>
            </w:r>
            <w:r w:rsidR="00084849">
              <w:rPr>
                <w:rFonts w:ascii="Times New Roman" w:hAnsi="Times New Roman" w:cs="Times New Roman"/>
                <w:sz w:val="18"/>
                <w:szCs w:val="18"/>
                <w:lang w:val="sr-Cyrl-CS"/>
              </w:rPr>
              <w:t xml:space="preserve"> (ЕУ) је у потпуности пренет члан  8. став</w:t>
            </w:r>
            <w:r w:rsidRPr="00487209">
              <w:rPr>
                <w:rFonts w:ascii="Times New Roman" w:hAnsi="Times New Roman" w:cs="Times New Roman"/>
                <w:sz w:val="18"/>
                <w:szCs w:val="18"/>
                <w:lang w:val="sr-Cyrl-CS"/>
              </w:rPr>
              <w:t xml:space="preserve"> </w:t>
            </w:r>
            <w:r w:rsidR="008111AF" w:rsidRPr="00487209">
              <w:rPr>
                <w:rFonts w:ascii="Times New Roman" w:hAnsi="Times New Roman" w:cs="Times New Roman"/>
                <w:sz w:val="18"/>
                <w:szCs w:val="18"/>
                <w:lang w:val="sr-Cyrl-CS"/>
              </w:rPr>
              <w:t>4</w:t>
            </w:r>
            <w:r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w:t>
            </w:r>
            <w:r w:rsidR="003036DD" w:rsidRPr="00487209">
              <w:rPr>
                <w:rFonts w:ascii="Times New Roman" w:hAnsi="Times New Roman" w:cs="Times New Roman"/>
                <w:sz w:val="18"/>
                <w:szCs w:val="18"/>
                <w:lang w:val="sr-Cyrl-CS"/>
              </w:rPr>
              <w:t xml:space="preserve">јер се позива на </w:t>
            </w:r>
            <w:r w:rsidR="003572AA" w:rsidRPr="00487209">
              <w:rPr>
                <w:rFonts w:ascii="Times New Roman" w:hAnsi="Times New Roman" w:cs="Times New Roman"/>
                <w:sz w:val="18"/>
                <w:szCs w:val="18"/>
                <w:lang w:val="sr-Cyrl-CS"/>
              </w:rPr>
              <w:t>пропис</w:t>
            </w:r>
            <w:r w:rsidR="003036DD" w:rsidRPr="00487209">
              <w:rPr>
                <w:rFonts w:ascii="Times New Roman" w:hAnsi="Times New Roman" w:cs="Times New Roman"/>
                <w:sz w:val="18"/>
                <w:szCs w:val="18"/>
                <w:lang w:val="sr-Cyrl-CS"/>
              </w:rPr>
              <w:t xml:space="preserve"> који уређује стављање у промет опасних хемикалија који је усклађен са Уредбом (ЕЗ) 1907/20</w:t>
            </w:r>
            <w:r w:rsidR="00F249E1" w:rsidRPr="00487209">
              <w:rPr>
                <w:rFonts w:ascii="Times New Roman" w:hAnsi="Times New Roman" w:cs="Times New Roman"/>
                <w:sz w:val="18"/>
                <w:szCs w:val="18"/>
                <w:lang w:val="sr-Cyrl-CS"/>
              </w:rPr>
              <w:t>01</w:t>
            </w:r>
            <w:r w:rsidRPr="00487209">
              <w:rPr>
                <w:rFonts w:ascii="Times New Roman" w:hAnsi="Times New Roman" w:cs="Times New Roman"/>
                <w:sz w:val="18"/>
                <w:szCs w:val="18"/>
                <w:lang w:val="sr-Cyrl-CS"/>
              </w:rPr>
              <w:t>.</w:t>
            </w:r>
          </w:p>
        </w:tc>
        <w:tc>
          <w:tcPr>
            <w:tcW w:w="480" w:type="pct"/>
            <w:shd w:val="clear" w:color="auto" w:fill="auto"/>
            <w:vAlign w:val="center"/>
          </w:tcPr>
          <w:p w14:paraId="5BC3940A" w14:textId="77777777" w:rsidR="00A93357" w:rsidRPr="00487209" w:rsidRDefault="00A93357" w:rsidP="006C6323">
            <w:pPr>
              <w:spacing w:before="120" w:after="120"/>
              <w:jc w:val="center"/>
              <w:rPr>
                <w:rFonts w:ascii="Times New Roman" w:hAnsi="Times New Roman" w:cs="Times New Roman"/>
                <w:sz w:val="18"/>
                <w:szCs w:val="18"/>
                <w:lang w:val="ru-RU"/>
              </w:rPr>
            </w:pPr>
          </w:p>
        </w:tc>
      </w:tr>
      <w:tr w:rsidR="00337554" w:rsidRPr="00487209" w14:paraId="2F96F2AB" w14:textId="77777777" w:rsidTr="007D5144">
        <w:trPr>
          <w:trHeight w:val="1970"/>
          <w:jc w:val="center"/>
        </w:trPr>
        <w:tc>
          <w:tcPr>
            <w:tcW w:w="435" w:type="pct"/>
            <w:shd w:val="clear" w:color="auto" w:fill="auto"/>
            <w:vAlign w:val="center"/>
          </w:tcPr>
          <w:p w14:paraId="6F07E97C" w14:textId="77777777" w:rsidR="00A93357" w:rsidRPr="00487209" w:rsidRDefault="00A93357"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7.1.</w:t>
            </w:r>
          </w:p>
        </w:tc>
        <w:tc>
          <w:tcPr>
            <w:tcW w:w="1369" w:type="pct"/>
            <w:gridSpan w:val="2"/>
            <w:shd w:val="clear" w:color="auto" w:fill="auto"/>
            <w:vAlign w:val="center"/>
          </w:tcPr>
          <w:p w14:paraId="1D953DD9" w14:textId="77777777" w:rsidR="00A93357" w:rsidRPr="00487209" w:rsidRDefault="00A93357"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copy of the declaration of performance of each product which is made available on the market shall be supplied either in paper form or by electronic means.</w:t>
            </w:r>
          </w:p>
          <w:p w14:paraId="017274CB" w14:textId="77777777" w:rsidR="00A93357" w:rsidRPr="00487209" w:rsidRDefault="00A93357"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However, where a batch of the same product is supplied to a single user, it may be accompanied by a single copy of the declaration of performance either in paper form or by electronic means.</w:t>
            </w:r>
          </w:p>
        </w:tc>
        <w:tc>
          <w:tcPr>
            <w:tcW w:w="429" w:type="pct"/>
            <w:shd w:val="clear" w:color="auto" w:fill="auto"/>
            <w:vAlign w:val="center"/>
          </w:tcPr>
          <w:p w14:paraId="23C1A5A7"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0EEED27A" w14:textId="77777777" w:rsidR="00A93357" w:rsidRPr="00487209" w:rsidRDefault="00C51664"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9.1.</w:t>
            </w:r>
          </w:p>
          <w:p w14:paraId="7B0D5A5C" w14:textId="77777777" w:rsidR="003572AA" w:rsidRPr="00487209" w:rsidRDefault="003572AA" w:rsidP="006C6323">
            <w:pPr>
              <w:spacing w:before="120" w:after="120"/>
              <w:ind w:firstLine="5"/>
              <w:jc w:val="center"/>
              <w:rPr>
                <w:rFonts w:ascii="Times New Roman" w:hAnsi="Times New Roman" w:cs="Times New Roman"/>
                <w:sz w:val="18"/>
                <w:szCs w:val="18"/>
                <w:lang w:val="ru-RU"/>
              </w:rPr>
            </w:pPr>
          </w:p>
          <w:p w14:paraId="4A508148" w14:textId="77777777" w:rsidR="003572AA" w:rsidRPr="00487209" w:rsidRDefault="003572AA" w:rsidP="006C6323">
            <w:pPr>
              <w:spacing w:before="120" w:after="120"/>
              <w:ind w:firstLine="5"/>
              <w:jc w:val="center"/>
              <w:rPr>
                <w:rFonts w:ascii="Times New Roman" w:hAnsi="Times New Roman" w:cs="Times New Roman"/>
                <w:sz w:val="18"/>
                <w:szCs w:val="18"/>
                <w:lang w:val="ru-RU"/>
              </w:rPr>
            </w:pPr>
          </w:p>
          <w:p w14:paraId="0D7C8126" w14:textId="77777777" w:rsidR="003572AA" w:rsidRPr="00487209" w:rsidRDefault="003572AA" w:rsidP="006C6323">
            <w:pPr>
              <w:spacing w:before="120" w:after="120"/>
              <w:ind w:firstLine="5"/>
              <w:jc w:val="center"/>
              <w:rPr>
                <w:rFonts w:ascii="Times New Roman" w:hAnsi="Times New Roman" w:cs="Times New Roman"/>
                <w:sz w:val="18"/>
                <w:szCs w:val="18"/>
                <w:lang w:val="ru-RU"/>
              </w:rPr>
            </w:pPr>
          </w:p>
          <w:p w14:paraId="7C73480C" w14:textId="77777777" w:rsidR="00C51664" w:rsidRPr="00487209" w:rsidRDefault="00C51664"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9.2.</w:t>
            </w:r>
          </w:p>
        </w:tc>
        <w:tc>
          <w:tcPr>
            <w:tcW w:w="1231" w:type="pct"/>
            <w:gridSpan w:val="2"/>
            <w:shd w:val="clear" w:color="auto" w:fill="auto"/>
            <w:vAlign w:val="center"/>
          </w:tcPr>
          <w:p w14:paraId="1CFF8FD6" w14:textId="65940865" w:rsidR="00372C81" w:rsidRDefault="00372C81" w:rsidP="006C6323">
            <w:pPr>
              <w:spacing w:before="120"/>
              <w:ind w:right="-23"/>
              <w:jc w:val="both"/>
              <w:outlineLvl w:val="3"/>
              <w:rPr>
                <w:rFonts w:ascii="Times New Roman" w:eastAsia="Batang" w:hAnsi="Times New Roman" w:cs="Times New Roman"/>
                <w:sz w:val="18"/>
                <w:szCs w:val="18"/>
                <w:lang w:val="sr-Cyrl-CS" w:eastAsia="ko-KR"/>
              </w:rPr>
            </w:pPr>
            <w:r w:rsidRPr="00372C81">
              <w:rPr>
                <w:rFonts w:ascii="Times New Roman" w:eastAsia="Batang" w:hAnsi="Times New Roman" w:cs="Times New Roman"/>
                <w:sz w:val="18"/>
                <w:szCs w:val="18"/>
                <w:lang w:val="sr-Cyrl-CS" w:eastAsia="ko-KR"/>
              </w:rPr>
              <w:t xml:space="preserve">Сваки грађевински производ који се чини доступним на тржишту прати примерак декларације о перформансама у писаноj форми или електронској форми. </w:t>
            </w:r>
          </w:p>
          <w:p w14:paraId="4F84C690" w14:textId="0B6FCA5E" w:rsidR="00A93357" w:rsidRPr="00487209" w:rsidRDefault="00372C81" w:rsidP="00260E0E">
            <w:pPr>
              <w:spacing w:before="120"/>
              <w:jc w:val="both"/>
              <w:rPr>
                <w:rFonts w:ascii="Times New Roman" w:hAnsi="Times New Roman" w:cs="Times New Roman"/>
                <w:sz w:val="18"/>
                <w:szCs w:val="18"/>
                <w:lang w:val="sr-Cyrl-CS"/>
              </w:rPr>
            </w:pPr>
            <w:r w:rsidRPr="00372C81">
              <w:rPr>
                <w:rFonts w:ascii="Times New Roman" w:eastAsia="Batang" w:hAnsi="Times New Roman" w:cs="Times New Roman"/>
                <w:sz w:val="18"/>
                <w:szCs w:val="18"/>
                <w:lang w:val="sr-Cyrl-CS" w:eastAsia="ko-KR"/>
              </w:rPr>
              <w:t>Када се испоручује серија истог грађевинског производа, она може бити праћена једним примерком декларације о перформансама у писаној форми или електронскoj форми.</w:t>
            </w:r>
          </w:p>
        </w:tc>
        <w:tc>
          <w:tcPr>
            <w:tcW w:w="458" w:type="pct"/>
            <w:shd w:val="clear" w:color="auto" w:fill="auto"/>
            <w:vAlign w:val="center"/>
          </w:tcPr>
          <w:p w14:paraId="33C274A7" w14:textId="77777777" w:rsidR="00A93357" w:rsidRPr="00487209" w:rsidRDefault="00C51664"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46020B8D" w14:textId="77777777" w:rsidR="00A93357" w:rsidRPr="00487209" w:rsidRDefault="00A93357"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781F4BE" w14:textId="77777777" w:rsidR="00A93357" w:rsidRPr="00487209" w:rsidRDefault="00A93357" w:rsidP="006C6323">
            <w:pPr>
              <w:spacing w:before="120" w:after="120"/>
              <w:jc w:val="center"/>
              <w:rPr>
                <w:rFonts w:ascii="Times New Roman" w:hAnsi="Times New Roman" w:cs="Times New Roman"/>
                <w:sz w:val="18"/>
                <w:szCs w:val="18"/>
                <w:lang w:val="sr-Cyrl-CS"/>
              </w:rPr>
            </w:pPr>
          </w:p>
        </w:tc>
      </w:tr>
      <w:tr w:rsidR="00337554" w:rsidRPr="00487209" w14:paraId="28DEDA4A" w14:textId="77777777" w:rsidTr="007D5144">
        <w:trPr>
          <w:trHeight w:val="1970"/>
          <w:jc w:val="center"/>
        </w:trPr>
        <w:tc>
          <w:tcPr>
            <w:tcW w:w="435" w:type="pct"/>
            <w:shd w:val="clear" w:color="auto" w:fill="auto"/>
            <w:vAlign w:val="center"/>
          </w:tcPr>
          <w:p w14:paraId="4CE85533" w14:textId="77777777" w:rsidR="00A93357" w:rsidRPr="00487209" w:rsidRDefault="00A93357"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7.2.</w:t>
            </w:r>
          </w:p>
        </w:tc>
        <w:tc>
          <w:tcPr>
            <w:tcW w:w="1369" w:type="pct"/>
            <w:gridSpan w:val="2"/>
            <w:shd w:val="clear" w:color="auto" w:fill="auto"/>
            <w:vAlign w:val="center"/>
          </w:tcPr>
          <w:p w14:paraId="08195F85" w14:textId="77777777" w:rsidR="00A93357" w:rsidRPr="00487209" w:rsidRDefault="00A93357" w:rsidP="006C6323">
            <w:pPr>
              <w:jc w:val="both"/>
              <w:rPr>
                <w:rFonts w:ascii="Times New Roman" w:hAnsi="Times New Roman" w:cs="Times New Roman"/>
                <w:sz w:val="18"/>
                <w:szCs w:val="18"/>
              </w:rPr>
            </w:pPr>
            <w:r w:rsidRPr="00487209">
              <w:rPr>
                <w:rFonts w:ascii="Times New Roman" w:hAnsi="Times New Roman" w:cs="Times New Roman"/>
                <w:sz w:val="18"/>
                <w:szCs w:val="18"/>
              </w:rPr>
              <w:t>A paper copy of the declaration of performance shall be supplied if the recipient requests it.</w:t>
            </w:r>
          </w:p>
        </w:tc>
        <w:tc>
          <w:tcPr>
            <w:tcW w:w="429" w:type="pct"/>
            <w:shd w:val="clear" w:color="auto" w:fill="auto"/>
            <w:vAlign w:val="center"/>
          </w:tcPr>
          <w:p w14:paraId="56FCC9F0"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46D7A776" w14:textId="77777777" w:rsidR="00A93357" w:rsidRPr="00487209" w:rsidRDefault="00A42B0C"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9.3.</w:t>
            </w:r>
          </w:p>
        </w:tc>
        <w:tc>
          <w:tcPr>
            <w:tcW w:w="1231" w:type="pct"/>
            <w:gridSpan w:val="2"/>
            <w:shd w:val="clear" w:color="auto" w:fill="auto"/>
            <w:vAlign w:val="center"/>
          </w:tcPr>
          <w:p w14:paraId="226CAE5F" w14:textId="77777777" w:rsidR="004E548E" w:rsidRPr="00487209" w:rsidRDefault="004E548E" w:rsidP="004E548E">
            <w:pPr>
              <w:spacing w:before="120"/>
              <w:ind w:right="-23"/>
              <w:jc w:val="both"/>
              <w:outlineLvl w:val="3"/>
              <w:rPr>
                <w:rFonts w:ascii="Times New Roman" w:eastAsia="Batang" w:hAnsi="Times New Roman" w:cs="Times New Roman"/>
                <w:b/>
                <w:bCs/>
                <w:sz w:val="18"/>
                <w:szCs w:val="18"/>
                <w:lang w:val="sr-Cyrl-CS" w:eastAsia="ko-KR"/>
              </w:rPr>
            </w:pPr>
            <w:r w:rsidRPr="00487209">
              <w:rPr>
                <w:rFonts w:ascii="Times New Roman" w:eastAsia="Times New Roman" w:hAnsi="Times New Roman" w:cs="Times New Roman"/>
                <w:sz w:val="18"/>
                <w:szCs w:val="18"/>
                <w:lang w:val="sr-Cyrl-CS"/>
              </w:rPr>
              <w:t>Ако је примерак декларације о перформансама достављен само у електронској форми, на захтев примаоца п</w:t>
            </w:r>
            <w:r w:rsidRPr="00487209">
              <w:rPr>
                <w:rFonts w:ascii="Times New Roman" w:eastAsia="Batang" w:hAnsi="Times New Roman" w:cs="Times New Roman"/>
                <w:sz w:val="18"/>
                <w:szCs w:val="18"/>
                <w:lang w:val="sr-Cyrl-CS" w:eastAsia="ko-KR"/>
              </w:rPr>
              <w:t>римерак декларације о перформансама грађевинског производа доставља се и у писано</w:t>
            </w:r>
            <w:r w:rsidRPr="00487209">
              <w:rPr>
                <w:rFonts w:ascii="Times New Roman" w:eastAsia="Batang" w:hAnsi="Times New Roman" w:cs="Times New Roman"/>
                <w:sz w:val="18"/>
                <w:szCs w:val="18"/>
                <w:lang w:val="es-ES" w:eastAsia="ko-KR"/>
              </w:rPr>
              <w:t>j</w:t>
            </w:r>
            <w:r w:rsidRPr="00487209">
              <w:rPr>
                <w:rFonts w:ascii="Times New Roman" w:eastAsia="Batang" w:hAnsi="Times New Roman" w:cs="Times New Roman"/>
                <w:sz w:val="18"/>
                <w:szCs w:val="18"/>
                <w:lang w:val="sr-Cyrl-CS" w:eastAsia="ko-KR"/>
              </w:rPr>
              <w:t xml:space="preserve"> форми.</w:t>
            </w:r>
          </w:p>
          <w:p w14:paraId="6A6BAB2D" w14:textId="77777777" w:rsidR="00A93357" w:rsidRPr="00487209" w:rsidRDefault="00A93357" w:rsidP="006C6323">
            <w:pPr>
              <w:jc w:val="center"/>
              <w:rPr>
                <w:rFonts w:ascii="Times New Roman" w:hAnsi="Times New Roman" w:cs="Times New Roman"/>
                <w:sz w:val="18"/>
                <w:szCs w:val="18"/>
                <w:lang w:val="sr-Cyrl-CS"/>
              </w:rPr>
            </w:pPr>
          </w:p>
        </w:tc>
        <w:tc>
          <w:tcPr>
            <w:tcW w:w="458" w:type="pct"/>
            <w:shd w:val="clear" w:color="auto" w:fill="auto"/>
            <w:vAlign w:val="center"/>
          </w:tcPr>
          <w:p w14:paraId="3F92CCD7" w14:textId="77777777" w:rsidR="00A93357" w:rsidRPr="00487209" w:rsidRDefault="00A42B0C"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7DC938BB" w14:textId="77777777" w:rsidR="00A93357" w:rsidRPr="00487209" w:rsidRDefault="00A93357"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2B925BF7" w14:textId="77777777" w:rsidR="00A93357" w:rsidRPr="00487209" w:rsidRDefault="00A93357" w:rsidP="006C6323">
            <w:pPr>
              <w:spacing w:before="120" w:after="120"/>
              <w:jc w:val="center"/>
              <w:rPr>
                <w:rFonts w:ascii="Times New Roman" w:hAnsi="Times New Roman" w:cs="Times New Roman"/>
                <w:sz w:val="18"/>
                <w:szCs w:val="18"/>
                <w:lang w:val="ru-RU"/>
              </w:rPr>
            </w:pPr>
          </w:p>
        </w:tc>
      </w:tr>
      <w:tr w:rsidR="00337554" w:rsidRPr="00487209" w14:paraId="1863781C" w14:textId="77777777" w:rsidTr="007D5144">
        <w:trPr>
          <w:trHeight w:val="1970"/>
          <w:jc w:val="center"/>
        </w:trPr>
        <w:tc>
          <w:tcPr>
            <w:tcW w:w="435" w:type="pct"/>
            <w:shd w:val="clear" w:color="auto" w:fill="auto"/>
            <w:vAlign w:val="center"/>
          </w:tcPr>
          <w:p w14:paraId="08690E45" w14:textId="77777777" w:rsidR="00A93357" w:rsidRPr="00487209" w:rsidRDefault="00A93357"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7.3.</w:t>
            </w:r>
          </w:p>
        </w:tc>
        <w:tc>
          <w:tcPr>
            <w:tcW w:w="1369" w:type="pct"/>
            <w:gridSpan w:val="2"/>
            <w:shd w:val="clear" w:color="auto" w:fill="auto"/>
            <w:vAlign w:val="center"/>
          </w:tcPr>
          <w:p w14:paraId="4155282F" w14:textId="77777777" w:rsidR="00A93357" w:rsidRPr="00487209" w:rsidRDefault="00A93357" w:rsidP="006C6323">
            <w:pPr>
              <w:jc w:val="both"/>
              <w:rPr>
                <w:rFonts w:ascii="Times New Roman" w:hAnsi="Times New Roman" w:cs="Times New Roman"/>
                <w:sz w:val="18"/>
                <w:szCs w:val="18"/>
              </w:rPr>
            </w:pPr>
            <w:r w:rsidRPr="00487209">
              <w:rPr>
                <w:rFonts w:ascii="Times New Roman" w:hAnsi="Times New Roman" w:cs="Times New Roman"/>
                <w:sz w:val="18"/>
                <w:szCs w:val="18"/>
              </w:rPr>
              <w:t>By way of derogation from paragraphs 1 and 2, the copy of the declaration of performance may be made available on a web site in accordance with conditions to be established by the Commission by means of delegated acts in accordance with Article 60. Such conditions shall, inter alia, guarantee that the declaration of performance remains available at least for the period referred to in Article 11(2).</w:t>
            </w:r>
          </w:p>
        </w:tc>
        <w:tc>
          <w:tcPr>
            <w:tcW w:w="429" w:type="pct"/>
            <w:shd w:val="clear" w:color="auto" w:fill="auto"/>
            <w:vAlign w:val="center"/>
          </w:tcPr>
          <w:p w14:paraId="3ADBE6F6"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267F3555" w14:textId="77777777" w:rsidR="00A93357" w:rsidRDefault="009D7164"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9.4.</w:t>
            </w:r>
          </w:p>
          <w:p w14:paraId="44D313BF" w14:textId="1800F99B" w:rsidR="009C458E" w:rsidRPr="00260E0E" w:rsidRDefault="009C458E" w:rsidP="00260E0E">
            <w:pPr>
              <w:jc w:val="center"/>
              <w:rPr>
                <w:rFonts w:ascii="Times New Roman" w:hAnsi="Times New Roman" w:cs="Times New Roman"/>
                <w:sz w:val="18"/>
                <w:szCs w:val="18"/>
                <w:lang w:val="sr-Latn-CS"/>
              </w:rPr>
            </w:pPr>
            <w:r w:rsidRPr="00260E0E">
              <w:rPr>
                <w:rFonts w:ascii="Times New Roman" w:hAnsi="Times New Roman" w:cs="Times New Roman"/>
                <w:sz w:val="18"/>
                <w:szCs w:val="18"/>
                <w:lang w:val="sr-Latn-CS"/>
              </w:rPr>
              <w:t>9.4.1)</w:t>
            </w:r>
          </w:p>
          <w:p w14:paraId="70A971AE" w14:textId="77777777" w:rsidR="009C458E" w:rsidRPr="00260E0E" w:rsidRDefault="009C458E" w:rsidP="009C458E">
            <w:pPr>
              <w:jc w:val="center"/>
              <w:rPr>
                <w:rFonts w:ascii="Times New Roman" w:hAnsi="Times New Roman" w:cs="Times New Roman"/>
                <w:sz w:val="18"/>
                <w:szCs w:val="18"/>
                <w:lang w:val="sr-Latn-CS"/>
              </w:rPr>
            </w:pPr>
          </w:p>
          <w:p w14:paraId="2F7B249C" w14:textId="77777777" w:rsidR="009C458E" w:rsidRPr="00260E0E" w:rsidRDefault="009C458E" w:rsidP="00E05067">
            <w:pPr>
              <w:jc w:val="center"/>
              <w:rPr>
                <w:rFonts w:ascii="Times New Roman" w:hAnsi="Times New Roman" w:cs="Times New Roman"/>
                <w:sz w:val="18"/>
                <w:szCs w:val="18"/>
                <w:lang w:val="sr-Latn-CS"/>
              </w:rPr>
            </w:pPr>
          </w:p>
          <w:p w14:paraId="22384D04" w14:textId="77777777" w:rsidR="009C458E" w:rsidRPr="00260E0E" w:rsidRDefault="009C458E" w:rsidP="00260E0E">
            <w:pPr>
              <w:jc w:val="center"/>
              <w:rPr>
                <w:rFonts w:ascii="Times New Roman" w:hAnsi="Times New Roman" w:cs="Times New Roman"/>
                <w:sz w:val="18"/>
                <w:szCs w:val="18"/>
                <w:lang w:val="sr-Latn-CS"/>
              </w:rPr>
            </w:pPr>
          </w:p>
          <w:p w14:paraId="64EF4BD9" w14:textId="77777777" w:rsidR="009C458E" w:rsidRPr="00260E0E" w:rsidRDefault="009C458E" w:rsidP="009C458E">
            <w:pPr>
              <w:jc w:val="center"/>
              <w:rPr>
                <w:rFonts w:ascii="Times New Roman" w:hAnsi="Times New Roman" w:cs="Times New Roman"/>
                <w:sz w:val="18"/>
                <w:szCs w:val="18"/>
                <w:lang w:val="sr-Latn-CS"/>
              </w:rPr>
            </w:pPr>
          </w:p>
          <w:p w14:paraId="4B3DA2EA" w14:textId="77777777" w:rsidR="009C458E" w:rsidRPr="00260E0E" w:rsidRDefault="009C458E" w:rsidP="00E05067">
            <w:pPr>
              <w:jc w:val="center"/>
              <w:rPr>
                <w:rFonts w:ascii="Times New Roman" w:hAnsi="Times New Roman" w:cs="Times New Roman"/>
                <w:sz w:val="18"/>
                <w:szCs w:val="18"/>
                <w:lang w:val="sr-Latn-CS"/>
              </w:rPr>
            </w:pPr>
            <w:r w:rsidRPr="00260E0E">
              <w:rPr>
                <w:rFonts w:ascii="Times New Roman" w:hAnsi="Times New Roman" w:cs="Times New Roman"/>
                <w:sz w:val="18"/>
                <w:szCs w:val="18"/>
                <w:lang w:val="sr-Latn-CS"/>
              </w:rPr>
              <w:t>9.4.2)</w:t>
            </w:r>
          </w:p>
          <w:p w14:paraId="169FD81B" w14:textId="77777777" w:rsidR="009C458E" w:rsidRPr="00260E0E" w:rsidRDefault="009C458E" w:rsidP="00E96343">
            <w:pPr>
              <w:jc w:val="center"/>
              <w:rPr>
                <w:rFonts w:ascii="Times New Roman" w:hAnsi="Times New Roman" w:cs="Times New Roman"/>
                <w:sz w:val="18"/>
                <w:szCs w:val="18"/>
                <w:lang w:val="sr-Latn-CS"/>
              </w:rPr>
            </w:pPr>
          </w:p>
          <w:p w14:paraId="0D324945" w14:textId="77777777" w:rsidR="009C458E" w:rsidRPr="00260E0E" w:rsidRDefault="009C458E" w:rsidP="00996355">
            <w:pPr>
              <w:jc w:val="center"/>
              <w:rPr>
                <w:rFonts w:ascii="Times New Roman" w:hAnsi="Times New Roman" w:cs="Times New Roman"/>
                <w:sz w:val="18"/>
                <w:szCs w:val="18"/>
                <w:lang w:val="sr-Latn-CS"/>
              </w:rPr>
            </w:pPr>
          </w:p>
          <w:p w14:paraId="5D319E27" w14:textId="77777777" w:rsidR="009C458E" w:rsidRPr="00260E0E" w:rsidRDefault="009C458E" w:rsidP="002E2BE1">
            <w:pPr>
              <w:jc w:val="center"/>
              <w:rPr>
                <w:rFonts w:ascii="Times New Roman" w:hAnsi="Times New Roman" w:cs="Times New Roman"/>
                <w:sz w:val="18"/>
                <w:szCs w:val="18"/>
                <w:lang w:val="sr-Latn-CS"/>
              </w:rPr>
            </w:pPr>
          </w:p>
          <w:p w14:paraId="538D1FF3" w14:textId="77777777" w:rsidR="009C458E" w:rsidRPr="00260E0E" w:rsidRDefault="009C458E" w:rsidP="002E2BE1">
            <w:pPr>
              <w:jc w:val="center"/>
              <w:rPr>
                <w:rFonts w:ascii="Times New Roman" w:hAnsi="Times New Roman" w:cs="Times New Roman"/>
                <w:sz w:val="18"/>
                <w:szCs w:val="18"/>
                <w:lang w:val="sr-Latn-CS"/>
              </w:rPr>
            </w:pPr>
          </w:p>
          <w:p w14:paraId="680F88B0" w14:textId="77777777" w:rsidR="009C458E" w:rsidRPr="00260E0E" w:rsidRDefault="009C458E" w:rsidP="002E2BE1">
            <w:pPr>
              <w:jc w:val="center"/>
              <w:rPr>
                <w:rFonts w:ascii="Times New Roman" w:hAnsi="Times New Roman" w:cs="Times New Roman"/>
                <w:sz w:val="18"/>
                <w:szCs w:val="18"/>
                <w:lang w:val="sr-Latn-CS"/>
              </w:rPr>
            </w:pPr>
          </w:p>
          <w:p w14:paraId="36FBB8DB" w14:textId="77777777" w:rsidR="009C458E" w:rsidRPr="00260E0E" w:rsidRDefault="009C458E" w:rsidP="00260E0E">
            <w:pPr>
              <w:jc w:val="center"/>
              <w:rPr>
                <w:rFonts w:ascii="Times New Roman" w:hAnsi="Times New Roman" w:cs="Times New Roman"/>
                <w:sz w:val="18"/>
                <w:szCs w:val="18"/>
                <w:lang w:val="sr-Latn-CS"/>
              </w:rPr>
            </w:pPr>
          </w:p>
          <w:p w14:paraId="71EF7921" w14:textId="77777777" w:rsidR="009C458E" w:rsidRPr="00260E0E" w:rsidRDefault="009C458E" w:rsidP="009C458E">
            <w:pPr>
              <w:jc w:val="center"/>
              <w:rPr>
                <w:rFonts w:ascii="Times New Roman" w:hAnsi="Times New Roman" w:cs="Times New Roman"/>
                <w:sz w:val="18"/>
                <w:szCs w:val="18"/>
                <w:lang w:val="sr-Latn-CS"/>
              </w:rPr>
            </w:pPr>
          </w:p>
          <w:p w14:paraId="0B06E373" w14:textId="77777777" w:rsidR="009C458E" w:rsidRPr="00260E0E" w:rsidRDefault="009C458E" w:rsidP="00E05067">
            <w:pPr>
              <w:jc w:val="center"/>
              <w:rPr>
                <w:rFonts w:ascii="Times New Roman" w:hAnsi="Times New Roman" w:cs="Times New Roman"/>
                <w:sz w:val="18"/>
                <w:szCs w:val="18"/>
                <w:lang w:val="sr-Latn-CS"/>
              </w:rPr>
            </w:pPr>
          </w:p>
          <w:p w14:paraId="22505B04" w14:textId="77777777" w:rsidR="009C458E" w:rsidRPr="00260E0E" w:rsidRDefault="009C458E" w:rsidP="00E96343">
            <w:pPr>
              <w:jc w:val="center"/>
              <w:rPr>
                <w:rFonts w:ascii="Times New Roman" w:hAnsi="Times New Roman" w:cs="Times New Roman"/>
                <w:sz w:val="18"/>
                <w:szCs w:val="18"/>
                <w:lang w:val="sr-Latn-CS"/>
              </w:rPr>
            </w:pPr>
            <w:r w:rsidRPr="00260E0E">
              <w:rPr>
                <w:rFonts w:ascii="Times New Roman" w:hAnsi="Times New Roman" w:cs="Times New Roman"/>
                <w:sz w:val="18"/>
                <w:szCs w:val="18"/>
                <w:lang w:val="sr-Latn-CS"/>
              </w:rPr>
              <w:t>9.4.3)</w:t>
            </w:r>
          </w:p>
          <w:p w14:paraId="7FC070AE" w14:textId="77777777" w:rsidR="009C458E" w:rsidRPr="00260E0E" w:rsidRDefault="009C458E" w:rsidP="00996355">
            <w:pPr>
              <w:jc w:val="center"/>
              <w:rPr>
                <w:rFonts w:ascii="Times New Roman" w:hAnsi="Times New Roman" w:cs="Times New Roman"/>
                <w:sz w:val="18"/>
                <w:szCs w:val="18"/>
                <w:lang w:val="sr-Latn-CS"/>
              </w:rPr>
            </w:pPr>
          </w:p>
          <w:p w14:paraId="14AFC750" w14:textId="77777777" w:rsidR="009C458E" w:rsidRPr="00260E0E" w:rsidRDefault="009C458E" w:rsidP="002E2BE1">
            <w:pPr>
              <w:jc w:val="center"/>
              <w:rPr>
                <w:rFonts w:ascii="Times New Roman" w:hAnsi="Times New Roman" w:cs="Times New Roman"/>
                <w:sz w:val="18"/>
                <w:szCs w:val="18"/>
                <w:lang w:val="sr-Latn-CS"/>
              </w:rPr>
            </w:pPr>
          </w:p>
          <w:p w14:paraId="367E0488" w14:textId="77777777" w:rsidR="009C458E" w:rsidRPr="00260E0E" w:rsidRDefault="009C458E" w:rsidP="002E2BE1">
            <w:pPr>
              <w:jc w:val="center"/>
              <w:rPr>
                <w:rFonts w:ascii="Times New Roman" w:hAnsi="Times New Roman" w:cs="Times New Roman"/>
                <w:sz w:val="18"/>
                <w:szCs w:val="18"/>
                <w:lang w:val="sr-Latn-CS"/>
              </w:rPr>
            </w:pPr>
          </w:p>
          <w:p w14:paraId="1B809F4A" w14:textId="77777777" w:rsidR="009C458E" w:rsidRPr="00260E0E" w:rsidRDefault="009C458E" w:rsidP="002E2BE1">
            <w:pPr>
              <w:jc w:val="center"/>
              <w:rPr>
                <w:rFonts w:ascii="Times New Roman" w:hAnsi="Times New Roman" w:cs="Times New Roman"/>
                <w:sz w:val="18"/>
                <w:szCs w:val="18"/>
                <w:lang w:val="sr-Latn-CS"/>
              </w:rPr>
            </w:pPr>
          </w:p>
          <w:p w14:paraId="306B911B" w14:textId="77777777" w:rsidR="009C458E" w:rsidRPr="00260E0E" w:rsidRDefault="009C458E" w:rsidP="005E557E">
            <w:pPr>
              <w:jc w:val="center"/>
              <w:rPr>
                <w:rFonts w:ascii="Times New Roman" w:hAnsi="Times New Roman" w:cs="Times New Roman"/>
                <w:sz w:val="18"/>
                <w:szCs w:val="18"/>
                <w:lang w:val="sr-Latn-CS"/>
              </w:rPr>
            </w:pPr>
          </w:p>
          <w:p w14:paraId="29AA8DA1" w14:textId="77777777" w:rsidR="009C458E" w:rsidRPr="00260E0E" w:rsidRDefault="009C458E" w:rsidP="005E557E">
            <w:pPr>
              <w:jc w:val="center"/>
              <w:rPr>
                <w:rFonts w:ascii="Times New Roman" w:hAnsi="Times New Roman" w:cs="Times New Roman"/>
                <w:sz w:val="18"/>
                <w:szCs w:val="18"/>
                <w:lang w:val="sr-Latn-CS"/>
              </w:rPr>
            </w:pPr>
          </w:p>
          <w:p w14:paraId="0F0824A5" w14:textId="77777777" w:rsidR="009C458E" w:rsidRPr="00260E0E" w:rsidRDefault="009C458E" w:rsidP="0012513C">
            <w:pPr>
              <w:jc w:val="center"/>
              <w:rPr>
                <w:rFonts w:ascii="Times New Roman" w:hAnsi="Times New Roman" w:cs="Times New Roman"/>
                <w:sz w:val="18"/>
                <w:szCs w:val="18"/>
                <w:lang w:val="sr-Latn-CS"/>
              </w:rPr>
            </w:pPr>
          </w:p>
          <w:p w14:paraId="46728889" w14:textId="77777777" w:rsidR="009C458E" w:rsidRPr="00260E0E" w:rsidRDefault="009C458E" w:rsidP="00260E0E">
            <w:pPr>
              <w:jc w:val="center"/>
              <w:rPr>
                <w:rFonts w:ascii="Times New Roman" w:hAnsi="Times New Roman" w:cs="Times New Roman"/>
                <w:sz w:val="18"/>
                <w:szCs w:val="18"/>
                <w:lang w:val="sr-Latn-CS"/>
              </w:rPr>
            </w:pPr>
          </w:p>
          <w:p w14:paraId="6974E9DB" w14:textId="32ECCB42" w:rsidR="009C458E" w:rsidRPr="00487209" w:rsidRDefault="009C458E" w:rsidP="009C458E">
            <w:pPr>
              <w:spacing w:before="120" w:after="120"/>
              <w:ind w:firstLine="5"/>
              <w:jc w:val="center"/>
              <w:rPr>
                <w:rFonts w:ascii="Times New Roman" w:hAnsi="Times New Roman" w:cs="Times New Roman"/>
                <w:sz w:val="18"/>
                <w:szCs w:val="18"/>
                <w:lang w:val="ru-RU"/>
              </w:rPr>
            </w:pPr>
            <w:r w:rsidRPr="00260E0E">
              <w:rPr>
                <w:rFonts w:ascii="Times New Roman" w:hAnsi="Times New Roman" w:cs="Times New Roman"/>
                <w:sz w:val="18"/>
                <w:szCs w:val="18"/>
                <w:lang w:val="sr-Latn-CS"/>
              </w:rPr>
              <w:t>9.4.4)</w:t>
            </w:r>
          </w:p>
        </w:tc>
        <w:tc>
          <w:tcPr>
            <w:tcW w:w="1231" w:type="pct"/>
            <w:gridSpan w:val="2"/>
            <w:shd w:val="clear" w:color="auto" w:fill="auto"/>
            <w:vAlign w:val="center"/>
          </w:tcPr>
          <w:p w14:paraId="3A93B3AA" w14:textId="77777777" w:rsidR="00372C81" w:rsidRPr="00372C81" w:rsidRDefault="00372C81" w:rsidP="00372C81">
            <w:pPr>
              <w:spacing w:before="120"/>
              <w:ind w:right="-23"/>
              <w:jc w:val="both"/>
              <w:outlineLvl w:val="3"/>
              <w:rPr>
                <w:rFonts w:ascii="Times New Roman" w:eastAsia="Batang" w:hAnsi="Times New Roman" w:cs="Times New Roman"/>
                <w:bCs/>
                <w:sz w:val="18"/>
                <w:szCs w:val="18"/>
                <w:lang w:val="sr-Cyrl-CS" w:eastAsia="ko-KR"/>
              </w:rPr>
            </w:pPr>
            <w:r w:rsidRPr="00372C81">
              <w:rPr>
                <w:rFonts w:ascii="Times New Roman" w:eastAsia="Batang" w:hAnsi="Times New Roman" w:cs="Times New Roman"/>
                <w:bCs/>
                <w:sz w:val="18"/>
                <w:szCs w:val="18"/>
                <w:lang w:val="sr-Cyrl-CS" w:eastAsia="ko-KR"/>
              </w:rPr>
              <w:t>Привредни субјект објављује декларацију о перформансама из члана 6. став 1.  овог закона на интернет страници уколико:</w:t>
            </w:r>
          </w:p>
          <w:p w14:paraId="4F604731" w14:textId="7E130B1A" w:rsidR="00372C81" w:rsidRPr="00260E0E" w:rsidRDefault="00372C81" w:rsidP="00260E0E">
            <w:pPr>
              <w:pStyle w:val="ListParagraph"/>
              <w:numPr>
                <w:ilvl w:val="1"/>
                <w:numId w:val="91"/>
              </w:numPr>
              <w:spacing w:before="120"/>
              <w:ind w:left="699" w:right="-23"/>
              <w:jc w:val="both"/>
              <w:outlineLvl w:val="3"/>
              <w:rPr>
                <w:rFonts w:eastAsia="Batang"/>
                <w:bCs/>
                <w:sz w:val="18"/>
                <w:szCs w:val="18"/>
                <w:lang w:eastAsia="ko-KR"/>
              </w:rPr>
            </w:pPr>
            <w:r w:rsidRPr="00260E0E">
              <w:rPr>
                <w:rFonts w:eastAsia="Batang"/>
                <w:bCs/>
                <w:sz w:val="18"/>
                <w:szCs w:val="18"/>
                <w:lang w:eastAsia="ko-KR"/>
              </w:rPr>
              <w:t>је обезбедио да се садржина декларације о перформансама нe мења након објављивања на интернет страни;</w:t>
            </w:r>
          </w:p>
          <w:p w14:paraId="3B97F2C0" w14:textId="217E0C9F" w:rsidR="00372C81" w:rsidRPr="00260E0E" w:rsidRDefault="00372C81" w:rsidP="00260E0E">
            <w:pPr>
              <w:pStyle w:val="ListParagraph"/>
              <w:numPr>
                <w:ilvl w:val="1"/>
                <w:numId w:val="91"/>
              </w:numPr>
              <w:spacing w:before="120"/>
              <w:ind w:left="699" w:right="-23"/>
              <w:jc w:val="both"/>
              <w:outlineLvl w:val="3"/>
              <w:rPr>
                <w:rFonts w:eastAsia="Batang"/>
                <w:bCs/>
                <w:sz w:val="18"/>
                <w:szCs w:val="18"/>
                <w:lang w:eastAsia="ko-KR"/>
              </w:rPr>
            </w:pPr>
            <w:r w:rsidRPr="00260E0E">
              <w:rPr>
                <w:rFonts w:eastAsia="Batang"/>
                <w:bCs/>
                <w:sz w:val="18"/>
                <w:szCs w:val="18"/>
                <w:lang w:eastAsia="ko-KR"/>
              </w:rPr>
              <w:t>је обезбедио да се интернет страна на којој је објављена декларација о перформансама прати и одржава тако да страна и декларација о перформансама примаоцима грађевинских производа буду стално на располагању;</w:t>
            </w:r>
          </w:p>
          <w:p w14:paraId="4F488252" w14:textId="1F5AD490" w:rsidR="00372C81" w:rsidRPr="00260E0E" w:rsidRDefault="00372C81" w:rsidP="00260E0E">
            <w:pPr>
              <w:pStyle w:val="ListParagraph"/>
              <w:numPr>
                <w:ilvl w:val="1"/>
                <w:numId w:val="91"/>
              </w:numPr>
              <w:spacing w:before="120"/>
              <w:ind w:left="699" w:right="-23"/>
              <w:jc w:val="both"/>
              <w:outlineLvl w:val="3"/>
              <w:rPr>
                <w:rFonts w:eastAsia="Batang"/>
                <w:bCs/>
                <w:sz w:val="18"/>
                <w:szCs w:val="18"/>
                <w:lang w:eastAsia="ko-KR"/>
              </w:rPr>
            </w:pPr>
            <w:r w:rsidRPr="00260E0E">
              <w:rPr>
                <w:rFonts w:eastAsia="Batang"/>
                <w:bCs/>
                <w:sz w:val="18"/>
                <w:szCs w:val="18"/>
                <w:lang w:eastAsia="ko-KR"/>
              </w:rPr>
              <w:t>примаоцима грађевинских производа омогући приступ декларацији о перформансама без накнаде у периоду од десет година након стављања грађевинског производа на тржиште или током другог таквог раздобља које се може утврдити у складу са посебним прописима;</w:t>
            </w:r>
          </w:p>
          <w:p w14:paraId="2BBC6413" w14:textId="4E542E34" w:rsidR="00372C81" w:rsidRPr="00260E0E" w:rsidRDefault="00372C81" w:rsidP="00260E0E">
            <w:pPr>
              <w:pStyle w:val="ListParagraph"/>
              <w:numPr>
                <w:ilvl w:val="1"/>
                <w:numId w:val="91"/>
              </w:numPr>
              <w:spacing w:before="120"/>
              <w:ind w:left="699" w:right="-23"/>
              <w:jc w:val="both"/>
              <w:outlineLvl w:val="3"/>
              <w:rPr>
                <w:rFonts w:eastAsia="Batang"/>
                <w:bCs/>
                <w:sz w:val="18"/>
                <w:szCs w:val="18"/>
                <w:lang w:eastAsia="ko-KR"/>
              </w:rPr>
            </w:pPr>
            <w:r w:rsidRPr="00260E0E">
              <w:rPr>
                <w:rFonts w:eastAsia="Batang"/>
                <w:bCs/>
                <w:sz w:val="18"/>
                <w:szCs w:val="18"/>
                <w:lang w:eastAsia="ko-KR"/>
              </w:rPr>
              <w:t xml:space="preserve">су примаоцима грађевинских производа осигурана упутства за приступ интернет страни и декларацији о перформансама </w:t>
            </w:r>
            <w:r w:rsidRPr="00260E0E">
              <w:rPr>
                <w:rFonts w:eastAsia="Batang"/>
                <w:bCs/>
                <w:sz w:val="18"/>
                <w:szCs w:val="18"/>
                <w:lang w:eastAsia="ko-KR"/>
              </w:rPr>
              <w:lastRenderedPageBreak/>
              <w:t>које су састављене за такве производе доступним на наведеним интернет странама.</w:t>
            </w:r>
          </w:p>
          <w:p w14:paraId="3B15846D" w14:textId="77777777" w:rsidR="00A93357" w:rsidRPr="00487209" w:rsidRDefault="00A93357" w:rsidP="006C6323">
            <w:pPr>
              <w:jc w:val="both"/>
              <w:rPr>
                <w:rFonts w:ascii="Times New Roman" w:hAnsi="Times New Roman" w:cs="Times New Roman"/>
                <w:sz w:val="18"/>
                <w:szCs w:val="18"/>
                <w:lang w:val="sr-Cyrl-CS"/>
              </w:rPr>
            </w:pPr>
          </w:p>
        </w:tc>
        <w:tc>
          <w:tcPr>
            <w:tcW w:w="458" w:type="pct"/>
            <w:shd w:val="clear" w:color="auto" w:fill="auto"/>
            <w:vAlign w:val="center"/>
          </w:tcPr>
          <w:p w14:paraId="43861BCB" w14:textId="77777777" w:rsidR="00A93357" w:rsidRPr="00487209" w:rsidRDefault="00983F6D"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ПУ</w:t>
            </w:r>
          </w:p>
        </w:tc>
        <w:tc>
          <w:tcPr>
            <w:tcW w:w="598" w:type="pct"/>
            <w:gridSpan w:val="2"/>
            <w:shd w:val="clear" w:color="auto" w:fill="auto"/>
            <w:vAlign w:val="center"/>
          </w:tcPr>
          <w:p w14:paraId="0AE51E8E" w14:textId="19AEBDB5" w:rsidR="00A93357" w:rsidRPr="00487209" w:rsidRDefault="00084849" w:rsidP="006C6323">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983F6D" w:rsidRPr="00487209">
              <w:rPr>
                <w:rFonts w:ascii="Times New Roman" w:hAnsi="Times New Roman" w:cs="Times New Roman"/>
                <w:sz w:val="18"/>
                <w:szCs w:val="18"/>
                <w:lang w:val="ru-RU"/>
              </w:rPr>
              <w:t xml:space="preserve"> </w:t>
            </w:r>
            <w:r>
              <w:rPr>
                <w:rFonts w:ascii="Times New Roman" w:hAnsi="Times New Roman" w:cs="Times New Roman"/>
                <w:sz w:val="18"/>
                <w:szCs w:val="18"/>
                <w:lang w:val="sr-Cyrl-CS"/>
              </w:rPr>
              <w:t>9. став</w:t>
            </w:r>
            <w:r w:rsidR="00193A5D" w:rsidRPr="00487209">
              <w:rPr>
                <w:rFonts w:ascii="Times New Roman" w:hAnsi="Times New Roman" w:cs="Times New Roman"/>
                <w:sz w:val="18"/>
                <w:szCs w:val="18"/>
                <w:lang w:val="sr-Cyrl-CS"/>
              </w:rPr>
              <w:t xml:space="preserve"> 4.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193A5D" w:rsidRPr="00487209">
              <w:rPr>
                <w:rFonts w:ascii="Times New Roman" w:hAnsi="Times New Roman" w:cs="Times New Roman"/>
                <w:sz w:val="18"/>
                <w:szCs w:val="18"/>
                <w:lang w:val="sr-Cyrl-CS"/>
              </w:rPr>
              <w:t xml:space="preserve"> </w:t>
            </w:r>
            <w:r w:rsidR="00193A5D" w:rsidRPr="00487209">
              <w:rPr>
                <w:rFonts w:ascii="Times New Roman" w:hAnsi="Times New Roman" w:cs="Times New Roman"/>
                <w:sz w:val="18"/>
                <w:szCs w:val="18"/>
                <w:lang w:val="ru-RU"/>
              </w:rPr>
              <w:t xml:space="preserve"> </w:t>
            </w:r>
            <w:r>
              <w:rPr>
                <w:rFonts w:ascii="Times New Roman" w:hAnsi="Times New Roman" w:cs="Times New Roman"/>
                <w:sz w:val="18"/>
                <w:szCs w:val="18"/>
                <w:lang w:val="sr-Cyrl-CS"/>
              </w:rPr>
              <w:t>је у потпуности усклађен са чланом</w:t>
            </w:r>
            <w:r w:rsidR="00193A5D" w:rsidRPr="00487209">
              <w:rPr>
                <w:rFonts w:ascii="Times New Roman" w:hAnsi="Times New Roman" w:cs="Times New Roman"/>
                <w:sz w:val="18"/>
                <w:szCs w:val="18"/>
                <w:lang w:val="sr-Cyrl-CS"/>
              </w:rPr>
              <w:t xml:space="preserve"> </w:t>
            </w:r>
            <w:r w:rsidR="00983F6D" w:rsidRPr="00487209">
              <w:rPr>
                <w:rFonts w:ascii="Times New Roman" w:hAnsi="Times New Roman" w:cs="Times New Roman"/>
                <w:sz w:val="18"/>
                <w:szCs w:val="18"/>
                <w:lang w:val="ru-RU"/>
              </w:rPr>
              <w:t>7.</w:t>
            </w:r>
            <w:r w:rsidR="00983F6D" w:rsidRPr="00487209">
              <w:rPr>
                <w:rFonts w:ascii="Times New Roman" w:hAnsi="Times New Roman" w:cs="Times New Roman"/>
                <w:sz w:val="18"/>
                <w:szCs w:val="18"/>
                <w:lang w:val="sr-Cyrl-CS"/>
              </w:rPr>
              <w:t>3</w:t>
            </w:r>
            <w:r w:rsidR="00983F6D" w:rsidRPr="00487209">
              <w:rPr>
                <w:rFonts w:ascii="Times New Roman" w:hAnsi="Times New Roman" w:cs="Times New Roman"/>
                <w:sz w:val="18"/>
                <w:szCs w:val="18"/>
                <w:lang w:val="ru-RU"/>
              </w:rPr>
              <w:t xml:space="preserve">. </w:t>
            </w:r>
            <w:r w:rsidR="00983F6D" w:rsidRPr="00487209">
              <w:rPr>
                <w:rFonts w:ascii="Times New Roman" w:hAnsi="Times New Roman" w:cs="Times New Roman"/>
                <w:sz w:val="18"/>
                <w:szCs w:val="18"/>
                <w:lang w:val="sr-Cyrl-CS"/>
              </w:rPr>
              <w:t xml:space="preserve">Уредбе 305/2011 (ЕУ), </w:t>
            </w:r>
            <w:r w:rsidR="00705A53" w:rsidRPr="00487209">
              <w:rPr>
                <w:rFonts w:ascii="Times New Roman" w:hAnsi="Times New Roman" w:cs="Times New Roman"/>
                <w:sz w:val="18"/>
                <w:szCs w:val="18"/>
                <w:lang w:val="sr-Cyrl-CS"/>
              </w:rPr>
              <w:t>к</w:t>
            </w:r>
            <w:r w:rsidR="00D92B4B" w:rsidRPr="00487209">
              <w:rPr>
                <w:rFonts w:ascii="Times New Roman" w:hAnsi="Times New Roman" w:cs="Times New Roman"/>
                <w:sz w:val="18"/>
                <w:szCs w:val="18"/>
                <w:lang w:val="sr-Cyrl-CS"/>
              </w:rPr>
              <w:t>а</w:t>
            </w:r>
            <w:r w:rsidR="00705A53" w:rsidRPr="00487209">
              <w:rPr>
                <w:rFonts w:ascii="Times New Roman" w:hAnsi="Times New Roman" w:cs="Times New Roman"/>
                <w:sz w:val="18"/>
                <w:szCs w:val="18"/>
                <w:lang w:val="sr-Cyrl-CS"/>
              </w:rPr>
              <w:t>о и</w:t>
            </w:r>
            <w:r w:rsidR="00D92B4B" w:rsidRPr="00487209">
              <w:rPr>
                <w:rFonts w:ascii="Times New Roman" w:hAnsi="Times New Roman" w:cs="Times New Roman"/>
                <w:sz w:val="18"/>
                <w:szCs w:val="18"/>
                <w:lang w:val="sr-Cyrl-CS"/>
              </w:rPr>
              <w:t xml:space="preserve"> и са</w:t>
            </w:r>
            <w:r w:rsidR="00983F6D" w:rsidRPr="00487209">
              <w:rPr>
                <w:rFonts w:ascii="Times New Roman" w:hAnsi="Times New Roman" w:cs="Times New Roman"/>
                <w:sz w:val="18"/>
                <w:szCs w:val="18"/>
                <w:lang w:val="sr-Cyrl-CS"/>
              </w:rPr>
              <w:t xml:space="preserve"> Делегиран</w:t>
            </w:r>
            <w:r w:rsidR="00D92B4B" w:rsidRPr="00487209">
              <w:rPr>
                <w:rFonts w:ascii="Times New Roman" w:hAnsi="Times New Roman" w:cs="Times New Roman"/>
                <w:sz w:val="18"/>
                <w:szCs w:val="18"/>
                <w:lang w:val="sr-Cyrl-CS"/>
              </w:rPr>
              <w:t>ом</w:t>
            </w:r>
            <w:r w:rsidR="00983F6D" w:rsidRPr="00487209">
              <w:rPr>
                <w:rFonts w:ascii="Times New Roman" w:hAnsi="Times New Roman" w:cs="Times New Roman"/>
                <w:sz w:val="18"/>
                <w:szCs w:val="18"/>
                <w:lang w:val="sr-Cyrl-CS"/>
              </w:rPr>
              <w:t xml:space="preserve"> Уредб</w:t>
            </w:r>
            <w:r w:rsidR="00D92B4B" w:rsidRPr="00487209">
              <w:rPr>
                <w:rFonts w:ascii="Times New Roman" w:hAnsi="Times New Roman" w:cs="Times New Roman"/>
                <w:sz w:val="18"/>
                <w:szCs w:val="18"/>
                <w:lang w:val="sr-Cyrl-CS"/>
              </w:rPr>
              <w:t>ом</w:t>
            </w:r>
            <w:r w:rsidR="00983F6D" w:rsidRPr="00487209">
              <w:rPr>
                <w:rFonts w:ascii="Times New Roman" w:hAnsi="Times New Roman" w:cs="Times New Roman"/>
                <w:sz w:val="18"/>
                <w:szCs w:val="18"/>
                <w:lang w:val="sr-Cyrl-CS"/>
              </w:rPr>
              <w:t xml:space="preserve"> Комисије (ЕУ) 157/2014 од 30. </w:t>
            </w:r>
            <w:r w:rsidR="00A207F6" w:rsidRPr="00487209">
              <w:rPr>
                <w:rFonts w:ascii="Times New Roman" w:hAnsi="Times New Roman" w:cs="Times New Roman"/>
                <w:sz w:val="18"/>
                <w:szCs w:val="18"/>
                <w:lang w:val="sr-Cyrl-CS"/>
              </w:rPr>
              <w:t xml:space="preserve">октобра </w:t>
            </w:r>
            <w:r w:rsidR="00983F6D" w:rsidRPr="00487209">
              <w:rPr>
                <w:rFonts w:ascii="Times New Roman" w:hAnsi="Times New Roman" w:cs="Times New Roman"/>
                <w:sz w:val="18"/>
                <w:szCs w:val="18"/>
                <w:lang w:val="sr-Cyrl-CS"/>
              </w:rPr>
              <w:t xml:space="preserve">2013. године </w:t>
            </w:r>
            <w:r w:rsidR="00D92B4B" w:rsidRPr="00487209">
              <w:rPr>
                <w:rFonts w:ascii="Times New Roman" w:hAnsi="Times New Roman" w:cs="Times New Roman"/>
                <w:sz w:val="18"/>
                <w:szCs w:val="18"/>
                <w:lang w:val="sr-Cyrl-CS"/>
              </w:rPr>
              <w:t>о</w:t>
            </w:r>
            <w:r w:rsidR="00983F6D" w:rsidRPr="00487209">
              <w:rPr>
                <w:rFonts w:ascii="Times New Roman" w:hAnsi="Times New Roman" w:cs="Times New Roman"/>
                <w:sz w:val="18"/>
                <w:szCs w:val="18"/>
                <w:lang w:val="sr-Cyrl-CS"/>
              </w:rPr>
              <w:t xml:space="preserve"> условима за објављивање декларације о перформансама на интернет стран</w:t>
            </w:r>
            <w:r w:rsidR="00D92B4B" w:rsidRPr="00487209">
              <w:rPr>
                <w:rFonts w:ascii="Times New Roman" w:hAnsi="Times New Roman" w:cs="Times New Roman"/>
                <w:sz w:val="18"/>
                <w:szCs w:val="18"/>
                <w:lang w:val="sr-Cyrl-CS"/>
              </w:rPr>
              <w:t>и</w:t>
            </w:r>
            <w:r w:rsidR="00983F6D" w:rsidRPr="00487209">
              <w:rPr>
                <w:rFonts w:ascii="Times New Roman" w:hAnsi="Times New Roman" w:cs="Times New Roman"/>
                <w:sz w:val="18"/>
                <w:szCs w:val="18"/>
                <w:lang w:val="sr-Cyrl-CS"/>
              </w:rPr>
              <w:t>ци.</w:t>
            </w:r>
          </w:p>
        </w:tc>
        <w:tc>
          <w:tcPr>
            <w:tcW w:w="480" w:type="pct"/>
            <w:shd w:val="clear" w:color="auto" w:fill="auto"/>
            <w:vAlign w:val="center"/>
          </w:tcPr>
          <w:p w14:paraId="12D1DEF7" w14:textId="77777777" w:rsidR="00A93357" w:rsidRPr="00487209" w:rsidRDefault="00A93357" w:rsidP="006C6323">
            <w:pPr>
              <w:spacing w:before="120" w:after="120"/>
              <w:jc w:val="center"/>
              <w:rPr>
                <w:rFonts w:ascii="Times New Roman" w:hAnsi="Times New Roman" w:cs="Times New Roman"/>
                <w:sz w:val="18"/>
                <w:szCs w:val="18"/>
                <w:lang w:val="sr-Cyrl-CS"/>
              </w:rPr>
            </w:pPr>
          </w:p>
        </w:tc>
      </w:tr>
      <w:tr w:rsidR="00337554" w:rsidRPr="00487209" w14:paraId="5925CBB5" w14:textId="77777777" w:rsidTr="007D5144">
        <w:trPr>
          <w:trHeight w:val="1970"/>
          <w:jc w:val="center"/>
        </w:trPr>
        <w:tc>
          <w:tcPr>
            <w:tcW w:w="435" w:type="pct"/>
            <w:shd w:val="clear" w:color="auto" w:fill="auto"/>
            <w:vAlign w:val="center"/>
          </w:tcPr>
          <w:p w14:paraId="3B037D80" w14:textId="77777777" w:rsidR="00A207F6" w:rsidRPr="00487209" w:rsidRDefault="00A207F6"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7.4.</w:t>
            </w:r>
          </w:p>
        </w:tc>
        <w:tc>
          <w:tcPr>
            <w:tcW w:w="1369" w:type="pct"/>
            <w:gridSpan w:val="2"/>
            <w:shd w:val="clear" w:color="auto" w:fill="auto"/>
            <w:vAlign w:val="center"/>
          </w:tcPr>
          <w:p w14:paraId="0FF25B3D" w14:textId="77777777" w:rsidR="00A207F6" w:rsidRPr="00487209" w:rsidRDefault="00A207F6" w:rsidP="006C6323">
            <w:pPr>
              <w:jc w:val="both"/>
              <w:rPr>
                <w:rFonts w:ascii="Times New Roman" w:hAnsi="Times New Roman" w:cs="Times New Roman"/>
                <w:sz w:val="18"/>
                <w:szCs w:val="18"/>
              </w:rPr>
            </w:pPr>
            <w:r w:rsidRPr="00487209">
              <w:rPr>
                <w:rFonts w:ascii="Times New Roman" w:hAnsi="Times New Roman" w:cs="Times New Roman"/>
                <w:sz w:val="18"/>
                <w:szCs w:val="18"/>
              </w:rPr>
              <w:t>The declaration of performance shall be supplied in the language or the languages required by the Member State where the product is made available.</w:t>
            </w:r>
          </w:p>
        </w:tc>
        <w:tc>
          <w:tcPr>
            <w:tcW w:w="429" w:type="pct"/>
            <w:shd w:val="clear" w:color="auto" w:fill="auto"/>
            <w:vAlign w:val="center"/>
          </w:tcPr>
          <w:p w14:paraId="6748FCCE"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5FA2EE6D" w14:textId="60D1AF8F" w:rsidR="00F27F7A" w:rsidRPr="00487209" w:rsidRDefault="00F27F7A" w:rsidP="006C6323">
            <w:pPr>
              <w:spacing w:before="120" w:after="120"/>
              <w:jc w:val="center"/>
              <w:rPr>
                <w:rFonts w:ascii="Times New Roman" w:hAnsi="Times New Roman" w:cs="Times New Roman"/>
                <w:sz w:val="18"/>
                <w:szCs w:val="18"/>
                <w:lang w:val="sr-Cyrl-CS"/>
              </w:rPr>
            </w:pPr>
          </w:p>
          <w:p w14:paraId="08A1BF71" w14:textId="77777777" w:rsidR="00A207F6" w:rsidRPr="00487209" w:rsidRDefault="00A207F6"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6.1.</w:t>
            </w:r>
          </w:p>
        </w:tc>
        <w:tc>
          <w:tcPr>
            <w:tcW w:w="1231" w:type="pct"/>
            <w:gridSpan w:val="2"/>
            <w:shd w:val="clear" w:color="auto" w:fill="auto"/>
            <w:vAlign w:val="center"/>
          </w:tcPr>
          <w:p w14:paraId="4039FE7C" w14:textId="77777777" w:rsidR="007217B5" w:rsidRPr="00487209" w:rsidRDefault="007217B5" w:rsidP="006C6323">
            <w:pPr>
              <w:pStyle w:val="Style29"/>
              <w:spacing w:before="120"/>
              <w:ind w:right="-23"/>
              <w:jc w:val="both"/>
              <w:outlineLvl w:val="2"/>
              <w:rPr>
                <w:rFonts w:ascii="Times New Roman" w:hAnsi="Times New Roman"/>
                <w:sz w:val="18"/>
                <w:szCs w:val="18"/>
              </w:rPr>
            </w:pPr>
            <w:r w:rsidRPr="00487209">
              <w:rPr>
                <w:rFonts w:ascii="Times New Roman" w:hAnsi="Times New Roman"/>
                <w:sz w:val="18"/>
                <w:szCs w:val="18"/>
              </w:rPr>
              <w:t xml:space="preserve">За грађевинске производе усаглашене са </w:t>
            </w:r>
            <w:r w:rsidRPr="00487209">
              <w:rPr>
                <w:rFonts w:ascii="Times New Roman" w:hAnsi="Times New Roman"/>
                <w:sz w:val="18"/>
                <w:szCs w:val="18"/>
                <w:lang w:val="sr-Cyrl-CS"/>
              </w:rPr>
              <w:t>захтевима утврђеним</w:t>
            </w:r>
            <w:r w:rsidRPr="00487209">
              <w:rPr>
                <w:rFonts w:ascii="Times New Roman" w:hAnsi="Times New Roman"/>
                <w:sz w:val="18"/>
                <w:szCs w:val="18"/>
                <w:lang w:val="sr-Latn-CS"/>
              </w:rPr>
              <w:t xml:space="preserve"> </w:t>
            </w:r>
            <w:r w:rsidRPr="00487209">
              <w:rPr>
                <w:rFonts w:ascii="Times New Roman" w:hAnsi="Times New Roman"/>
                <w:sz w:val="18"/>
                <w:szCs w:val="18"/>
              </w:rPr>
              <w:t xml:space="preserve">српском техничком спецификацијом и грађевинске производе усаглашене са </w:t>
            </w:r>
            <w:r w:rsidRPr="00487209">
              <w:rPr>
                <w:rFonts w:ascii="Times New Roman" w:hAnsi="Times New Roman"/>
                <w:sz w:val="18"/>
                <w:szCs w:val="18"/>
                <w:lang w:val="sr-Cyrl-CS"/>
              </w:rPr>
              <w:t>захтевима утврђеним</w:t>
            </w:r>
            <w:r w:rsidRPr="00487209">
              <w:rPr>
                <w:rFonts w:ascii="Times New Roman" w:hAnsi="Times New Roman"/>
                <w:sz w:val="18"/>
                <w:szCs w:val="18"/>
                <w:lang w:val="sr-Latn-CS"/>
              </w:rPr>
              <w:t xml:space="preserve"> </w:t>
            </w:r>
            <w:r w:rsidRPr="00487209">
              <w:rPr>
                <w:rFonts w:ascii="Times New Roman" w:hAnsi="Times New Roman"/>
                <w:sz w:val="18"/>
                <w:szCs w:val="18"/>
              </w:rPr>
              <w:t xml:space="preserve">техничким прописом, произвођач сачињава декларацију о перформансама </w:t>
            </w:r>
            <w:r w:rsidRPr="00487209">
              <w:rPr>
                <w:rFonts w:ascii="Times New Roman" w:hAnsi="Times New Roman"/>
                <w:sz w:val="18"/>
                <w:szCs w:val="18"/>
                <w:shd w:val="clear" w:color="auto" w:fill="FFFFFF" w:themeFill="background1"/>
                <w:lang w:val="sr-Cyrl-CS"/>
              </w:rPr>
              <w:t>грађевинског производа у вези са битним карактеристикама (у даљем тексту: декларација о перформансама)</w:t>
            </w:r>
            <w:r w:rsidRPr="00487209">
              <w:rPr>
                <w:rFonts w:ascii="Times New Roman" w:hAnsi="Times New Roman"/>
                <w:sz w:val="18"/>
                <w:szCs w:val="18"/>
                <w:shd w:val="clear" w:color="auto" w:fill="FFFFFF" w:themeFill="background1"/>
                <w:lang w:val="sr-Latn-CS"/>
              </w:rPr>
              <w:t xml:space="preserve"> </w:t>
            </w:r>
            <w:r w:rsidRPr="00487209">
              <w:rPr>
                <w:rFonts w:ascii="Times New Roman" w:hAnsi="Times New Roman"/>
                <w:sz w:val="18"/>
                <w:szCs w:val="18"/>
                <w:lang w:val="sr-Cyrl-CS"/>
              </w:rPr>
              <w:t>на српском језику,</w:t>
            </w:r>
            <w:r w:rsidRPr="00487209">
              <w:rPr>
                <w:rFonts w:ascii="Times New Roman" w:hAnsi="Times New Roman"/>
                <w:sz w:val="18"/>
                <w:szCs w:val="18"/>
                <w:lang w:val="sr-Latn-CS"/>
              </w:rPr>
              <w:t xml:space="preserve"> </w:t>
            </w:r>
            <w:r w:rsidRPr="00487209">
              <w:rPr>
                <w:rFonts w:ascii="Times New Roman" w:hAnsi="Times New Roman"/>
                <w:sz w:val="18"/>
                <w:szCs w:val="18"/>
                <w:shd w:val="clear" w:color="auto" w:fill="FFFFFF" w:themeFill="background1"/>
              </w:rPr>
              <w:t>пре</w:t>
            </w:r>
            <w:r w:rsidRPr="00487209">
              <w:rPr>
                <w:rFonts w:ascii="Times New Roman" w:hAnsi="Times New Roman"/>
                <w:sz w:val="18"/>
                <w:szCs w:val="18"/>
              </w:rPr>
              <w:t xml:space="preserve"> стављања тог производа на тржиште.</w:t>
            </w:r>
          </w:p>
          <w:p w14:paraId="0BE4A9E0" w14:textId="77777777" w:rsidR="00A207F6" w:rsidRPr="00487209" w:rsidRDefault="00A207F6" w:rsidP="006C6323">
            <w:pPr>
              <w:jc w:val="center"/>
              <w:rPr>
                <w:rFonts w:ascii="Times New Roman" w:hAnsi="Times New Roman" w:cs="Times New Roman"/>
                <w:sz w:val="18"/>
                <w:szCs w:val="18"/>
                <w:lang w:val="sr-Latn-BA"/>
              </w:rPr>
            </w:pPr>
          </w:p>
        </w:tc>
        <w:tc>
          <w:tcPr>
            <w:tcW w:w="458" w:type="pct"/>
            <w:shd w:val="clear" w:color="auto" w:fill="auto"/>
            <w:vAlign w:val="center"/>
          </w:tcPr>
          <w:p w14:paraId="5E55AD25" w14:textId="77777777" w:rsidR="00A207F6" w:rsidRPr="00487209" w:rsidRDefault="00E53279"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ДУ</w:t>
            </w:r>
          </w:p>
        </w:tc>
        <w:tc>
          <w:tcPr>
            <w:tcW w:w="598" w:type="pct"/>
            <w:gridSpan w:val="2"/>
            <w:shd w:val="clear" w:color="auto" w:fill="auto"/>
            <w:vAlign w:val="center"/>
          </w:tcPr>
          <w:p w14:paraId="6257A5C7" w14:textId="7FF904EB" w:rsidR="00731289" w:rsidRPr="00487209" w:rsidRDefault="00084849" w:rsidP="008111AF">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A207F6" w:rsidRPr="00487209">
              <w:rPr>
                <w:rFonts w:ascii="Times New Roman" w:hAnsi="Times New Roman" w:cs="Times New Roman"/>
                <w:sz w:val="18"/>
                <w:szCs w:val="18"/>
                <w:lang w:val="ru-RU"/>
              </w:rPr>
              <w:t xml:space="preserve"> 7.4. </w:t>
            </w:r>
            <w:r w:rsidR="00A207F6" w:rsidRPr="00487209">
              <w:rPr>
                <w:rFonts w:ascii="Times New Roman" w:hAnsi="Times New Roman" w:cs="Times New Roman"/>
                <w:sz w:val="18"/>
                <w:szCs w:val="18"/>
                <w:lang w:val="sr-Cyrl-CS"/>
              </w:rPr>
              <w:t>Уредбе 305/2011 (</w:t>
            </w:r>
            <w:r>
              <w:rPr>
                <w:rFonts w:ascii="Times New Roman" w:hAnsi="Times New Roman" w:cs="Times New Roman"/>
                <w:sz w:val="18"/>
                <w:szCs w:val="18"/>
                <w:lang w:val="sr-Cyrl-CS"/>
              </w:rPr>
              <w:t>ЕУ) је делимично усклађен са чланом  6. став</w:t>
            </w:r>
            <w:r w:rsidR="00A207F6" w:rsidRPr="00487209">
              <w:rPr>
                <w:rFonts w:ascii="Times New Roman" w:hAnsi="Times New Roman" w:cs="Times New Roman"/>
                <w:sz w:val="18"/>
                <w:szCs w:val="18"/>
                <w:lang w:val="sr-Cyrl-CS"/>
              </w:rPr>
              <w:t xml:space="preserve"> 1.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A207F6" w:rsidRPr="00487209">
              <w:rPr>
                <w:rFonts w:ascii="Times New Roman" w:hAnsi="Times New Roman" w:cs="Times New Roman"/>
                <w:sz w:val="18"/>
                <w:szCs w:val="18"/>
                <w:lang w:val="sr-Cyrl-CS"/>
              </w:rPr>
              <w:t xml:space="preserve"> због статуса нечланице ЕУ. Потпуно усклађивање биће могуће након приступања ЕУ.</w:t>
            </w:r>
          </w:p>
        </w:tc>
        <w:tc>
          <w:tcPr>
            <w:tcW w:w="480" w:type="pct"/>
            <w:shd w:val="clear" w:color="auto" w:fill="auto"/>
            <w:vAlign w:val="center"/>
          </w:tcPr>
          <w:p w14:paraId="577FB3E9" w14:textId="77777777" w:rsidR="00A207F6" w:rsidRPr="00487209" w:rsidRDefault="00A207F6" w:rsidP="006C6323">
            <w:pPr>
              <w:spacing w:before="120" w:after="120"/>
              <w:jc w:val="center"/>
              <w:rPr>
                <w:rFonts w:ascii="Times New Roman" w:hAnsi="Times New Roman" w:cs="Times New Roman"/>
                <w:sz w:val="18"/>
                <w:szCs w:val="18"/>
                <w:lang w:val="sr-Cyrl-CS"/>
              </w:rPr>
            </w:pPr>
          </w:p>
        </w:tc>
      </w:tr>
      <w:tr w:rsidR="00337554" w:rsidRPr="00487209" w14:paraId="603A8968" w14:textId="77777777" w:rsidTr="007D5144">
        <w:trPr>
          <w:trHeight w:val="1970"/>
          <w:jc w:val="center"/>
        </w:trPr>
        <w:tc>
          <w:tcPr>
            <w:tcW w:w="435" w:type="pct"/>
            <w:shd w:val="clear" w:color="auto" w:fill="auto"/>
            <w:vAlign w:val="center"/>
          </w:tcPr>
          <w:p w14:paraId="1A04C555" w14:textId="77777777" w:rsidR="00A93357" w:rsidRPr="00487209" w:rsidRDefault="00A93357"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8.1.</w:t>
            </w:r>
          </w:p>
        </w:tc>
        <w:tc>
          <w:tcPr>
            <w:tcW w:w="1369" w:type="pct"/>
            <w:gridSpan w:val="2"/>
            <w:shd w:val="clear" w:color="auto" w:fill="auto"/>
            <w:vAlign w:val="center"/>
          </w:tcPr>
          <w:p w14:paraId="44131AE8" w14:textId="77777777" w:rsidR="00A93357" w:rsidRPr="00487209" w:rsidRDefault="00A93357" w:rsidP="006C6323">
            <w:pPr>
              <w:jc w:val="both"/>
              <w:rPr>
                <w:rFonts w:ascii="Times New Roman" w:hAnsi="Times New Roman" w:cs="Times New Roman"/>
                <w:sz w:val="18"/>
                <w:szCs w:val="18"/>
              </w:rPr>
            </w:pPr>
            <w:r w:rsidRPr="00487209">
              <w:rPr>
                <w:rFonts w:ascii="Times New Roman" w:hAnsi="Times New Roman" w:cs="Times New Roman"/>
                <w:sz w:val="18"/>
                <w:szCs w:val="18"/>
              </w:rPr>
              <w:t>The general principles set out in Article 30 of Regulation (EC) No 765/2008 shall apply to the CE marking.</w:t>
            </w:r>
          </w:p>
        </w:tc>
        <w:tc>
          <w:tcPr>
            <w:tcW w:w="429" w:type="pct"/>
            <w:shd w:val="clear" w:color="auto" w:fill="auto"/>
            <w:vAlign w:val="center"/>
          </w:tcPr>
          <w:p w14:paraId="25588797" w14:textId="77777777" w:rsidR="00A93357" w:rsidRDefault="0087473F" w:rsidP="006C6323">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02</w:t>
            </w:r>
          </w:p>
          <w:p w14:paraId="5B9018DA" w14:textId="77777777" w:rsidR="0087473F" w:rsidRDefault="0087473F" w:rsidP="006C6323">
            <w:pPr>
              <w:spacing w:before="120" w:after="120"/>
              <w:ind w:firstLine="5"/>
              <w:jc w:val="center"/>
              <w:rPr>
                <w:rFonts w:ascii="Times New Roman" w:hAnsi="Times New Roman" w:cs="Times New Roman"/>
                <w:sz w:val="18"/>
                <w:szCs w:val="18"/>
                <w:lang w:val="ru-RU"/>
              </w:rPr>
            </w:pPr>
          </w:p>
          <w:p w14:paraId="7E70D909" w14:textId="4A6121EA" w:rsidR="0087473F" w:rsidRPr="00487209" w:rsidRDefault="0087473F" w:rsidP="006C6323">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23</w:t>
            </w:r>
          </w:p>
        </w:tc>
        <w:tc>
          <w:tcPr>
            <w:tcW w:w="1231" w:type="pct"/>
            <w:gridSpan w:val="2"/>
            <w:shd w:val="clear" w:color="auto" w:fill="auto"/>
            <w:vAlign w:val="center"/>
          </w:tcPr>
          <w:p w14:paraId="78330164" w14:textId="77777777" w:rsidR="0087473F" w:rsidRPr="00082F18" w:rsidRDefault="0087473F" w:rsidP="00082F18">
            <w:pPr>
              <w:spacing w:before="120"/>
              <w:ind w:right="-23"/>
              <w:jc w:val="both"/>
              <w:outlineLvl w:val="3"/>
              <w:rPr>
                <w:rFonts w:ascii="Times New Roman" w:hAnsi="Times New Roman" w:cs="Times New Roman"/>
                <w:sz w:val="18"/>
                <w:szCs w:val="18"/>
                <w:lang w:val="sr-Cyrl-CS"/>
              </w:rPr>
            </w:pPr>
            <w:r w:rsidRPr="00082F18">
              <w:rPr>
                <w:rFonts w:ascii="Times New Roman" w:hAnsi="Times New Roman" w:cs="Times New Roman"/>
                <w:sz w:val="18"/>
                <w:szCs w:val="18"/>
                <w:lang w:val="sr-Cyrl-CS"/>
              </w:rPr>
              <w:t>Пре стављања на тржиште или употребу, производ који је усаглашен са захтевима техничког прописа означава се одговарајућим знаком усаглашености, ако је то утврђено техничким прописом.</w:t>
            </w:r>
          </w:p>
          <w:p w14:paraId="5E943528" w14:textId="77777777" w:rsidR="0087473F" w:rsidRPr="00082F18" w:rsidRDefault="0087473F" w:rsidP="00082F18">
            <w:pPr>
              <w:spacing w:before="120"/>
              <w:ind w:right="-23"/>
              <w:jc w:val="both"/>
              <w:outlineLvl w:val="3"/>
              <w:rPr>
                <w:rFonts w:ascii="Times New Roman" w:hAnsi="Times New Roman" w:cs="Times New Roman"/>
                <w:sz w:val="18"/>
                <w:szCs w:val="18"/>
                <w:lang w:val="sr-Cyrl-CS"/>
              </w:rPr>
            </w:pPr>
            <w:r w:rsidRPr="00082F18">
              <w:rPr>
                <w:rFonts w:ascii="Times New Roman" w:hAnsi="Times New Roman" w:cs="Times New Roman"/>
                <w:sz w:val="18"/>
                <w:szCs w:val="18"/>
                <w:lang w:val="sr-Cyrl-CS"/>
              </w:rPr>
              <w:t xml:space="preserve">Забрањено је стављати на производ поред знака усаглашености који је утврђен техничким прописом или самостално, други знак, симбол, натпис или другу ознаку који би могли довести у заблуду потрошача или другог корисника у погледу значења, односно облика прописаног знака </w:t>
            </w:r>
            <w:r w:rsidRPr="00082F18">
              <w:rPr>
                <w:rFonts w:ascii="Times New Roman" w:hAnsi="Times New Roman" w:cs="Times New Roman"/>
                <w:sz w:val="18"/>
                <w:szCs w:val="18"/>
                <w:lang w:val="sr-Cyrl-CS"/>
              </w:rPr>
              <w:lastRenderedPageBreak/>
              <w:t>усаглашености.</w:t>
            </w:r>
          </w:p>
          <w:p w14:paraId="78AF9E95" w14:textId="77777777" w:rsidR="0087473F" w:rsidRPr="00082F18" w:rsidRDefault="0087473F" w:rsidP="00082F18">
            <w:pPr>
              <w:spacing w:before="120"/>
              <w:ind w:right="-23"/>
              <w:jc w:val="both"/>
              <w:outlineLvl w:val="3"/>
              <w:rPr>
                <w:rFonts w:ascii="Times New Roman" w:hAnsi="Times New Roman" w:cs="Times New Roman"/>
                <w:sz w:val="18"/>
                <w:szCs w:val="18"/>
                <w:lang w:val="sr-Cyrl-CS"/>
              </w:rPr>
            </w:pPr>
            <w:r w:rsidRPr="00082F18">
              <w:rPr>
                <w:rFonts w:ascii="Times New Roman" w:hAnsi="Times New Roman" w:cs="Times New Roman"/>
                <w:sz w:val="18"/>
                <w:szCs w:val="18"/>
                <w:lang w:val="sr-Cyrl-CS"/>
              </w:rPr>
              <w:t>Поред знака усаглашености из става 1. овог члана, на производ је дозвољено стављати друге знакове, осим знакова из става 2. овог члана, ако се тиме не угрожава видљивост, читљивост, односно значење прописаног знака усаглашености.</w:t>
            </w:r>
          </w:p>
          <w:p w14:paraId="7E947BC8" w14:textId="77777777" w:rsidR="0087473F" w:rsidRPr="00082F18" w:rsidRDefault="0087473F" w:rsidP="00082F18">
            <w:pPr>
              <w:spacing w:before="120"/>
              <w:ind w:right="-23"/>
              <w:jc w:val="both"/>
              <w:outlineLvl w:val="3"/>
              <w:rPr>
                <w:rFonts w:ascii="Times New Roman" w:hAnsi="Times New Roman" w:cs="Times New Roman"/>
                <w:sz w:val="18"/>
                <w:szCs w:val="18"/>
                <w:lang w:val="sr-Cyrl-CS"/>
              </w:rPr>
            </w:pPr>
            <w:r w:rsidRPr="00082F18">
              <w:rPr>
                <w:rFonts w:ascii="Times New Roman" w:hAnsi="Times New Roman" w:cs="Times New Roman"/>
                <w:sz w:val="18"/>
                <w:szCs w:val="18"/>
                <w:lang w:val="sr-Cyrl-CS"/>
              </w:rPr>
              <w:t>Ако је један производ предмет више различитих техничких прописа којима се, између осталог, утврђује стављање знака усаглашености, стављени знак усаглашености на производ означава да је тај производ усаглашен са захтевима свих тих прописа.</w:t>
            </w:r>
          </w:p>
          <w:p w14:paraId="1F6DE693" w14:textId="77777777" w:rsidR="0087473F" w:rsidRPr="00082F18" w:rsidRDefault="0087473F" w:rsidP="00082F18">
            <w:pPr>
              <w:spacing w:before="120"/>
              <w:ind w:right="-23"/>
              <w:jc w:val="both"/>
              <w:outlineLvl w:val="3"/>
              <w:rPr>
                <w:rFonts w:ascii="Times New Roman" w:hAnsi="Times New Roman" w:cs="Times New Roman"/>
                <w:sz w:val="18"/>
                <w:szCs w:val="18"/>
                <w:lang w:val="sr-Cyrl-CS"/>
              </w:rPr>
            </w:pPr>
            <w:r w:rsidRPr="00082F18">
              <w:rPr>
                <w:rFonts w:ascii="Times New Roman" w:hAnsi="Times New Roman" w:cs="Times New Roman"/>
                <w:sz w:val="18"/>
                <w:szCs w:val="18"/>
                <w:lang w:val="sr-Cyrl-CS"/>
              </w:rPr>
              <w:t>Под неодговарајућим означавањем, сматра се:</w:t>
            </w:r>
          </w:p>
          <w:p w14:paraId="0809D6B7" w14:textId="77777777" w:rsidR="0087473F" w:rsidRPr="00082F18" w:rsidRDefault="0087473F" w:rsidP="00082F18">
            <w:pPr>
              <w:spacing w:before="120"/>
              <w:ind w:right="-23"/>
              <w:jc w:val="both"/>
              <w:outlineLvl w:val="3"/>
              <w:rPr>
                <w:rFonts w:ascii="Times New Roman" w:hAnsi="Times New Roman" w:cs="Times New Roman"/>
                <w:sz w:val="18"/>
                <w:szCs w:val="18"/>
                <w:lang w:val="sr-Cyrl-CS"/>
              </w:rPr>
            </w:pPr>
            <w:r w:rsidRPr="00082F18">
              <w:rPr>
                <w:rFonts w:ascii="Times New Roman" w:hAnsi="Times New Roman" w:cs="Times New Roman"/>
                <w:sz w:val="18"/>
                <w:szCs w:val="18"/>
                <w:lang w:val="sr-Cyrl-CS"/>
              </w:rPr>
              <w:t>1) стављање знака усаглашености на производ за који то није прописано техничким прописом;</w:t>
            </w:r>
          </w:p>
          <w:p w14:paraId="2C5797AF" w14:textId="77777777" w:rsidR="0087473F" w:rsidRPr="00082F18" w:rsidRDefault="0087473F" w:rsidP="00082F18">
            <w:pPr>
              <w:spacing w:before="120"/>
              <w:ind w:right="-23"/>
              <w:jc w:val="both"/>
              <w:outlineLvl w:val="3"/>
              <w:rPr>
                <w:rFonts w:ascii="Times New Roman" w:hAnsi="Times New Roman" w:cs="Times New Roman"/>
                <w:sz w:val="18"/>
                <w:szCs w:val="18"/>
                <w:lang w:val="sr-Cyrl-CS"/>
              </w:rPr>
            </w:pPr>
            <w:r w:rsidRPr="00082F18">
              <w:rPr>
                <w:rFonts w:ascii="Times New Roman" w:hAnsi="Times New Roman" w:cs="Times New Roman"/>
                <w:sz w:val="18"/>
                <w:szCs w:val="18"/>
                <w:lang w:val="sr-Cyrl-CS"/>
              </w:rPr>
              <w:t>2) нестављање знака усаглашености на производ за који је обавеза стављања тог знака прописана одговарајућим техничким прописом;</w:t>
            </w:r>
          </w:p>
          <w:p w14:paraId="0E82E7E6" w14:textId="65EBD203" w:rsidR="00A93357" w:rsidRPr="00082F18" w:rsidRDefault="0087473F" w:rsidP="0087473F">
            <w:pPr>
              <w:spacing w:before="120"/>
              <w:ind w:right="-23"/>
              <w:jc w:val="both"/>
              <w:outlineLvl w:val="3"/>
              <w:rPr>
                <w:sz w:val="18"/>
                <w:szCs w:val="18"/>
                <w:lang w:val="sr-Cyrl-CS"/>
              </w:rPr>
            </w:pPr>
            <w:r w:rsidRPr="00082F18">
              <w:rPr>
                <w:rFonts w:ascii="Times New Roman" w:hAnsi="Times New Roman" w:cs="Times New Roman"/>
                <w:sz w:val="18"/>
                <w:szCs w:val="18"/>
                <w:lang w:val="sr-Cyrl-CS"/>
              </w:rPr>
              <w:t>3) стављање на производ симбола, натписа или друге ознаке која није у складу са законом или другим прописом или стављање другог знака који није прописани знак усаглашености.</w:t>
            </w:r>
          </w:p>
        </w:tc>
        <w:tc>
          <w:tcPr>
            <w:tcW w:w="458" w:type="pct"/>
            <w:shd w:val="clear" w:color="auto" w:fill="auto"/>
            <w:vAlign w:val="center"/>
          </w:tcPr>
          <w:p w14:paraId="4F070938" w14:textId="6C21F3D4" w:rsidR="00A93357" w:rsidRPr="00487209" w:rsidRDefault="0087473F" w:rsidP="006C6323">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lastRenderedPageBreak/>
              <w:t>ДУ</w:t>
            </w:r>
          </w:p>
        </w:tc>
        <w:tc>
          <w:tcPr>
            <w:tcW w:w="598" w:type="pct"/>
            <w:gridSpan w:val="2"/>
            <w:shd w:val="clear" w:color="auto" w:fill="auto"/>
            <w:vAlign w:val="center"/>
          </w:tcPr>
          <w:p w14:paraId="3F255715" w14:textId="7928E461" w:rsidR="00731289" w:rsidRPr="00487209" w:rsidRDefault="00084849" w:rsidP="0087473F">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 xml:space="preserve">Члан </w:t>
            </w:r>
            <w:r w:rsidR="0087473F">
              <w:rPr>
                <w:rFonts w:ascii="Times New Roman" w:hAnsi="Times New Roman" w:cs="Times New Roman"/>
                <w:sz w:val="18"/>
                <w:szCs w:val="18"/>
                <w:lang w:val="ru-RU"/>
              </w:rPr>
              <w:t>23</w:t>
            </w:r>
            <w:r w:rsidR="00082F18">
              <w:rPr>
                <w:rFonts w:ascii="Times New Roman" w:hAnsi="Times New Roman" w:cs="Times New Roman"/>
                <w:sz w:val="18"/>
                <w:szCs w:val="18"/>
                <w:lang w:val="ru-RU"/>
              </w:rPr>
              <w:t>.</w:t>
            </w:r>
            <w:r w:rsidR="0087473F" w:rsidRPr="0087473F">
              <w:rPr>
                <w:rFonts w:ascii="Times New Roman" w:hAnsi="Times New Roman" w:cs="Times New Roman"/>
                <w:sz w:val="18"/>
                <w:szCs w:val="18"/>
                <w:lang w:val="ru-RU"/>
              </w:rPr>
              <w:t xml:space="preserve"> Закона о тржишном надз</w:t>
            </w:r>
            <w:r>
              <w:rPr>
                <w:rFonts w:ascii="Times New Roman" w:hAnsi="Times New Roman" w:cs="Times New Roman"/>
                <w:sz w:val="18"/>
                <w:szCs w:val="18"/>
                <w:lang w:val="ru-RU"/>
              </w:rPr>
              <w:t>ору је делимично усклађен са чланом</w:t>
            </w:r>
            <w:r w:rsidR="0087473F" w:rsidRPr="0087473F">
              <w:rPr>
                <w:rFonts w:ascii="Times New Roman" w:hAnsi="Times New Roman" w:cs="Times New Roman"/>
                <w:sz w:val="18"/>
                <w:szCs w:val="18"/>
                <w:lang w:val="ru-RU"/>
              </w:rPr>
              <w:t xml:space="preserve"> </w:t>
            </w:r>
            <w:r w:rsidR="0087473F" w:rsidRPr="0087473F">
              <w:rPr>
                <w:rFonts w:ascii="Times New Roman" w:hAnsi="Times New Roman" w:cs="Times New Roman"/>
                <w:sz w:val="18"/>
                <w:szCs w:val="18"/>
                <w:lang w:val="sr-Cyrl-CS"/>
              </w:rPr>
              <w:t>56.2.</w:t>
            </w:r>
            <w:r w:rsidR="0087473F" w:rsidRPr="0087473F">
              <w:rPr>
                <w:rFonts w:ascii="Times New Roman" w:hAnsi="Times New Roman" w:cs="Times New Roman"/>
                <w:sz w:val="18"/>
                <w:szCs w:val="18"/>
                <w:lang w:val="ru-RU"/>
              </w:rPr>
              <w:t xml:space="preserve"> </w:t>
            </w:r>
            <w:r w:rsidR="0087473F" w:rsidRPr="0087473F">
              <w:rPr>
                <w:rFonts w:ascii="Times New Roman" w:hAnsi="Times New Roman" w:cs="Times New Roman"/>
                <w:sz w:val="18"/>
                <w:szCs w:val="18"/>
                <w:lang w:val="sr-Cyrl-CS"/>
              </w:rPr>
              <w:t xml:space="preserve">Уредбе 305/2011 (ЕУ), због статуса нечланице. Потпуно усклађивање биће остварено након </w:t>
            </w:r>
            <w:r w:rsidR="0087473F" w:rsidRPr="0087473F">
              <w:rPr>
                <w:rFonts w:ascii="Times New Roman" w:hAnsi="Times New Roman" w:cs="Times New Roman"/>
                <w:sz w:val="18"/>
                <w:szCs w:val="18"/>
                <w:lang w:val="sr-Cyrl-CS"/>
              </w:rPr>
              <w:lastRenderedPageBreak/>
              <w:t>приступања ЕУ.</w:t>
            </w:r>
          </w:p>
        </w:tc>
        <w:tc>
          <w:tcPr>
            <w:tcW w:w="480" w:type="pct"/>
            <w:shd w:val="clear" w:color="auto" w:fill="auto"/>
            <w:vAlign w:val="center"/>
          </w:tcPr>
          <w:p w14:paraId="168AA722" w14:textId="77777777" w:rsidR="00A93357" w:rsidRPr="00487209" w:rsidRDefault="00A93357" w:rsidP="006C6323">
            <w:pPr>
              <w:spacing w:before="120" w:after="120"/>
              <w:jc w:val="center"/>
              <w:rPr>
                <w:rFonts w:ascii="Times New Roman" w:hAnsi="Times New Roman" w:cs="Times New Roman"/>
                <w:sz w:val="18"/>
                <w:szCs w:val="18"/>
                <w:lang w:val="ru-RU"/>
              </w:rPr>
            </w:pPr>
          </w:p>
        </w:tc>
      </w:tr>
      <w:tr w:rsidR="00337554" w:rsidRPr="00487209" w14:paraId="4ABC3CE8" w14:textId="77777777" w:rsidTr="007D5144">
        <w:trPr>
          <w:trHeight w:val="1970"/>
          <w:jc w:val="center"/>
        </w:trPr>
        <w:tc>
          <w:tcPr>
            <w:tcW w:w="435" w:type="pct"/>
            <w:shd w:val="clear" w:color="auto" w:fill="auto"/>
            <w:vAlign w:val="center"/>
          </w:tcPr>
          <w:p w14:paraId="40B6549D" w14:textId="77777777" w:rsidR="00A93357" w:rsidRPr="00487209" w:rsidRDefault="00A93357"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8.2.</w:t>
            </w:r>
          </w:p>
        </w:tc>
        <w:tc>
          <w:tcPr>
            <w:tcW w:w="1369" w:type="pct"/>
            <w:gridSpan w:val="2"/>
            <w:shd w:val="clear" w:color="auto" w:fill="auto"/>
            <w:vAlign w:val="center"/>
          </w:tcPr>
          <w:p w14:paraId="2DD8F236" w14:textId="77777777" w:rsidR="00F4186D" w:rsidRPr="00487209" w:rsidRDefault="00F4186D" w:rsidP="006C6323">
            <w:pPr>
              <w:jc w:val="both"/>
              <w:rPr>
                <w:rFonts w:ascii="Times New Roman" w:hAnsi="Times New Roman" w:cs="Times New Roman"/>
                <w:sz w:val="18"/>
                <w:szCs w:val="18"/>
                <w:lang w:val="sr-Cyrl-CS"/>
              </w:rPr>
            </w:pPr>
          </w:p>
          <w:p w14:paraId="76D0E006" w14:textId="77777777" w:rsidR="00A93357" w:rsidRPr="00487209" w:rsidRDefault="00A93357"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CE marking shall be affixed to those construction products for which the manufacturer has drawn up a declaration of performance in accordance with Articles 4 and 6.</w:t>
            </w:r>
          </w:p>
          <w:p w14:paraId="462F4149" w14:textId="77777777" w:rsidR="00A93357" w:rsidRPr="00487209" w:rsidRDefault="00A93357"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If a declaration of performance has not been drawn up by the manufacturer in accordance with Articles 4 and 6, the CE marking shall not be affixed.</w:t>
            </w:r>
          </w:p>
          <w:p w14:paraId="1DE87825" w14:textId="77777777" w:rsidR="00A93357" w:rsidRPr="00487209" w:rsidRDefault="00A93357"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By affixing or having affixed the CE marking, manufacturers indicate that they take responsibility for the conformity of the construction product with the declared performance as well as the compliance with all applicable requirements laid down in this Regulation and in other relevant Union harmonisation legislation providing for its affixing.</w:t>
            </w:r>
          </w:p>
          <w:p w14:paraId="7A55E91F" w14:textId="77777777" w:rsidR="00A93357" w:rsidRPr="00487209" w:rsidRDefault="00A93357"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rules for affixing the CE marking provided for in other relevant Union harmonisation legislation shall apply without prejudice to this paragraph.</w:t>
            </w:r>
          </w:p>
          <w:p w14:paraId="4CDD479E" w14:textId="77777777" w:rsidR="00A93357" w:rsidRPr="00487209" w:rsidRDefault="00A93357" w:rsidP="006C6323">
            <w:pPr>
              <w:jc w:val="both"/>
              <w:rPr>
                <w:rFonts w:ascii="Times New Roman" w:hAnsi="Times New Roman" w:cs="Times New Roman"/>
                <w:sz w:val="18"/>
                <w:szCs w:val="18"/>
                <w:lang w:val="sr-Cyrl-CS"/>
              </w:rPr>
            </w:pPr>
          </w:p>
        </w:tc>
        <w:tc>
          <w:tcPr>
            <w:tcW w:w="429" w:type="pct"/>
            <w:shd w:val="clear" w:color="auto" w:fill="auto"/>
            <w:vAlign w:val="center"/>
          </w:tcPr>
          <w:p w14:paraId="772541D5"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23C05308" w14:textId="31B04108" w:rsidR="00997D94" w:rsidRPr="00487209" w:rsidRDefault="009C458E" w:rsidP="00390B85">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10.1.</w:t>
            </w:r>
          </w:p>
          <w:p w14:paraId="243E3219" w14:textId="77777777" w:rsidR="00FF0E37" w:rsidRPr="00487209" w:rsidRDefault="00FF0E37" w:rsidP="006C6323">
            <w:pPr>
              <w:spacing w:before="120" w:after="120"/>
              <w:ind w:firstLine="5"/>
              <w:rPr>
                <w:rFonts w:ascii="Times New Roman" w:hAnsi="Times New Roman" w:cs="Times New Roman"/>
                <w:sz w:val="18"/>
                <w:szCs w:val="18"/>
                <w:lang w:val="ru-RU"/>
              </w:rPr>
            </w:pPr>
          </w:p>
          <w:p w14:paraId="0114BAE8" w14:textId="77777777" w:rsidR="00A93357" w:rsidRPr="00487209" w:rsidRDefault="0056013E"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10.2.</w:t>
            </w:r>
          </w:p>
          <w:p w14:paraId="1353173F" w14:textId="77777777" w:rsidR="00997D94" w:rsidRPr="00487209" w:rsidRDefault="00997D94" w:rsidP="006C6323">
            <w:pPr>
              <w:spacing w:before="120" w:after="120"/>
              <w:ind w:firstLine="5"/>
              <w:rPr>
                <w:rFonts w:ascii="Times New Roman" w:hAnsi="Times New Roman" w:cs="Times New Roman"/>
                <w:sz w:val="18"/>
                <w:szCs w:val="18"/>
                <w:lang w:val="ru-RU"/>
              </w:rPr>
            </w:pPr>
          </w:p>
          <w:p w14:paraId="75AF91DE" w14:textId="77777777" w:rsidR="00997D94" w:rsidRPr="00487209" w:rsidRDefault="00997D94" w:rsidP="006C6323">
            <w:pPr>
              <w:spacing w:before="120" w:after="120"/>
              <w:ind w:firstLine="5"/>
              <w:rPr>
                <w:rFonts w:ascii="Times New Roman" w:hAnsi="Times New Roman" w:cs="Times New Roman"/>
                <w:sz w:val="18"/>
                <w:szCs w:val="18"/>
                <w:lang w:val="ru-RU"/>
              </w:rPr>
            </w:pPr>
          </w:p>
          <w:p w14:paraId="6B7BF003" w14:textId="77777777" w:rsidR="00997D94" w:rsidRPr="00487209" w:rsidRDefault="00997D94" w:rsidP="006C6323">
            <w:pPr>
              <w:spacing w:before="120" w:after="120"/>
              <w:ind w:firstLine="5"/>
              <w:rPr>
                <w:rFonts w:ascii="Times New Roman" w:hAnsi="Times New Roman" w:cs="Times New Roman"/>
                <w:sz w:val="18"/>
                <w:szCs w:val="18"/>
                <w:lang w:val="ru-RU"/>
              </w:rPr>
            </w:pPr>
          </w:p>
          <w:p w14:paraId="0CB39D27" w14:textId="77777777" w:rsidR="00997D94" w:rsidRPr="00487209" w:rsidRDefault="00997D94" w:rsidP="006C6323">
            <w:pPr>
              <w:spacing w:before="120" w:after="120"/>
              <w:ind w:firstLine="5"/>
              <w:rPr>
                <w:rFonts w:ascii="Times New Roman" w:hAnsi="Times New Roman" w:cs="Times New Roman"/>
                <w:sz w:val="18"/>
                <w:szCs w:val="18"/>
                <w:lang w:val="ru-RU"/>
              </w:rPr>
            </w:pPr>
          </w:p>
          <w:p w14:paraId="61A09099" w14:textId="77777777" w:rsidR="0056013E" w:rsidRPr="00487209" w:rsidRDefault="0056013E"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10.3.</w:t>
            </w:r>
          </w:p>
          <w:p w14:paraId="67D81698" w14:textId="77777777" w:rsidR="00997D94" w:rsidRPr="00487209" w:rsidRDefault="00997D94" w:rsidP="006C6323">
            <w:pPr>
              <w:spacing w:before="120" w:after="120"/>
              <w:ind w:firstLine="5"/>
              <w:rPr>
                <w:rFonts w:ascii="Times New Roman" w:hAnsi="Times New Roman" w:cs="Times New Roman"/>
                <w:sz w:val="18"/>
                <w:szCs w:val="18"/>
                <w:lang w:val="ru-RU"/>
              </w:rPr>
            </w:pPr>
          </w:p>
          <w:p w14:paraId="67E7BD54" w14:textId="77777777" w:rsidR="00997D94" w:rsidRPr="00487209" w:rsidRDefault="00997D94" w:rsidP="006C6323">
            <w:pPr>
              <w:spacing w:before="120" w:after="120"/>
              <w:ind w:firstLine="5"/>
              <w:rPr>
                <w:rFonts w:ascii="Times New Roman" w:hAnsi="Times New Roman" w:cs="Times New Roman"/>
                <w:sz w:val="18"/>
                <w:szCs w:val="18"/>
                <w:lang w:val="ru-RU"/>
              </w:rPr>
            </w:pPr>
          </w:p>
          <w:p w14:paraId="6CA01404" w14:textId="77777777" w:rsidR="004C1405" w:rsidRPr="00487209" w:rsidRDefault="004C1405" w:rsidP="006C6323">
            <w:pPr>
              <w:spacing w:before="120" w:after="120"/>
              <w:ind w:firstLine="5"/>
              <w:rPr>
                <w:rFonts w:ascii="Times New Roman" w:hAnsi="Times New Roman" w:cs="Times New Roman"/>
                <w:sz w:val="18"/>
                <w:szCs w:val="18"/>
              </w:rPr>
            </w:pPr>
          </w:p>
          <w:p w14:paraId="542CD018" w14:textId="384DB857" w:rsidR="00997D94" w:rsidRPr="00487209" w:rsidRDefault="0056013E" w:rsidP="009C458E">
            <w:pPr>
              <w:spacing w:before="120" w:after="120"/>
              <w:ind w:firstLine="5"/>
              <w:jc w:val="center"/>
              <w:rPr>
                <w:rFonts w:ascii="Times New Roman" w:hAnsi="Times New Roman" w:cs="Times New Roman"/>
                <w:sz w:val="18"/>
                <w:szCs w:val="18"/>
              </w:rPr>
            </w:pPr>
            <w:r w:rsidRPr="00487209">
              <w:rPr>
                <w:rFonts w:ascii="Times New Roman" w:hAnsi="Times New Roman" w:cs="Times New Roman"/>
                <w:sz w:val="18"/>
                <w:szCs w:val="18"/>
                <w:lang w:val="ru-RU"/>
              </w:rPr>
              <w:t>10.</w:t>
            </w:r>
            <w:r w:rsidR="009C458E">
              <w:rPr>
                <w:rFonts w:ascii="Times New Roman" w:hAnsi="Times New Roman" w:cs="Times New Roman"/>
                <w:sz w:val="18"/>
                <w:szCs w:val="18"/>
                <w:lang w:val="ru-RU"/>
              </w:rPr>
              <w:t>7</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3CFFCF24" w14:textId="77777777" w:rsidR="00372C81" w:rsidRPr="00372C81" w:rsidRDefault="00372C81" w:rsidP="00372C81">
            <w:pPr>
              <w:spacing w:before="120"/>
              <w:ind w:right="-23"/>
              <w:jc w:val="both"/>
              <w:outlineLvl w:val="3"/>
              <w:rPr>
                <w:rFonts w:ascii="Times New Roman" w:eastAsia="Batang" w:hAnsi="Times New Roman" w:cs="Times New Roman"/>
                <w:sz w:val="18"/>
                <w:szCs w:val="18"/>
                <w:lang w:val="sr-Latn-BA" w:eastAsia="ko-KR"/>
              </w:rPr>
            </w:pPr>
            <w:r w:rsidRPr="00372C81">
              <w:rPr>
                <w:rFonts w:ascii="Times New Roman" w:eastAsia="Batang" w:hAnsi="Times New Roman" w:cs="Times New Roman"/>
                <w:sz w:val="18"/>
                <w:szCs w:val="18"/>
                <w:lang w:val="sr-Latn-BA" w:eastAsia="ko-KR"/>
              </w:rPr>
              <w:t>Српски знак усаглашености се ставља на оне грађевинске производе за које је произвођач сачинио декларацију о перформансама у складу са чланом 6. и 8. oвог закона.</w:t>
            </w:r>
          </w:p>
          <w:p w14:paraId="3CBA5CCA" w14:textId="77777777" w:rsidR="00372C81" w:rsidRPr="00372C81" w:rsidRDefault="00372C81" w:rsidP="00372C81">
            <w:pPr>
              <w:spacing w:before="120"/>
              <w:ind w:right="-23"/>
              <w:jc w:val="both"/>
              <w:outlineLvl w:val="3"/>
              <w:rPr>
                <w:rFonts w:ascii="Times New Roman" w:eastAsia="Batang" w:hAnsi="Times New Roman" w:cs="Times New Roman"/>
                <w:sz w:val="18"/>
                <w:szCs w:val="18"/>
                <w:lang w:val="sr-Latn-BA" w:eastAsia="ko-KR"/>
              </w:rPr>
            </w:pPr>
            <w:r w:rsidRPr="00372C81">
              <w:rPr>
                <w:rFonts w:ascii="Times New Roman" w:eastAsia="Batang" w:hAnsi="Times New Roman" w:cs="Times New Roman"/>
                <w:sz w:val="18"/>
                <w:szCs w:val="18"/>
                <w:lang w:val="sr-Latn-BA" w:eastAsia="ko-KR"/>
              </w:rPr>
              <w:t>Ако произвођач није сачинио декларацију о перформансама у складу са чланом 6. и 8. oвог закона на грађевински производ не сме бити стављен српски знак усаглашености.</w:t>
            </w:r>
          </w:p>
          <w:p w14:paraId="0FF355F2" w14:textId="77777777" w:rsidR="009C458E" w:rsidRDefault="00372C81" w:rsidP="006C6323">
            <w:pPr>
              <w:jc w:val="both"/>
              <w:rPr>
                <w:rFonts w:ascii="Times New Roman" w:eastAsia="Batang" w:hAnsi="Times New Roman" w:cs="Times New Roman"/>
                <w:sz w:val="18"/>
                <w:szCs w:val="18"/>
                <w:lang w:val="sr-Latn-BA" w:eastAsia="ko-KR"/>
              </w:rPr>
            </w:pPr>
            <w:r w:rsidRPr="00372C81">
              <w:rPr>
                <w:rFonts w:ascii="Times New Roman" w:eastAsia="Batang" w:hAnsi="Times New Roman" w:cs="Times New Roman"/>
                <w:sz w:val="18"/>
                <w:szCs w:val="18"/>
                <w:lang w:val="sr-Latn-BA" w:eastAsia="ko-KR"/>
              </w:rPr>
              <w:t>Ако произвођач стави или када се у његово име стави српски знак усаглашености, он потврђује да преузима одговорност за усаглашеност тог грађевинског производа са перформансама наведеним у декларацији о перформансама као и усклађеност са свим захтевима утврђеним у овом закону и у другим посебним прописима којима се предвиђа стављање српског знака усаглашености на грађевинске производе.</w:t>
            </w:r>
          </w:p>
          <w:p w14:paraId="3B97F3CD" w14:textId="77777777" w:rsidR="009C458E" w:rsidRDefault="009C458E" w:rsidP="006C6323">
            <w:pPr>
              <w:jc w:val="both"/>
              <w:rPr>
                <w:rFonts w:ascii="Times New Roman" w:eastAsia="Batang" w:hAnsi="Times New Roman" w:cs="Times New Roman"/>
                <w:sz w:val="18"/>
                <w:szCs w:val="18"/>
                <w:lang w:val="sr-Cyrl-CS" w:eastAsia="ko-KR"/>
              </w:rPr>
            </w:pPr>
          </w:p>
          <w:p w14:paraId="6AD0EA35" w14:textId="3593ECDB" w:rsidR="00A93357" w:rsidRPr="00487209" w:rsidRDefault="009C458E" w:rsidP="006C6323">
            <w:pPr>
              <w:jc w:val="both"/>
              <w:rPr>
                <w:rFonts w:ascii="Times New Roman" w:hAnsi="Times New Roman" w:cs="Times New Roman"/>
                <w:sz w:val="18"/>
                <w:szCs w:val="18"/>
                <w:lang w:val="sr-Cyrl-CS"/>
              </w:rPr>
            </w:pPr>
            <w:r w:rsidRPr="009C458E">
              <w:rPr>
                <w:rFonts w:ascii="Times New Roman" w:eastAsia="Batang" w:hAnsi="Times New Roman" w:cs="Times New Roman"/>
                <w:sz w:val="18"/>
                <w:szCs w:val="18"/>
                <w:lang w:val="sr-Latn-BA" w:eastAsia="ko-KR"/>
              </w:rPr>
              <w:t>Знак CE се ставља на грађевински производ за који је произвођач сачинио декларацију о перформансама којом је потврђена његова усаглашеност са хармонизованим стандардом или са европском техничком оценом која је за њега издата уз садржај написан на српском језику.</w:t>
            </w:r>
          </w:p>
        </w:tc>
        <w:tc>
          <w:tcPr>
            <w:tcW w:w="458" w:type="pct"/>
            <w:shd w:val="clear" w:color="auto" w:fill="auto"/>
            <w:vAlign w:val="center"/>
          </w:tcPr>
          <w:p w14:paraId="6BB5D781" w14:textId="77777777" w:rsidR="00A93357" w:rsidRPr="00487209" w:rsidRDefault="008C789F"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ДУ</w:t>
            </w:r>
          </w:p>
        </w:tc>
        <w:tc>
          <w:tcPr>
            <w:tcW w:w="598" w:type="pct"/>
            <w:gridSpan w:val="2"/>
            <w:shd w:val="clear" w:color="auto" w:fill="auto"/>
            <w:vAlign w:val="center"/>
          </w:tcPr>
          <w:p w14:paraId="3A197191" w14:textId="2A06080F" w:rsidR="00A93357" w:rsidRPr="00487209" w:rsidRDefault="00084849" w:rsidP="007D5144">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2669C5" w:rsidRPr="00487209">
              <w:rPr>
                <w:rFonts w:ascii="Times New Roman" w:hAnsi="Times New Roman" w:cs="Times New Roman"/>
                <w:sz w:val="18"/>
                <w:szCs w:val="18"/>
                <w:lang w:val="ru-RU"/>
              </w:rPr>
              <w:t xml:space="preserve"> 8.2. </w:t>
            </w:r>
            <w:r w:rsidR="002669C5" w:rsidRPr="00487209">
              <w:rPr>
                <w:rFonts w:ascii="Times New Roman" w:hAnsi="Times New Roman" w:cs="Times New Roman"/>
                <w:sz w:val="18"/>
                <w:szCs w:val="18"/>
                <w:lang w:val="sr-Cyrl-CS"/>
              </w:rPr>
              <w:t>Уредбе 305/2011 (ЕУ) је делимич</w:t>
            </w:r>
            <w:r>
              <w:rPr>
                <w:rFonts w:ascii="Times New Roman" w:hAnsi="Times New Roman" w:cs="Times New Roman"/>
                <w:sz w:val="18"/>
                <w:szCs w:val="18"/>
                <w:lang w:val="sr-Cyrl-CS"/>
              </w:rPr>
              <w:t>но усклађен са чланом 12. став 1. и чланом</w:t>
            </w:r>
            <w:r w:rsidR="00603B86" w:rsidRPr="00487209">
              <w:rPr>
                <w:rFonts w:ascii="Times New Roman" w:hAnsi="Times New Roman" w:cs="Times New Roman"/>
                <w:sz w:val="18"/>
                <w:szCs w:val="18"/>
                <w:lang w:val="sr-Cyrl-CS"/>
              </w:rPr>
              <w:t xml:space="preserve"> </w:t>
            </w:r>
            <w:r w:rsidR="002669C5" w:rsidRPr="00487209">
              <w:rPr>
                <w:rFonts w:ascii="Times New Roman" w:hAnsi="Times New Roman" w:cs="Times New Roman"/>
                <w:sz w:val="18"/>
                <w:szCs w:val="18"/>
                <w:lang w:val="sr-Cyrl-CS"/>
              </w:rPr>
              <w:t xml:space="preserve">10. ст. </w:t>
            </w:r>
            <w:r>
              <w:rPr>
                <w:rFonts w:ascii="Times New Roman" w:hAnsi="Times New Roman" w:cs="Times New Roman"/>
                <w:sz w:val="18"/>
                <w:szCs w:val="18"/>
                <w:lang w:val="sr-Cyrl-CS"/>
              </w:rPr>
              <w:t>1</w:t>
            </w:r>
            <w:r w:rsidR="00390B85">
              <w:rPr>
                <w:rFonts w:ascii="Times New Roman" w:hAnsi="Times New Roman" w:cs="Times New Roman"/>
                <w:sz w:val="18"/>
                <w:szCs w:val="18"/>
                <w:lang w:val="sr-Cyrl-CS"/>
              </w:rPr>
              <w:t xml:space="preserve">, </w:t>
            </w:r>
            <w:r>
              <w:rPr>
                <w:rFonts w:ascii="Times New Roman" w:hAnsi="Times New Roman" w:cs="Times New Roman"/>
                <w:sz w:val="18"/>
                <w:szCs w:val="18"/>
                <w:lang w:val="sr-Cyrl-CS"/>
              </w:rPr>
              <w:t>2,</w:t>
            </w:r>
            <w:r w:rsidR="002669C5" w:rsidRPr="00487209">
              <w:rPr>
                <w:rFonts w:ascii="Times New Roman" w:hAnsi="Times New Roman" w:cs="Times New Roman"/>
                <w:sz w:val="18"/>
                <w:szCs w:val="18"/>
                <w:lang w:val="sr-Cyrl-CS"/>
              </w:rPr>
              <w:t xml:space="preserve"> 3. и </w:t>
            </w:r>
            <w:r w:rsidR="007D5144">
              <w:rPr>
                <w:rFonts w:ascii="Times New Roman" w:hAnsi="Times New Roman" w:cs="Times New Roman"/>
                <w:sz w:val="18"/>
                <w:szCs w:val="18"/>
                <w:lang w:val="sr-Cyrl-CS"/>
              </w:rPr>
              <w:t>7</w:t>
            </w:r>
            <w:r w:rsidR="002669C5"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2669C5" w:rsidRPr="00487209">
              <w:rPr>
                <w:rFonts w:ascii="Times New Roman" w:hAnsi="Times New Roman" w:cs="Times New Roman"/>
                <w:sz w:val="18"/>
                <w:szCs w:val="18"/>
                <w:lang w:val="sr-Cyrl-CS"/>
              </w:rPr>
              <w:t>, због статуса нечланице ЕУ. Потпуно усклађивање биће могуће након приступања ЕУ.</w:t>
            </w:r>
          </w:p>
        </w:tc>
        <w:tc>
          <w:tcPr>
            <w:tcW w:w="480" w:type="pct"/>
            <w:shd w:val="clear" w:color="auto" w:fill="auto"/>
            <w:vAlign w:val="center"/>
          </w:tcPr>
          <w:p w14:paraId="7D268B55" w14:textId="77777777" w:rsidR="00A93357" w:rsidRPr="00487209" w:rsidRDefault="00A93357" w:rsidP="006C6323">
            <w:pPr>
              <w:spacing w:before="120" w:after="120"/>
              <w:jc w:val="center"/>
              <w:rPr>
                <w:rFonts w:ascii="Times New Roman" w:hAnsi="Times New Roman" w:cs="Times New Roman"/>
                <w:sz w:val="18"/>
                <w:szCs w:val="18"/>
                <w:lang w:val="sr-Cyrl-CS"/>
              </w:rPr>
            </w:pPr>
          </w:p>
        </w:tc>
      </w:tr>
      <w:tr w:rsidR="00337554" w:rsidRPr="00487209" w14:paraId="3CF95ED0" w14:textId="77777777" w:rsidTr="007D5144">
        <w:trPr>
          <w:trHeight w:val="1970"/>
          <w:jc w:val="center"/>
        </w:trPr>
        <w:tc>
          <w:tcPr>
            <w:tcW w:w="435" w:type="pct"/>
            <w:shd w:val="clear" w:color="auto" w:fill="auto"/>
            <w:vAlign w:val="center"/>
          </w:tcPr>
          <w:p w14:paraId="32796207" w14:textId="77777777" w:rsidR="002669C5" w:rsidRPr="00487209" w:rsidRDefault="002669C5"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8.3.</w:t>
            </w:r>
          </w:p>
        </w:tc>
        <w:tc>
          <w:tcPr>
            <w:tcW w:w="1369" w:type="pct"/>
            <w:gridSpan w:val="2"/>
            <w:shd w:val="clear" w:color="auto" w:fill="auto"/>
            <w:vAlign w:val="center"/>
          </w:tcPr>
          <w:p w14:paraId="75B286E6" w14:textId="77777777" w:rsidR="002669C5" w:rsidRPr="00487209" w:rsidRDefault="002669C5" w:rsidP="006C6323">
            <w:pPr>
              <w:jc w:val="both"/>
              <w:rPr>
                <w:rFonts w:ascii="Times New Roman" w:hAnsi="Times New Roman" w:cs="Times New Roman"/>
                <w:sz w:val="18"/>
                <w:szCs w:val="18"/>
                <w:lang w:val="sr-Cyrl-CS"/>
              </w:rPr>
            </w:pPr>
          </w:p>
          <w:p w14:paraId="5CEE1605" w14:textId="77777777" w:rsidR="002669C5" w:rsidRPr="00487209" w:rsidRDefault="002669C5"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For any construction product covered by a harmonised standard, or for which a European Technical Assessment has been issued, the CE marking shall be the only marking which attests conformity of the construction product with the declared performance in relation to the essential characteristics, covered by that harmonised standard or by the European Technical Assessment.</w:t>
            </w:r>
          </w:p>
          <w:p w14:paraId="34CFB062" w14:textId="77777777" w:rsidR="002669C5" w:rsidRPr="00487209" w:rsidRDefault="002669C5"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In this respect, Member States shall not introduce any references or shall withdraw any references in national measures to a marking attesting conformity with the declared performance in relation to the essential characteristics covered by a harmonised standard other than the CE marking.</w:t>
            </w:r>
          </w:p>
        </w:tc>
        <w:tc>
          <w:tcPr>
            <w:tcW w:w="429" w:type="pct"/>
            <w:shd w:val="clear" w:color="auto" w:fill="auto"/>
            <w:vAlign w:val="center"/>
          </w:tcPr>
          <w:p w14:paraId="6B5B8DAD"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06F858F1" w14:textId="499C7F11" w:rsidR="002669C5" w:rsidRDefault="002669C5" w:rsidP="009C458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10.</w:t>
            </w:r>
            <w:r w:rsidR="009C458E">
              <w:rPr>
                <w:rFonts w:ascii="Times New Roman" w:hAnsi="Times New Roman" w:cs="Times New Roman"/>
                <w:sz w:val="18"/>
                <w:szCs w:val="18"/>
                <w:lang w:val="ru-RU"/>
              </w:rPr>
              <w:t>4</w:t>
            </w:r>
            <w:r w:rsidRPr="00487209">
              <w:rPr>
                <w:rFonts w:ascii="Times New Roman" w:hAnsi="Times New Roman" w:cs="Times New Roman"/>
                <w:sz w:val="18"/>
                <w:szCs w:val="18"/>
                <w:lang w:val="ru-RU"/>
              </w:rPr>
              <w:t>.</w:t>
            </w:r>
          </w:p>
          <w:p w14:paraId="096F2B85" w14:textId="77777777" w:rsidR="009C458E" w:rsidRDefault="009C458E" w:rsidP="009C458E">
            <w:pPr>
              <w:spacing w:before="120" w:after="120"/>
              <w:ind w:firstLine="5"/>
              <w:jc w:val="center"/>
              <w:rPr>
                <w:rFonts w:ascii="Times New Roman" w:hAnsi="Times New Roman" w:cs="Times New Roman"/>
                <w:sz w:val="18"/>
                <w:szCs w:val="18"/>
                <w:lang w:val="ru-RU"/>
              </w:rPr>
            </w:pPr>
          </w:p>
          <w:p w14:paraId="74D9857E" w14:textId="77777777" w:rsidR="009C458E" w:rsidRDefault="009C458E" w:rsidP="009C458E">
            <w:pPr>
              <w:spacing w:before="120" w:after="120"/>
              <w:ind w:firstLine="5"/>
              <w:jc w:val="center"/>
              <w:rPr>
                <w:rFonts w:ascii="Times New Roman" w:hAnsi="Times New Roman" w:cs="Times New Roman"/>
                <w:sz w:val="18"/>
                <w:szCs w:val="18"/>
                <w:lang w:val="ru-RU"/>
              </w:rPr>
            </w:pPr>
          </w:p>
          <w:p w14:paraId="24E627B3" w14:textId="3F319BD6" w:rsidR="009C458E" w:rsidRPr="00487209" w:rsidRDefault="009C458E" w:rsidP="009C458E">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10.7.</w:t>
            </w:r>
          </w:p>
        </w:tc>
        <w:tc>
          <w:tcPr>
            <w:tcW w:w="1231" w:type="pct"/>
            <w:gridSpan w:val="2"/>
            <w:shd w:val="clear" w:color="auto" w:fill="auto"/>
            <w:vAlign w:val="center"/>
          </w:tcPr>
          <w:p w14:paraId="559BD741" w14:textId="77777777" w:rsidR="009C458E" w:rsidRDefault="009C458E" w:rsidP="006C6323">
            <w:pPr>
              <w:spacing w:before="120"/>
              <w:ind w:right="-23"/>
              <w:jc w:val="both"/>
              <w:outlineLvl w:val="3"/>
              <w:rPr>
                <w:rFonts w:ascii="Times New Roman" w:eastAsia="Batang" w:hAnsi="Times New Roman" w:cs="Times New Roman"/>
                <w:sz w:val="18"/>
                <w:szCs w:val="18"/>
                <w:lang w:val="sr-Cyrl-CS" w:eastAsia="ko-KR"/>
              </w:rPr>
            </w:pPr>
            <w:r w:rsidRPr="009C458E">
              <w:rPr>
                <w:rFonts w:ascii="Times New Roman" w:eastAsia="Batang" w:hAnsi="Times New Roman" w:cs="Times New Roman"/>
                <w:sz w:val="18"/>
                <w:szCs w:val="18"/>
                <w:lang w:val="sr-Cyrl-CS" w:eastAsia="ko-KR"/>
              </w:rPr>
              <w:t>За грађевински производ чији су захтеви утврђени српском техничком спецификацијом или техничким прописом, српски знак усаглашености је једини знак којим се потврђује усаглашеност тог грађевинског производа са перформансама наведеним у декларацији о перформансама у вези са битним карактеристикама утврђеним српским стандардом са списка српских стандарда којима су преузети хармонизовани стандарди који се примењују у складу са овим законом,  српским стандардом на који се позива технички пропис, техничким прописом или српском техничком оценом која је за њега издата.</w:t>
            </w:r>
          </w:p>
          <w:p w14:paraId="1AA91681" w14:textId="02F8B5C4" w:rsidR="009C458E" w:rsidRDefault="009C458E" w:rsidP="006C6323">
            <w:pPr>
              <w:spacing w:before="120"/>
              <w:ind w:right="-23"/>
              <w:jc w:val="both"/>
              <w:outlineLvl w:val="3"/>
              <w:rPr>
                <w:rFonts w:ascii="Times New Roman" w:eastAsia="Batang" w:hAnsi="Times New Roman" w:cs="Times New Roman"/>
                <w:sz w:val="18"/>
                <w:szCs w:val="18"/>
                <w:lang w:val="sr-Cyrl-CS" w:eastAsia="ko-KR"/>
              </w:rPr>
            </w:pPr>
            <w:r w:rsidRPr="009C458E">
              <w:rPr>
                <w:rFonts w:ascii="Times New Roman" w:eastAsia="Batang" w:hAnsi="Times New Roman" w:cs="Times New Roman"/>
                <w:sz w:val="18"/>
                <w:szCs w:val="18"/>
                <w:lang w:val="sr-Latn-BA" w:eastAsia="ko-KR"/>
              </w:rPr>
              <w:t>Знак CE се ставља на грађевински производ за који је произвођач сачинио декларацију о перформансама</w:t>
            </w:r>
            <w:r w:rsidR="003A0D26">
              <w:rPr>
                <w:rFonts w:ascii="Times New Roman" w:eastAsia="Batang" w:hAnsi="Times New Roman" w:cs="Times New Roman"/>
                <w:sz w:val="18"/>
                <w:szCs w:val="18"/>
                <w:lang w:val="sr-Latn-BA" w:eastAsia="ko-KR"/>
              </w:rPr>
              <w:t xml:space="preserve">, </w:t>
            </w:r>
            <w:r w:rsidR="003A0D26" w:rsidRPr="003A0D26">
              <w:rPr>
                <w:rFonts w:ascii="Times New Roman" w:eastAsia="Batang" w:hAnsi="Times New Roman" w:cs="Times New Roman"/>
                <w:sz w:val="18"/>
                <w:szCs w:val="18"/>
                <w:lang w:val="sr-Latn-BA" w:eastAsia="ko-KR"/>
              </w:rPr>
              <w:t>у складу са посебним прописом,</w:t>
            </w:r>
            <w:r w:rsidR="003A0D26" w:rsidRPr="003A0D26">
              <w:rPr>
                <w:rFonts w:ascii="Times New Roman" w:eastAsia="Batang" w:hAnsi="Times New Roman" w:cs="Times New Roman"/>
                <w:sz w:val="18"/>
                <w:szCs w:val="18"/>
                <w:lang w:val="sr-Cyrl-CS" w:eastAsia="ko-KR"/>
              </w:rPr>
              <w:t xml:space="preserve"> </w:t>
            </w:r>
            <w:r w:rsidRPr="009C458E">
              <w:rPr>
                <w:rFonts w:ascii="Times New Roman" w:eastAsia="Batang" w:hAnsi="Times New Roman" w:cs="Times New Roman"/>
                <w:sz w:val="18"/>
                <w:szCs w:val="18"/>
                <w:lang w:val="sr-Latn-BA" w:eastAsia="ko-KR"/>
              </w:rPr>
              <w:t xml:space="preserve"> којом је потврђена његова усаглашеност са хармонизованим стандардом или са европском техничком оценом која је за њега издата уз садржај написан на српском језику.</w:t>
            </w:r>
          </w:p>
          <w:p w14:paraId="2C8DD4CC" w14:textId="46377AA0" w:rsidR="002669C5" w:rsidRPr="00390B85" w:rsidRDefault="002669C5" w:rsidP="006C6323">
            <w:pPr>
              <w:spacing w:before="120"/>
              <w:ind w:right="-23"/>
              <w:jc w:val="both"/>
              <w:outlineLvl w:val="3"/>
              <w:rPr>
                <w:rFonts w:ascii="Times New Roman" w:eastAsia="Batang" w:hAnsi="Times New Roman" w:cs="Times New Roman"/>
                <w:sz w:val="18"/>
                <w:szCs w:val="18"/>
                <w:lang w:val="sr-Cyrl-CS" w:eastAsia="ko-KR"/>
              </w:rPr>
            </w:pPr>
          </w:p>
        </w:tc>
        <w:tc>
          <w:tcPr>
            <w:tcW w:w="458" w:type="pct"/>
            <w:shd w:val="clear" w:color="auto" w:fill="auto"/>
            <w:vAlign w:val="center"/>
          </w:tcPr>
          <w:p w14:paraId="5829569F" w14:textId="77777777" w:rsidR="002669C5" w:rsidRPr="00487209" w:rsidRDefault="002669C5"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ДУ</w:t>
            </w:r>
          </w:p>
        </w:tc>
        <w:tc>
          <w:tcPr>
            <w:tcW w:w="598" w:type="pct"/>
            <w:gridSpan w:val="2"/>
            <w:shd w:val="clear" w:color="auto" w:fill="auto"/>
            <w:vAlign w:val="center"/>
          </w:tcPr>
          <w:p w14:paraId="44ECFAA9" w14:textId="1BF37403" w:rsidR="002669C5" w:rsidRPr="00487209" w:rsidRDefault="00084849" w:rsidP="00390B85">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2669C5" w:rsidRPr="00487209">
              <w:rPr>
                <w:rFonts w:ascii="Times New Roman" w:hAnsi="Times New Roman" w:cs="Times New Roman"/>
                <w:sz w:val="18"/>
                <w:szCs w:val="18"/>
                <w:lang w:val="ru-RU"/>
              </w:rPr>
              <w:t xml:space="preserve"> 8.</w:t>
            </w:r>
            <w:r w:rsidR="00CE20DE" w:rsidRPr="00487209">
              <w:rPr>
                <w:rFonts w:ascii="Times New Roman" w:hAnsi="Times New Roman" w:cs="Times New Roman"/>
                <w:sz w:val="18"/>
                <w:szCs w:val="18"/>
                <w:lang w:val="ru-RU"/>
              </w:rPr>
              <w:t>3</w:t>
            </w:r>
            <w:r w:rsidR="002669C5" w:rsidRPr="00487209">
              <w:rPr>
                <w:rFonts w:ascii="Times New Roman" w:hAnsi="Times New Roman" w:cs="Times New Roman"/>
                <w:sz w:val="18"/>
                <w:szCs w:val="18"/>
                <w:lang w:val="ru-RU"/>
              </w:rPr>
              <w:t xml:space="preserve">. </w:t>
            </w:r>
            <w:r w:rsidR="002669C5" w:rsidRPr="00487209">
              <w:rPr>
                <w:rFonts w:ascii="Times New Roman" w:hAnsi="Times New Roman" w:cs="Times New Roman"/>
                <w:sz w:val="18"/>
                <w:szCs w:val="18"/>
                <w:lang w:val="sr-Cyrl-CS"/>
              </w:rPr>
              <w:t>Уредбе 305/2011 (ЕУ) је делимично усклађен са</w:t>
            </w:r>
            <w:r>
              <w:rPr>
                <w:rFonts w:ascii="Times New Roman" w:hAnsi="Times New Roman" w:cs="Times New Roman"/>
                <w:sz w:val="18"/>
                <w:szCs w:val="18"/>
                <w:lang w:val="sr-Cyrl-CS"/>
              </w:rPr>
              <w:t xml:space="preserve"> чланом </w:t>
            </w:r>
            <w:r w:rsidR="002669C5" w:rsidRPr="00487209">
              <w:rPr>
                <w:rFonts w:ascii="Times New Roman" w:hAnsi="Times New Roman" w:cs="Times New Roman"/>
                <w:sz w:val="18"/>
                <w:szCs w:val="18"/>
                <w:lang w:val="sr-Cyrl-CS"/>
              </w:rPr>
              <w:t xml:space="preserve">10. ст. </w:t>
            </w:r>
            <w:r w:rsidR="00390B85">
              <w:rPr>
                <w:rFonts w:ascii="Times New Roman" w:hAnsi="Times New Roman" w:cs="Times New Roman"/>
                <w:sz w:val="18"/>
                <w:szCs w:val="18"/>
                <w:lang w:val="sr-Cyrl-CS"/>
              </w:rPr>
              <w:t xml:space="preserve">4. и 7.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2669C5" w:rsidRPr="00487209">
              <w:rPr>
                <w:rFonts w:ascii="Times New Roman" w:hAnsi="Times New Roman" w:cs="Times New Roman"/>
                <w:sz w:val="18"/>
                <w:szCs w:val="18"/>
                <w:lang w:val="sr-Cyrl-CS"/>
              </w:rPr>
              <w:t>, због статуса нечланице ЕУ. Потпуно усклађивање биће могуће након приступања ЕУ.</w:t>
            </w:r>
          </w:p>
        </w:tc>
        <w:tc>
          <w:tcPr>
            <w:tcW w:w="480" w:type="pct"/>
            <w:shd w:val="clear" w:color="auto" w:fill="auto"/>
            <w:vAlign w:val="center"/>
          </w:tcPr>
          <w:p w14:paraId="52590A9F" w14:textId="77777777" w:rsidR="002669C5" w:rsidRPr="00487209" w:rsidRDefault="002669C5" w:rsidP="006C6323">
            <w:pPr>
              <w:spacing w:before="120" w:after="120"/>
              <w:jc w:val="center"/>
              <w:rPr>
                <w:rFonts w:ascii="Times New Roman" w:hAnsi="Times New Roman" w:cs="Times New Roman"/>
                <w:sz w:val="18"/>
                <w:szCs w:val="18"/>
                <w:lang w:val="ru-RU"/>
              </w:rPr>
            </w:pPr>
          </w:p>
        </w:tc>
      </w:tr>
      <w:tr w:rsidR="00337554" w:rsidRPr="00487209" w14:paraId="5386C761" w14:textId="77777777" w:rsidTr="007D5144">
        <w:trPr>
          <w:trHeight w:val="1970"/>
          <w:jc w:val="center"/>
        </w:trPr>
        <w:tc>
          <w:tcPr>
            <w:tcW w:w="435" w:type="pct"/>
            <w:shd w:val="clear" w:color="auto" w:fill="auto"/>
            <w:vAlign w:val="center"/>
          </w:tcPr>
          <w:p w14:paraId="45B71E5D" w14:textId="77777777" w:rsidR="00A93357" w:rsidRPr="00487209" w:rsidRDefault="00E85B2E"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8.4.</w:t>
            </w:r>
          </w:p>
        </w:tc>
        <w:tc>
          <w:tcPr>
            <w:tcW w:w="1369" w:type="pct"/>
            <w:gridSpan w:val="2"/>
            <w:shd w:val="clear" w:color="auto" w:fill="auto"/>
            <w:vAlign w:val="center"/>
          </w:tcPr>
          <w:p w14:paraId="1D14B698" w14:textId="77777777" w:rsidR="00A93357" w:rsidRPr="00487209" w:rsidRDefault="00E85B2E" w:rsidP="006C6323">
            <w:pPr>
              <w:jc w:val="both"/>
              <w:rPr>
                <w:rFonts w:ascii="Times New Roman" w:hAnsi="Times New Roman" w:cs="Times New Roman"/>
                <w:sz w:val="18"/>
                <w:szCs w:val="18"/>
              </w:rPr>
            </w:pPr>
            <w:r w:rsidRPr="00487209">
              <w:rPr>
                <w:rFonts w:ascii="Times New Roman" w:hAnsi="Times New Roman" w:cs="Times New Roman"/>
                <w:sz w:val="18"/>
                <w:szCs w:val="18"/>
              </w:rPr>
              <w:t>A Member State shall not prohibit or impede, within its territory or under its responsibility, the making available on the market or the use of construction products bearing the CE marking, when the declared performances correspond to the requirements for such use in that Member State.</w:t>
            </w:r>
          </w:p>
        </w:tc>
        <w:tc>
          <w:tcPr>
            <w:tcW w:w="429" w:type="pct"/>
            <w:shd w:val="clear" w:color="auto" w:fill="auto"/>
            <w:vAlign w:val="center"/>
          </w:tcPr>
          <w:p w14:paraId="3EADB2C5" w14:textId="77777777" w:rsidR="00A93357" w:rsidRPr="00487209" w:rsidRDefault="00A93357"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28B00955" w14:textId="77777777" w:rsidR="006563B8" w:rsidRPr="00487209" w:rsidRDefault="006563B8" w:rsidP="006C6323">
            <w:pPr>
              <w:pStyle w:val="Style7"/>
              <w:spacing w:before="240" w:after="0" w:line="240" w:lineRule="auto"/>
              <w:ind w:right="-23"/>
              <w:jc w:val="both"/>
              <w:outlineLvl w:val="3"/>
              <w:rPr>
                <w:sz w:val="18"/>
                <w:szCs w:val="18"/>
              </w:rPr>
            </w:pPr>
          </w:p>
        </w:tc>
        <w:tc>
          <w:tcPr>
            <w:tcW w:w="458" w:type="pct"/>
            <w:shd w:val="clear" w:color="auto" w:fill="auto"/>
            <w:vAlign w:val="center"/>
          </w:tcPr>
          <w:p w14:paraId="0462CC96" w14:textId="77777777" w:rsidR="00A93357" w:rsidRPr="00487209" w:rsidRDefault="008C5E3B"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Н</w:t>
            </w:r>
            <w:r w:rsidR="005A5223" w:rsidRPr="00487209">
              <w:rPr>
                <w:rFonts w:ascii="Times New Roman" w:hAnsi="Times New Roman" w:cs="Times New Roman"/>
                <w:sz w:val="18"/>
                <w:szCs w:val="18"/>
                <w:lang w:val="ru-RU"/>
              </w:rPr>
              <w:t>У</w:t>
            </w:r>
          </w:p>
        </w:tc>
        <w:tc>
          <w:tcPr>
            <w:tcW w:w="598" w:type="pct"/>
            <w:gridSpan w:val="2"/>
            <w:shd w:val="clear" w:color="auto" w:fill="auto"/>
            <w:vAlign w:val="center"/>
          </w:tcPr>
          <w:p w14:paraId="5D4F4DA3" w14:textId="77777777" w:rsidR="00731289" w:rsidRPr="00487209" w:rsidRDefault="00731289" w:rsidP="006C6323">
            <w:pPr>
              <w:spacing w:before="120" w:after="120"/>
              <w:ind w:firstLine="21"/>
              <w:jc w:val="both"/>
              <w:rPr>
                <w:rFonts w:ascii="Times New Roman" w:hAnsi="Times New Roman" w:cs="Times New Roman"/>
                <w:sz w:val="18"/>
                <w:szCs w:val="18"/>
                <w:lang w:val="sr-Cyrl-CS"/>
              </w:rPr>
            </w:pPr>
          </w:p>
          <w:p w14:paraId="46625A6E" w14:textId="78D45A06" w:rsidR="00A93357" w:rsidRPr="00487209" w:rsidRDefault="008C5E3B"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која се може упоредити са ч</w:t>
            </w:r>
            <w:r w:rsidR="00084849">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8.4. </w:t>
            </w:r>
            <w:r w:rsidRPr="00487209">
              <w:rPr>
                <w:rFonts w:ascii="Times New Roman" w:hAnsi="Times New Roman" w:cs="Times New Roman"/>
                <w:sz w:val="18"/>
                <w:szCs w:val="18"/>
                <w:lang w:val="sr-Cyrl-CS"/>
              </w:rPr>
              <w:t xml:space="preserve">Уредбе 305/2011 </w:t>
            </w:r>
            <w:r w:rsidRPr="00487209">
              <w:rPr>
                <w:rFonts w:ascii="Times New Roman" w:hAnsi="Times New Roman" w:cs="Times New Roman"/>
                <w:sz w:val="18"/>
                <w:szCs w:val="18"/>
                <w:lang w:val="sr-Cyrl-CS"/>
              </w:rPr>
              <w:lastRenderedPageBreak/>
              <w:t>(ЕУ), због статуса нечланице. Усклађивање ће бити могуће након приступања ЕУ.</w:t>
            </w:r>
          </w:p>
        </w:tc>
        <w:tc>
          <w:tcPr>
            <w:tcW w:w="480" w:type="pct"/>
            <w:shd w:val="clear" w:color="auto" w:fill="auto"/>
            <w:vAlign w:val="center"/>
          </w:tcPr>
          <w:p w14:paraId="4633FD3C" w14:textId="77777777" w:rsidR="00A93357" w:rsidRPr="00487209" w:rsidRDefault="00A93357" w:rsidP="006C6323">
            <w:pPr>
              <w:spacing w:before="120" w:after="120"/>
              <w:jc w:val="center"/>
              <w:rPr>
                <w:rFonts w:ascii="Times New Roman" w:hAnsi="Times New Roman" w:cs="Times New Roman"/>
                <w:sz w:val="18"/>
                <w:szCs w:val="18"/>
                <w:lang w:val="ru-RU"/>
              </w:rPr>
            </w:pPr>
          </w:p>
        </w:tc>
      </w:tr>
      <w:tr w:rsidR="00337554" w:rsidRPr="00487209" w14:paraId="580F0BDF" w14:textId="77777777" w:rsidTr="007D5144">
        <w:trPr>
          <w:trHeight w:val="1970"/>
          <w:jc w:val="center"/>
        </w:trPr>
        <w:tc>
          <w:tcPr>
            <w:tcW w:w="435" w:type="pct"/>
            <w:shd w:val="clear" w:color="auto" w:fill="auto"/>
            <w:vAlign w:val="center"/>
          </w:tcPr>
          <w:p w14:paraId="749BB33F" w14:textId="77777777" w:rsidR="005E6369" w:rsidRPr="00487209" w:rsidRDefault="005E6369"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8.5.</w:t>
            </w:r>
          </w:p>
        </w:tc>
        <w:tc>
          <w:tcPr>
            <w:tcW w:w="1369" w:type="pct"/>
            <w:gridSpan w:val="2"/>
            <w:shd w:val="clear" w:color="auto" w:fill="auto"/>
            <w:vAlign w:val="center"/>
          </w:tcPr>
          <w:p w14:paraId="14385E04" w14:textId="77777777" w:rsidR="005E6369" w:rsidRPr="00487209" w:rsidRDefault="005E6369" w:rsidP="006C6323">
            <w:pPr>
              <w:jc w:val="both"/>
              <w:rPr>
                <w:rFonts w:ascii="Times New Roman" w:hAnsi="Times New Roman" w:cs="Times New Roman"/>
                <w:sz w:val="18"/>
                <w:szCs w:val="18"/>
              </w:rPr>
            </w:pPr>
          </w:p>
          <w:p w14:paraId="517B891B" w14:textId="77777777" w:rsidR="005E6369" w:rsidRPr="00487209" w:rsidRDefault="005E6369" w:rsidP="006C6323">
            <w:pPr>
              <w:jc w:val="both"/>
              <w:rPr>
                <w:rFonts w:ascii="Times New Roman" w:hAnsi="Times New Roman" w:cs="Times New Roman"/>
                <w:sz w:val="18"/>
                <w:szCs w:val="18"/>
              </w:rPr>
            </w:pPr>
            <w:r w:rsidRPr="00487209">
              <w:rPr>
                <w:rFonts w:ascii="Times New Roman" w:hAnsi="Times New Roman" w:cs="Times New Roman"/>
                <w:sz w:val="18"/>
                <w:szCs w:val="18"/>
              </w:rPr>
              <w:t>A Member State shall ensure that the use of construction products bearing the CE marking shall not be impeded by rules or conditions imposed by public bodies or private bodies acting as a public undertaking, or acting as a public body on the basis of a monopoly position or under a public mandate, when the declared performances correspond to the requirements for such use in that Member State.</w:t>
            </w:r>
          </w:p>
          <w:p w14:paraId="0B47BFDB" w14:textId="77777777" w:rsidR="005E6369" w:rsidRPr="00487209" w:rsidRDefault="005E6369" w:rsidP="006C6323">
            <w:pPr>
              <w:jc w:val="both"/>
              <w:rPr>
                <w:rFonts w:ascii="Times New Roman" w:hAnsi="Times New Roman" w:cs="Times New Roman"/>
                <w:sz w:val="18"/>
                <w:szCs w:val="18"/>
              </w:rPr>
            </w:pPr>
          </w:p>
        </w:tc>
        <w:tc>
          <w:tcPr>
            <w:tcW w:w="429" w:type="pct"/>
            <w:shd w:val="clear" w:color="auto" w:fill="auto"/>
            <w:vAlign w:val="center"/>
          </w:tcPr>
          <w:p w14:paraId="32570515"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11C72645" w14:textId="77777777" w:rsidR="005E6369" w:rsidRPr="00487209" w:rsidRDefault="005E6369"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10.6.</w:t>
            </w:r>
          </w:p>
        </w:tc>
        <w:tc>
          <w:tcPr>
            <w:tcW w:w="1231" w:type="pct"/>
            <w:gridSpan w:val="2"/>
            <w:shd w:val="clear" w:color="auto" w:fill="auto"/>
            <w:vAlign w:val="center"/>
          </w:tcPr>
          <w:p w14:paraId="370D7FA6" w14:textId="0EE6EB77" w:rsidR="005E6369" w:rsidRPr="00487209" w:rsidRDefault="00E05067" w:rsidP="00AD272F">
            <w:pPr>
              <w:rPr>
                <w:rFonts w:ascii="Times New Roman" w:hAnsi="Times New Roman" w:cs="Times New Roman"/>
                <w:sz w:val="18"/>
                <w:szCs w:val="18"/>
                <w:lang w:val="sr-Cyrl-CS"/>
              </w:rPr>
            </w:pPr>
            <w:r w:rsidRPr="00E05067">
              <w:rPr>
                <w:rFonts w:ascii="Times New Roman" w:eastAsia="Batang" w:hAnsi="Times New Roman" w:cs="Times New Roman"/>
                <w:sz w:val="18"/>
                <w:szCs w:val="18"/>
                <w:lang w:val="sr-Cyrl-CS" w:eastAsia="ko-KR"/>
              </w:rPr>
              <w:t>Употреба грађевинских производа који носе српски знак усаглашености не може да буде онемогућена условима које одређују имаоци јавних овлашћења када перформансе наведене у декларацији о перформансама задовољавају захтеве за одговарајућу употребу.</w:t>
            </w:r>
          </w:p>
        </w:tc>
        <w:tc>
          <w:tcPr>
            <w:tcW w:w="458" w:type="pct"/>
            <w:shd w:val="clear" w:color="auto" w:fill="auto"/>
            <w:vAlign w:val="center"/>
          </w:tcPr>
          <w:p w14:paraId="1BE6CF36" w14:textId="77777777" w:rsidR="005E6369" w:rsidRPr="00487209" w:rsidRDefault="005E6369"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ДУ</w:t>
            </w:r>
          </w:p>
        </w:tc>
        <w:tc>
          <w:tcPr>
            <w:tcW w:w="598" w:type="pct"/>
            <w:gridSpan w:val="2"/>
            <w:shd w:val="clear" w:color="auto" w:fill="auto"/>
            <w:vAlign w:val="center"/>
          </w:tcPr>
          <w:p w14:paraId="5A812F9C" w14:textId="7EF95FC9" w:rsidR="00731289" w:rsidRPr="00487209" w:rsidRDefault="00084849" w:rsidP="008111AF">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Чланом</w:t>
            </w:r>
            <w:r w:rsidR="005E6369" w:rsidRPr="00487209">
              <w:rPr>
                <w:rFonts w:ascii="Times New Roman" w:hAnsi="Times New Roman" w:cs="Times New Roman"/>
                <w:sz w:val="18"/>
                <w:szCs w:val="18"/>
                <w:lang w:val="ru-RU"/>
              </w:rPr>
              <w:t xml:space="preserve"> 8.5. </w:t>
            </w:r>
            <w:r w:rsidR="005E6369" w:rsidRPr="00487209">
              <w:rPr>
                <w:rFonts w:ascii="Times New Roman" w:hAnsi="Times New Roman" w:cs="Times New Roman"/>
                <w:sz w:val="18"/>
                <w:szCs w:val="18"/>
                <w:lang w:val="sr-Cyrl-CS"/>
              </w:rPr>
              <w:t>Уредбе 305/2</w:t>
            </w:r>
            <w:r>
              <w:rPr>
                <w:rFonts w:ascii="Times New Roman" w:hAnsi="Times New Roman" w:cs="Times New Roman"/>
                <w:sz w:val="18"/>
                <w:szCs w:val="18"/>
                <w:lang w:val="sr-Cyrl-CS"/>
              </w:rPr>
              <w:t>011 (ЕУ) је делимично пренет члан 10. став</w:t>
            </w:r>
            <w:r w:rsidR="005E6369" w:rsidRPr="00487209">
              <w:rPr>
                <w:rFonts w:ascii="Times New Roman" w:hAnsi="Times New Roman" w:cs="Times New Roman"/>
                <w:sz w:val="18"/>
                <w:szCs w:val="18"/>
                <w:lang w:val="sr-Cyrl-CS"/>
              </w:rPr>
              <w:t xml:space="preserve"> 6.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5E6369" w:rsidRPr="00487209">
              <w:rPr>
                <w:rFonts w:ascii="Times New Roman" w:hAnsi="Times New Roman" w:cs="Times New Roman"/>
                <w:sz w:val="18"/>
                <w:szCs w:val="18"/>
                <w:lang w:val="sr-Cyrl-CS"/>
              </w:rPr>
              <w:t>, због статуса нечланице ЕУ. Потпуно усклађивање биће могуће након приступања ЕУ.</w:t>
            </w:r>
          </w:p>
        </w:tc>
        <w:tc>
          <w:tcPr>
            <w:tcW w:w="480" w:type="pct"/>
            <w:shd w:val="clear" w:color="auto" w:fill="auto"/>
            <w:vAlign w:val="center"/>
          </w:tcPr>
          <w:p w14:paraId="290C4DBD" w14:textId="77777777" w:rsidR="005E6369" w:rsidRPr="00487209" w:rsidRDefault="005E6369" w:rsidP="006C6323">
            <w:pPr>
              <w:spacing w:before="120" w:after="120"/>
              <w:jc w:val="center"/>
              <w:rPr>
                <w:rFonts w:ascii="Times New Roman" w:hAnsi="Times New Roman" w:cs="Times New Roman"/>
                <w:sz w:val="18"/>
                <w:szCs w:val="18"/>
                <w:lang w:val="ru-RU"/>
              </w:rPr>
            </w:pPr>
          </w:p>
        </w:tc>
      </w:tr>
      <w:tr w:rsidR="00337554" w:rsidRPr="00487209" w14:paraId="40D9443D" w14:textId="77777777" w:rsidTr="007D5144">
        <w:trPr>
          <w:trHeight w:val="1970"/>
          <w:jc w:val="center"/>
        </w:trPr>
        <w:tc>
          <w:tcPr>
            <w:tcW w:w="435" w:type="pct"/>
            <w:shd w:val="clear" w:color="auto" w:fill="auto"/>
            <w:vAlign w:val="center"/>
          </w:tcPr>
          <w:p w14:paraId="54475D66" w14:textId="77777777" w:rsidR="008D53EC" w:rsidRPr="00487209" w:rsidRDefault="008D53E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8.6.</w:t>
            </w:r>
          </w:p>
        </w:tc>
        <w:tc>
          <w:tcPr>
            <w:tcW w:w="1369" w:type="pct"/>
            <w:gridSpan w:val="2"/>
            <w:shd w:val="clear" w:color="auto" w:fill="auto"/>
            <w:vAlign w:val="center"/>
          </w:tcPr>
          <w:p w14:paraId="50D707C4" w14:textId="77777777" w:rsidR="008D53EC" w:rsidRPr="00487209" w:rsidRDefault="008D53EC" w:rsidP="006C6323">
            <w:pPr>
              <w:jc w:val="both"/>
              <w:rPr>
                <w:rFonts w:ascii="Times New Roman" w:hAnsi="Times New Roman" w:cs="Times New Roman"/>
                <w:sz w:val="18"/>
                <w:szCs w:val="18"/>
              </w:rPr>
            </w:pPr>
            <w:r w:rsidRPr="00487209">
              <w:rPr>
                <w:rFonts w:ascii="Times New Roman" w:hAnsi="Times New Roman" w:cs="Times New Roman"/>
                <w:sz w:val="18"/>
                <w:szCs w:val="18"/>
              </w:rPr>
              <w:t> The methods used by the Member States in their requirements for construction works, as well as other national rules in relation to the essential characteristics of construction products, shall be in accordance with harmonised standards.</w:t>
            </w:r>
          </w:p>
        </w:tc>
        <w:tc>
          <w:tcPr>
            <w:tcW w:w="429" w:type="pct"/>
            <w:shd w:val="clear" w:color="auto" w:fill="auto"/>
            <w:vAlign w:val="center"/>
          </w:tcPr>
          <w:p w14:paraId="4F6ACB5F"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31E8B401" w14:textId="77777777" w:rsidR="008D53EC" w:rsidRPr="00487209" w:rsidRDefault="008D53EC"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3.</w:t>
            </w:r>
            <w:r w:rsidR="00BC7ACA" w:rsidRPr="00487209">
              <w:rPr>
                <w:rFonts w:ascii="Times New Roman" w:hAnsi="Times New Roman" w:cs="Times New Roman"/>
                <w:sz w:val="18"/>
                <w:szCs w:val="18"/>
                <w:lang w:val="sr-Latn-CS"/>
              </w:rPr>
              <w:t>4</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218CFCEC" w14:textId="657DF7A3" w:rsidR="008D53EC" w:rsidRPr="00487209" w:rsidRDefault="00E05067" w:rsidP="006C6323">
            <w:pPr>
              <w:jc w:val="both"/>
              <w:rPr>
                <w:rFonts w:ascii="Times New Roman" w:hAnsi="Times New Roman" w:cs="Times New Roman"/>
                <w:sz w:val="18"/>
                <w:szCs w:val="18"/>
                <w:lang w:val="sr-Cyrl-CS"/>
              </w:rPr>
            </w:pPr>
            <w:r w:rsidRPr="00E05067">
              <w:rPr>
                <w:rFonts w:ascii="Times New Roman" w:eastAsia="Batang" w:hAnsi="Times New Roman" w:cs="Times New Roman"/>
                <w:sz w:val="18"/>
                <w:szCs w:val="18"/>
                <w:lang w:val="sr-Cyrl-CS" w:eastAsia="ko-KR"/>
              </w:rPr>
              <w:t xml:space="preserve">Методе које се користе у прописивању захтева за објекте, као и други прописи који се односе на битне карактеристике грађевинских производа и друга питања која се односе на област грађевинских производа морају бити у складу са српским стандардима којима су преузети хармонизовани стандарди. </w:t>
            </w:r>
          </w:p>
        </w:tc>
        <w:tc>
          <w:tcPr>
            <w:tcW w:w="458" w:type="pct"/>
            <w:shd w:val="clear" w:color="auto" w:fill="auto"/>
            <w:vAlign w:val="center"/>
          </w:tcPr>
          <w:p w14:paraId="38CFBD35" w14:textId="77777777" w:rsidR="008D53EC" w:rsidRPr="00487209" w:rsidRDefault="00FD470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w:t>
            </w:r>
            <w:r w:rsidR="008D53EC" w:rsidRPr="00487209">
              <w:rPr>
                <w:rFonts w:ascii="Times New Roman" w:hAnsi="Times New Roman" w:cs="Times New Roman"/>
                <w:sz w:val="18"/>
                <w:szCs w:val="18"/>
                <w:lang w:val="ru-RU"/>
              </w:rPr>
              <w:t>У</w:t>
            </w:r>
          </w:p>
        </w:tc>
        <w:tc>
          <w:tcPr>
            <w:tcW w:w="598" w:type="pct"/>
            <w:gridSpan w:val="2"/>
            <w:shd w:val="clear" w:color="auto" w:fill="auto"/>
            <w:vAlign w:val="center"/>
          </w:tcPr>
          <w:p w14:paraId="149A5B12" w14:textId="77777777" w:rsidR="008D53EC" w:rsidRPr="00487209" w:rsidRDefault="008D53EC"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00A47997" w14:textId="77777777" w:rsidR="008D53EC" w:rsidRPr="00487209" w:rsidRDefault="008D53EC" w:rsidP="006C6323">
            <w:pPr>
              <w:spacing w:before="120" w:after="120"/>
              <w:jc w:val="center"/>
              <w:rPr>
                <w:rFonts w:ascii="Times New Roman" w:hAnsi="Times New Roman" w:cs="Times New Roman"/>
                <w:sz w:val="18"/>
                <w:szCs w:val="18"/>
                <w:lang w:val="ru-RU"/>
              </w:rPr>
            </w:pPr>
          </w:p>
        </w:tc>
      </w:tr>
      <w:tr w:rsidR="00337554" w:rsidRPr="00487209" w14:paraId="7F3572C0" w14:textId="77777777" w:rsidTr="007D5144">
        <w:trPr>
          <w:trHeight w:val="1970"/>
          <w:jc w:val="center"/>
        </w:trPr>
        <w:tc>
          <w:tcPr>
            <w:tcW w:w="435" w:type="pct"/>
            <w:shd w:val="clear" w:color="auto" w:fill="auto"/>
            <w:vAlign w:val="center"/>
          </w:tcPr>
          <w:p w14:paraId="6A1B9C58" w14:textId="77777777" w:rsidR="00A93357" w:rsidRPr="00487209" w:rsidRDefault="00E85B2E"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9.1.</w:t>
            </w:r>
          </w:p>
        </w:tc>
        <w:tc>
          <w:tcPr>
            <w:tcW w:w="1369" w:type="pct"/>
            <w:gridSpan w:val="2"/>
            <w:shd w:val="clear" w:color="auto" w:fill="auto"/>
            <w:vAlign w:val="center"/>
          </w:tcPr>
          <w:p w14:paraId="4049CC83" w14:textId="4D1EFD0C" w:rsidR="00A93357" w:rsidRPr="00487209" w:rsidRDefault="00CB080B" w:rsidP="006C6323">
            <w:pPr>
              <w:jc w:val="both"/>
              <w:rPr>
                <w:rFonts w:ascii="Times New Roman" w:hAnsi="Times New Roman" w:cs="Times New Roman"/>
                <w:sz w:val="18"/>
                <w:szCs w:val="18"/>
              </w:rPr>
            </w:pPr>
            <w:r w:rsidRPr="00487209">
              <w:rPr>
                <w:rFonts w:ascii="Times New Roman" w:hAnsi="Times New Roman" w:cs="Times New Roman"/>
                <w:sz w:val="18"/>
                <w:szCs w:val="18"/>
              </w:rPr>
              <w:t>The CE marking shall be affixed visibly, legibly and indelibly to the construction product or to a label attached to it. Where this is not possible or not warranted on account of the nature of the product, it shall be affixed to the packaging or to the accompanying documents.</w:t>
            </w:r>
          </w:p>
        </w:tc>
        <w:tc>
          <w:tcPr>
            <w:tcW w:w="429" w:type="pct"/>
            <w:shd w:val="clear" w:color="auto" w:fill="auto"/>
            <w:vAlign w:val="center"/>
          </w:tcPr>
          <w:p w14:paraId="4F08E60F"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70B67445" w14:textId="77777777" w:rsidR="00A93357" w:rsidRPr="00487209" w:rsidRDefault="0049588C"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11.1.</w:t>
            </w:r>
          </w:p>
        </w:tc>
        <w:tc>
          <w:tcPr>
            <w:tcW w:w="1231" w:type="pct"/>
            <w:gridSpan w:val="2"/>
            <w:shd w:val="clear" w:color="auto" w:fill="auto"/>
            <w:vAlign w:val="center"/>
          </w:tcPr>
          <w:p w14:paraId="22976E15" w14:textId="1F8198CE" w:rsidR="00F37711" w:rsidRPr="00487209" w:rsidRDefault="00F37711" w:rsidP="006C6323">
            <w:pPr>
              <w:spacing w:before="120"/>
              <w:ind w:right="-23"/>
              <w:jc w:val="both"/>
              <w:rPr>
                <w:rFonts w:ascii="Times New Roman" w:eastAsia="Batang" w:hAnsi="Times New Roman" w:cs="Times New Roman"/>
                <w:sz w:val="18"/>
                <w:szCs w:val="18"/>
                <w:lang w:val="sr-Cyrl-CS" w:eastAsia="ko-KR"/>
              </w:rPr>
            </w:pPr>
            <w:r w:rsidRPr="00487209">
              <w:rPr>
                <w:rFonts w:ascii="Times New Roman" w:eastAsia="Batang" w:hAnsi="Times New Roman" w:cs="Times New Roman"/>
                <w:sz w:val="18"/>
                <w:szCs w:val="18"/>
                <w:lang w:val="sr-Cyrl-CS" w:eastAsia="ko-KR"/>
              </w:rPr>
              <w:t xml:space="preserve">Српски знак усаглашености ставља </w:t>
            </w:r>
            <w:r w:rsidR="00E05067" w:rsidRPr="00487209">
              <w:rPr>
                <w:rFonts w:ascii="Times New Roman" w:eastAsia="Batang" w:hAnsi="Times New Roman" w:cs="Times New Roman"/>
                <w:sz w:val="18"/>
                <w:szCs w:val="18"/>
                <w:lang w:val="sr-Cyrl-CS" w:eastAsia="ko-KR"/>
              </w:rPr>
              <w:t xml:space="preserve">се </w:t>
            </w:r>
            <w:r w:rsidRPr="00487209">
              <w:rPr>
                <w:rFonts w:ascii="Times New Roman" w:eastAsia="Batang" w:hAnsi="Times New Roman" w:cs="Times New Roman"/>
                <w:sz w:val="18"/>
                <w:szCs w:val="18"/>
                <w:lang w:val="sr-Cyrl-CS" w:eastAsia="ko-KR"/>
              </w:rPr>
              <w:t xml:space="preserve">на грађевински производ или на етикету причвршћену на њега тако да буде видљив, читљив и неизбрисив. Када то није могуће или оправдано због природе производа, он се ставља на амбалажу или на документацију </w:t>
            </w:r>
            <w:r w:rsidRPr="00487209">
              <w:rPr>
                <w:rFonts w:ascii="Times New Roman" w:eastAsia="Times New Roman" w:hAnsi="Times New Roman" w:cs="Times New Roman"/>
                <w:sz w:val="18"/>
                <w:szCs w:val="18"/>
                <w:lang w:val="sr-Cyrl-CS" w:eastAsia="ko-KR"/>
              </w:rPr>
              <w:t>која прати грађевински производ</w:t>
            </w:r>
            <w:r w:rsidRPr="00487209">
              <w:rPr>
                <w:rFonts w:ascii="Times New Roman" w:eastAsia="Batang" w:hAnsi="Times New Roman" w:cs="Times New Roman"/>
                <w:sz w:val="18"/>
                <w:szCs w:val="18"/>
                <w:lang w:val="sr-Cyrl-CS" w:eastAsia="ko-KR"/>
              </w:rPr>
              <w:t>.</w:t>
            </w:r>
          </w:p>
          <w:p w14:paraId="2666EE94" w14:textId="77777777" w:rsidR="00A93357" w:rsidRPr="00487209" w:rsidRDefault="00A93357" w:rsidP="006C6323">
            <w:pPr>
              <w:jc w:val="center"/>
              <w:rPr>
                <w:rFonts w:ascii="Times New Roman" w:hAnsi="Times New Roman" w:cs="Times New Roman"/>
                <w:sz w:val="18"/>
                <w:szCs w:val="18"/>
                <w:lang w:val="sr-Cyrl-CS"/>
              </w:rPr>
            </w:pPr>
          </w:p>
        </w:tc>
        <w:tc>
          <w:tcPr>
            <w:tcW w:w="458" w:type="pct"/>
            <w:shd w:val="clear" w:color="auto" w:fill="auto"/>
            <w:vAlign w:val="center"/>
          </w:tcPr>
          <w:p w14:paraId="55DB5A2A" w14:textId="77777777" w:rsidR="00A93357" w:rsidRPr="00487209" w:rsidRDefault="0049588C"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ДУ</w:t>
            </w:r>
          </w:p>
        </w:tc>
        <w:tc>
          <w:tcPr>
            <w:tcW w:w="598" w:type="pct"/>
            <w:gridSpan w:val="2"/>
            <w:shd w:val="clear" w:color="auto" w:fill="auto"/>
            <w:vAlign w:val="center"/>
          </w:tcPr>
          <w:p w14:paraId="305897B8" w14:textId="37460A35" w:rsidR="00731289" w:rsidRPr="00487209" w:rsidRDefault="00084849" w:rsidP="008111AF">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8D53EC" w:rsidRPr="00487209">
              <w:rPr>
                <w:rFonts w:ascii="Times New Roman" w:hAnsi="Times New Roman" w:cs="Times New Roman"/>
                <w:sz w:val="18"/>
                <w:szCs w:val="18"/>
                <w:lang w:val="ru-RU"/>
              </w:rPr>
              <w:t xml:space="preserve"> 9.1. </w:t>
            </w:r>
            <w:r w:rsidR="008D53EC" w:rsidRPr="00487209">
              <w:rPr>
                <w:rFonts w:ascii="Times New Roman" w:hAnsi="Times New Roman" w:cs="Times New Roman"/>
                <w:sz w:val="18"/>
                <w:szCs w:val="18"/>
                <w:lang w:val="sr-Cyrl-CS"/>
              </w:rPr>
              <w:t>Уредбе 305/2</w:t>
            </w:r>
            <w:r>
              <w:rPr>
                <w:rFonts w:ascii="Times New Roman" w:hAnsi="Times New Roman" w:cs="Times New Roman"/>
                <w:sz w:val="18"/>
                <w:szCs w:val="18"/>
                <w:lang w:val="sr-Cyrl-CS"/>
              </w:rPr>
              <w:t>011 (ЕУ) је делимично пренет члан 11. став</w:t>
            </w:r>
            <w:r w:rsidR="008D53EC" w:rsidRPr="00487209">
              <w:rPr>
                <w:rFonts w:ascii="Times New Roman" w:hAnsi="Times New Roman" w:cs="Times New Roman"/>
                <w:sz w:val="18"/>
                <w:szCs w:val="18"/>
                <w:lang w:val="sr-Cyrl-CS"/>
              </w:rPr>
              <w:t xml:space="preserve"> 1.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8D53EC" w:rsidRPr="00487209">
              <w:rPr>
                <w:rFonts w:ascii="Times New Roman" w:hAnsi="Times New Roman" w:cs="Times New Roman"/>
                <w:sz w:val="18"/>
                <w:szCs w:val="18"/>
                <w:lang w:val="sr-Cyrl-CS"/>
              </w:rPr>
              <w:t>, због статуса нечланице ЕУ. Потпуно усклађивање биће могуће након приступања ЕУ.</w:t>
            </w:r>
          </w:p>
        </w:tc>
        <w:tc>
          <w:tcPr>
            <w:tcW w:w="480" w:type="pct"/>
            <w:shd w:val="clear" w:color="auto" w:fill="auto"/>
            <w:vAlign w:val="center"/>
          </w:tcPr>
          <w:p w14:paraId="51C149B4" w14:textId="77777777" w:rsidR="00A93357" w:rsidRPr="00487209" w:rsidRDefault="00A93357" w:rsidP="006C6323">
            <w:pPr>
              <w:spacing w:before="120" w:after="120"/>
              <w:jc w:val="center"/>
              <w:rPr>
                <w:rFonts w:ascii="Times New Roman" w:hAnsi="Times New Roman" w:cs="Times New Roman"/>
                <w:sz w:val="18"/>
                <w:szCs w:val="18"/>
                <w:lang w:val="sr-Cyrl-CS"/>
              </w:rPr>
            </w:pPr>
          </w:p>
        </w:tc>
      </w:tr>
      <w:tr w:rsidR="00337554" w:rsidRPr="00487209" w14:paraId="274CF186" w14:textId="77777777" w:rsidTr="007D5144">
        <w:trPr>
          <w:trHeight w:val="1970"/>
          <w:jc w:val="center"/>
        </w:trPr>
        <w:tc>
          <w:tcPr>
            <w:tcW w:w="435" w:type="pct"/>
            <w:shd w:val="clear" w:color="auto" w:fill="auto"/>
            <w:vAlign w:val="center"/>
          </w:tcPr>
          <w:p w14:paraId="40803353" w14:textId="77777777" w:rsidR="00E85B2E" w:rsidRPr="00487209" w:rsidRDefault="00CB080B"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9.2.</w:t>
            </w:r>
          </w:p>
        </w:tc>
        <w:tc>
          <w:tcPr>
            <w:tcW w:w="1369" w:type="pct"/>
            <w:gridSpan w:val="2"/>
            <w:shd w:val="clear" w:color="auto" w:fill="auto"/>
            <w:vAlign w:val="center"/>
          </w:tcPr>
          <w:p w14:paraId="113DCF7F" w14:textId="77777777" w:rsidR="00E85B2E" w:rsidRPr="00487209" w:rsidRDefault="00CB080B" w:rsidP="006C6323">
            <w:pPr>
              <w:jc w:val="both"/>
              <w:rPr>
                <w:rFonts w:ascii="Times New Roman" w:hAnsi="Times New Roman" w:cs="Times New Roman"/>
                <w:sz w:val="18"/>
                <w:szCs w:val="18"/>
              </w:rPr>
            </w:pPr>
            <w:r w:rsidRPr="00487209">
              <w:rPr>
                <w:rFonts w:ascii="Times New Roman" w:hAnsi="Times New Roman" w:cs="Times New Roman"/>
                <w:sz w:val="18"/>
                <w:szCs w:val="18"/>
              </w:rPr>
              <w:t>The CE marking shall be followed by the two last digits of the year in which it was first affixed, the name and the registered address of the manufacturer, or the identifying mark allowing identification of the name and address of the manufacturer easily and without any ambiguity, the unique identification code of the product-type, the reference number of the declaration of performance, the level or class of the performance declared, the reference to the harmonised technical specification applied, the identification number of the notified body, if applicable, and the intended use as laid down in the harmonised technical specification applied.</w:t>
            </w:r>
          </w:p>
        </w:tc>
        <w:tc>
          <w:tcPr>
            <w:tcW w:w="429" w:type="pct"/>
            <w:shd w:val="clear" w:color="auto" w:fill="auto"/>
            <w:vAlign w:val="center"/>
          </w:tcPr>
          <w:p w14:paraId="236EB288"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48AAE47D" w14:textId="77777777" w:rsidR="00E85B2E" w:rsidRPr="00487209" w:rsidRDefault="0026408F"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11.2.</w:t>
            </w:r>
          </w:p>
        </w:tc>
        <w:tc>
          <w:tcPr>
            <w:tcW w:w="1231" w:type="pct"/>
            <w:gridSpan w:val="2"/>
            <w:shd w:val="clear" w:color="auto" w:fill="auto"/>
            <w:vAlign w:val="center"/>
          </w:tcPr>
          <w:p w14:paraId="5F0C7C81" w14:textId="71B0320B" w:rsidR="00E85B2E" w:rsidRPr="00487209" w:rsidRDefault="00E05067" w:rsidP="006C6323">
            <w:pPr>
              <w:spacing w:before="120"/>
              <w:ind w:right="-23"/>
              <w:jc w:val="both"/>
              <w:rPr>
                <w:rFonts w:ascii="Times New Roman" w:eastAsia="Batang" w:hAnsi="Times New Roman" w:cs="Times New Roman"/>
                <w:sz w:val="18"/>
                <w:szCs w:val="18"/>
                <w:lang w:val="sr-Cyrl-CS" w:eastAsia="ko-KR"/>
              </w:rPr>
            </w:pPr>
            <w:r w:rsidRPr="00E05067">
              <w:rPr>
                <w:rFonts w:ascii="Times New Roman" w:eastAsia="Batang" w:hAnsi="Times New Roman" w:cs="Times New Roman"/>
                <w:sz w:val="18"/>
                <w:szCs w:val="18"/>
                <w:lang w:val="sr-Cyrl-CS" w:eastAsia="ko-KR"/>
              </w:rPr>
              <w:t>Уз српски знак усаглашености се наводе две последње цифре године у којој је први пут стављен знак усаглашености, име и регистрована адреса произвођача, или идентификационa ознака која омогућава лаку и недвосмислену идентификацију имена и адресе произвођача, јединствени идентификациони код типа производа, референтни број декларације о перформансама, ниво или класа наведених перформанси наведених у декларацији о перформансама, упућивање на примењену српску техничку спецификацију или технички пропис, идентификациони број именованог тела које је спровело оцењивање и верификацију сталности перформанси, и ако је примењиво, предвиђена употреба онако како је утврђена у примењеној српској техничкој спецификацији или техничком пропису.</w:t>
            </w:r>
          </w:p>
        </w:tc>
        <w:tc>
          <w:tcPr>
            <w:tcW w:w="458" w:type="pct"/>
            <w:shd w:val="clear" w:color="auto" w:fill="auto"/>
            <w:vAlign w:val="center"/>
          </w:tcPr>
          <w:p w14:paraId="7D114CAF" w14:textId="77777777" w:rsidR="00E85B2E" w:rsidRPr="00487209" w:rsidRDefault="0026408F"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ДУ</w:t>
            </w:r>
          </w:p>
        </w:tc>
        <w:tc>
          <w:tcPr>
            <w:tcW w:w="598" w:type="pct"/>
            <w:gridSpan w:val="2"/>
            <w:shd w:val="clear" w:color="auto" w:fill="auto"/>
            <w:vAlign w:val="center"/>
          </w:tcPr>
          <w:p w14:paraId="1BB7BE07" w14:textId="7BC8810C" w:rsidR="00E85B2E" w:rsidRPr="00487209" w:rsidRDefault="00084849"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26408F" w:rsidRPr="00487209">
              <w:rPr>
                <w:rFonts w:ascii="Times New Roman" w:hAnsi="Times New Roman" w:cs="Times New Roman"/>
                <w:sz w:val="18"/>
                <w:szCs w:val="18"/>
                <w:lang w:val="ru-RU"/>
              </w:rPr>
              <w:t xml:space="preserve"> 9.</w:t>
            </w:r>
            <w:r w:rsidR="00627EAE" w:rsidRPr="00487209">
              <w:rPr>
                <w:rFonts w:ascii="Times New Roman" w:hAnsi="Times New Roman" w:cs="Times New Roman"/>
                <w:sz w:val="18"/>
                <w:szCs w:val="18"/>
                <w:lang w:val="ru-RU"/>
              </w:rPr>
              <w:t>2</w:t>
            </w:r>
            <w:r w:rsidR="0026408F" w:rsidRPr="00487209">
              <w:rPr>
                <w:rFonts w:ascii="Times New Roman" w:hAnsi="Times New Roman" w:cs="Times New Roman"/>
                <w:sz w:val="18"/>
                <w:szCs w:val="18"/>
                <w:lang w:val="ru-RU"/>
              </w:rPr>
              <w:t>.</w:t>
            </w:r>
            <w:r w:rsidR="0026408F" w:rsidRPr="00487209">
              <w:rPr>
                <w:rFonts w:ascii="Times New Roman" w:hAnsi="Times New Roman" w:cs="Times New Roman"/>
                <w:sz w:val="18"/>
                <w:szCs w:val="18"/>
                <w:lang w:val="sr-Cyrl-CS"/>
              </w:rPr>
              <w:t xml:space="preserve"> Уредбе 305/2011 (ЕУ) </w:t>
            </w:r>
            <w:r>
              <w:rPr>
                <w:rFonts w:ascii="Times New Roman" w:hAnsi="Times New Roman" w:cs="Times New Roman"/>
                <w:sz w:val="18"/>
                <w:szCs w:val="18"/>
                <w:lang w:val="sr-Cyrl-CS"/>
              </w:rPr>
              <w:t>је делимично пренет члан 11. став</w:t>
            </w:r>
            <w:r w:rsidR="00E508B7" w:rsidRPr="00487209">
              <w:rPr>
                <w:rFonts w:ascii="Times New Roman" w:hAnsi="Times New Roman" w:cs="Times New Roman"/>
                <w:sz w:val="18"/>
                <w:szCs w:val="18"/>
                <w:lang w:val="sr-Cyrl-CS"/>
              </w:rPr>
              <w:t xml:space="preserve"> </w:t>
            </w:r>
            <w:r w:rsidR="000F6F16" w:rsidRPr="00487209">
              <w:rPr>
                <w:rFonts w:ascii="Times New Roman" w:hAnsi="Times New Roman" w:cs="Times New Roman"/>
                <w:sz w:val="18"/>
                <w:szCs w:val="18"/>
                <w:lang w:val="sr-Cyrl-CS"/>
              </w:rPr>
              <w:t>2</w:t>
            </w:r>
            <w:r w:rsidR="00E508B7"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E508B7" w:rsidRPr="00487209">
              <w:rPr>
                <w:rFonts w:ascii="Times New Roman" w:hAnsi="Times New Roman" w:cs="Times New Roman"/>
                <w:sz w:val="18"/>
                <w:szCs w:val="18"/>
                <w:lang w:val="sr-Cyrl-CS"/>
              </w:rPr>
              <w:t>, због статуса нечланице ЕУ. Потпуно усклађивање биће могуће након приступања ЕУ.</w:t>
            </w:r>
          </w:p>
        </w:tc>
        <w:tc>
          <w:tcPr>
            <w:tcW w:w="480" w:type="pct"/>
            <w:shd w:val="clear" w:color="auto" w:fill="auto"/>
            <w:vAlign w:val="center"/>
          </w:tcPr>
          <w:p w14:paraId="7301CE1C" w14:textId="77777777" w:rsidR="00E85B2E" w:rsidRPr="00487209" w:rsidRDefault="00E85B2E" w:rsidP="006C6323">
            <w:pPr>
              <w:spacing w:before="120" w:after="120"/>
              <w:jc w:val="center"/>
              <w:rPr>
                <w:rFonts w:ascii="Times New Roman" w:hAnsi="Times New Roman" w:cs="Times New Roman"/>
                <w:sz w:val="18"/>
                <w:szCs w:val="18"/>
                <w:lang w:val="ru-RU"/>
              </w:rPr>
            </w:pPr>
          </w:p>
        </w:tc>
      </w:tr>
      <w:tr w:rsidR="00337554" w:rsidRPr="00487209" w14:paraId="01F22197" w14:textId="77777777" w:rsidTr="007D5144">
        <w:trPr>
          <w:trHeight w:val="1970"/>
          <w:jc w:val="center"/>
        </w:trPr>
        <w:tc>
          <w:tcPr>
            <w:tcW w:w="435" w:type="pct"/>
            <w:shd w:val="clear" w:color="auto" w:fill="auto"/>
            <w:vAlign w:val="center"/>
          </w:tcPr>
          <w:p w14:paraId="4DDA6424" w14:textId="77777777" w:rsidR="00E85B2E" w:rsidRPr="00487209" w:rsidRDefault="00CB080B"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9.3.</w:t>
            </w:r>
          </w:p>
        </w:tc>
        <w:tc>
          <w:tcPr>
            <w:tcW w:w="1369" w:type="pct"/>
            <w:gridSpan w:val="2"/>
            <w:shd w:val="clear" w:color="auto" w:fill="auto"/>
            <w:vAlign w:val="center"/>
          </w:tcPr>
          <w:p w14:paraId="4E409756" w14:textId="77777777" w:rsidR="00E85B2E" w:rsidRPr="00487209" w:rsidRDefault="00CB080B" w:rsidP="006C6323">
            <w:pPr>
              <w:jc w:val="both"/>
              <w:rPr>
                <w:rFonts w:ascii="Times New Roman" w:hAnsi="Times New Roman" w:cs="Times New Roman"/>
                <w:sz w:val="18"/>
                <w:szCs w:val="18"/>
              </w:rPr>
            </w:pPr>
            <w:r w:rsidRPr="00487209">
              <w:rPr>
                <w:rFonts w:ascii="Times New Roman" w:hAnsi="Times New Roman" w:cs="Times New Roman"/>
                <w:sz w:val="18"/>
                <w:szCs w:val="18"/>
              </w:rPr>
              <w:t>The CE marking shall be affixed before the construction product is placed on the market. It may be followed by a pictogram or any other mark notably indicating a special risk or use.</w:t>
            </w:r>
          </w:p>
        </w:tc>
        <w:tc>
          <w:tcPr>
            <w:tcW w:w="429" w:type="pct"/>
            <w:shd w:val="clear" w:color="auto" w:fill="auto"/>
            <w:vAlign w:val="center"/>
          </w:tcPr>
          <w:p w14:paraId="68C3C027"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118ECDF0" w14:textId="77777777" w:rsidR="00E85B2E" w:rsidRPr="00487209" w:rsidRDefault="007C5198"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11.3.</w:t>
            </w:r>
          </w:p>
        </w:tc>
        <w:tc>
          <w:tcPr>
            <w:tcW w:w="1231" w:type="pct"/>
            <w:gridSpan w:val="2"/>
            <w:shd w:val="clear" w:color="auto" w:fill="auto"/>
            <w:vAlign w:val="center"/>
          </w:tcPr>
          <w:p w14:paraId="601A7053" w14:textId="5E4E6F81" w:rsidR="00E85B2E" w:rsidRPr="00487209" w:rsidRDefault="00E05067" w:rsidP="00E05067">
            <w:pPr>
              <w:jc w:val="both"/>
              <w:rPr>
                <w:rFonts w:ascii="Times New Roman" w:hAnsi="Times New Roman" w:cs="Times New Roman"/>
                <w:sz w:val="18"/>
                <w:szCs w:val="18"/>
                <w:lang w:val="sr-Cyrl-CS"/>
              </w:rPr>
            </w:pPr>
            <w:r w:rsidRPr="00E05067">
              <w:rPr>
                <w:rFonts w:ascii="Times New Roman" w:eastAsia="Batang" w:hAnsi="Times New Roman" w:cs="Times New Roman"/>
                <w:sz w:val="18"/>
                <w:szCs w:val="18"/>
                <w:lang w:val="sr-Cyrl-CS" w:eastAsia="ko-KR"/>
              </w:rPr>
              <w:t>Српски знак усаглашености се ставља на грађевински производ пре његовог стављања грађевинског производа на тржиште Републике Србије. Може бити пропраћен пиктограмом или неким другим знаком који јасно означава посебан ризик или употребу.</w:t>
            </w:r>
          </w:p>
        </w:tc>
        <w:tc>
          <w:tcPr>
            <w:tcW w:w="458" w:type="pct"/>
            <w:shd w:val="clear" w:color="auto" w:fill="auto"/>
            <w:vAlign w:val="center"/>
          </w:tcPr>
          <w:p w14:paraId="7153F80A" w14:textId="77777777" w:rsidR="00E85B2E" w:rsidRPr="00487209" w:rsidRDefault="00627EAE"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ДУ</w:t>
            </w:r>
          </w:p>
        </w:tc>
        <w:tc>
          <w:tcPr>
            <w:tcW w:w="598" w:type="pct"/>
            <w:gridSpan w:val="2"/>
            <w:shd w:val="clear" w:color="auto" w:fill="auto"/>
            <w:vAlign w:val="center"/>
          </w:tcPr>
          <w:p w14:paraId="46B9684A" w14:textId="57E4C1E8" w:rsidR="00731289" w:rsidRPr="00487209" w:rsidRDefault="00084849" w:rsidP="008111AF">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627EAE" w:rsidRPr="00487209">
              <w:rPr>
                <w:rFonts w:ascii="Times New Roman" w:hAnsi="Times New Roman" w:cs="Times New Roman"/>
                <w:sz w:val="18"/>
                <w:szCs w:val="18"/>
                <w:lang w:val="ru-RU"/>
              </w:rPr>
              <w:t xml:space="preserve"> 9.3.</w:t>
            </w:r>
            <w:r w:rsidR="00627EAE" w:rsidRPr="00487209">
              <w:rPr>
                <w:rFonts w:ascii="Times New Roman" w:hAnsi="Times New Roman" w:cs="Times New Roman"/>
                <w:sz w:val="18"/>
                <w:szCs w:val="18"/>
                <w:lang w:val="sr-Cyrl-CS"/>
              </w:rPr>
              <w:t xml:space="preserve"> Уредбе 305/2011 (ЕУ) </w:t>
            </w:r>
            <w:r>
              <w:rPr>
                <w:rFonts w:ascii="Times New Roman" w:hAnsi="Times New Roman" w:cs="Times New Roman"/>
                <w:sz w:val="18"/>
                <w:szCs w:val="18"/>
                <w:lang w:val="sr-Cyrl-CS"/>
              </w:rPr>
              <w:t>је делимично пренет члан</w:t>
            </w:r>
            <w:r w:rsidR="007C5198" w:rsidRPr="00487209">
              <w:rPr>
                <w:rFonts w:ascii="Times New Roman" w:hAnsi="Times New Roman" w:cs="Times New Roman"/>
                <w:sz w:val="18"/>
                <w:szCs w:val="18"/>
                <w:lang w:val="sr-Cyrl-CS"/>
              </w:rPr>
              <w:t xml:space="preserve"> 11. ст</w:t>
            </w:r>
            <w:r>
              <w:rPr>
                <w:rFonts w:ascii="Times New Roman" w:hAnsi="Times New Roman" w:cs="Times New Roman"/>
                <w:sz w:val="18"/>
                <w:szCs w:val="18"/>
                <w:lang w:val="sr-Cyrl-CS"/>
              </w:rPr>
              <w:t>ав</w:t>
            </w:r>
            <w:r w:rsidR="007C5198" w:rsidRPr="00487209">
              <w:rPr>
                <w:rFonts w:ascii="Times New Roman" w:hAnsi="Times New Roman" w:cs="Times New Roman"/>
                <w:sz w:val="18"/>
                <w:szCs w:val="18"/>
                <w:lang w:val="sr-Cyrl-CS"/>
              </w:rPr>
              <w:t xml:space="preserve"> 3.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7C5198" w:rsidRPr="00487209">
              <w:rPr>
                <w:rFonts w:ascii="Times New Roman" w:hAnsi="Times New Roman" w:cs="Times New Roman"/>
                <w:sz w:val="18"/>
                <w:szCs w:val="18"/>
                <w:lang w:val="sr-Cyrl-CS"/>
              </w:rPr>
              <w:t>, због статуса нечланице ЕУ. Потпуно усклађивање биће могуће након приступања ЕУ.</w:t>
            </w:r>
          </w:p>
        </w:tc>
        <w:tc>
          <w:tcPr>
            <w:tcW w:w="480" w:type="pct"/>
            <w:shd w:val="clear" w:color="auto" w:fill="auto"/>
            <w:vAlign w:val="center"/>
          </w:tcPr>
          <w:p w14:paraId="51E2B978" w14:textId="77777777" w:rsidR="00E85B2E" w:rsidRPr="00487209" w:rsidRDefault="00E85B2E" w:rsidP="006C6323">
            <w:pPr>
              <w:spacing w:before="120" w:after="120"/>
              <w:jc w:val="center"/>
              <w:rPr>
                <w:rFonts w:ascii="Times New Roman" w:hAnsi="Times New Roman" w:cs="Times New Roman"/>
                <w:sz w:val="18"/>
                <w:szCs w:val="18"/>
                <w:lang w:val="sr-Cyrl-CS"/>
              </w:rPr>
            </w:pPr>
          </w:p>
        </w:tc>
      </w:tr>
      <w:tr w:rsidR="00337554" w:rsidRPr="00487209" w14:paraId="57F0CFA0" w14:textId="77777777" w:rsidTr="007D5144">
        <w:trPr>
          <w:trHeight w:val="1970"/>
          <w:jc w:val="center"/>
        </w:trPr>
        <w:tc>
          <w:tcPr>
            <w:tcW w:w="435" w:type="pct"/>
            <w:shd w:val="clear" w:color="auto" w:fill="auto"/>
            <w:vAlign w:val="center"/>
          </w:tcPr>
          <w:p w14:paraId="40FF4E09" w14:textId="77777777" w:rsidR="007C5198" w:rsidRPr="00487209" w:rsidRDefault="007C5198"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10.1.</w:t>
            </w:r>
          </w:p>
        </w:tc>
        <w:tc>
          <w:tcPr>
            <w:tcW w:w="1369" w:type="pct"/>
            <w:gridSpan w:val="2"/>
            <w:shd w:val="clear" w:color="auto" w:fill="auto"/>
            <w:vAlign w:val="center"/>
          </w:tcPr>
          <w:p w14:paraId="1D61813F" w14:textId="77777777" w:rsidR="007C5198" w:rsidRPr="00487209" w:rsidRDefault="007C5198" w:rsidP="006C6323">
            <w:pPr>
              <w:jc w:val="both"/>
              <w:rPr>
                <w:rFonts w:ascii="Times New Roman" w:hAnsi="Times New Roman" w:cs="Times New Roman"/>
                <w:sz w:val="18"/>
                <w:szCs w:val="18"/>
              </w:rPr>
            </w:pPr>
            <w:r w:rsidRPr="00487209">
              <w:rPr>
                <w:rFonts w:ascii="Times New Roman" w:hAnsi="Times New Roman" w:cs="Times New Roman"/>
                <w:sz w:val="18"/>
                <w:szCs w:val="18"/>
              </w:rPr>
              <w:t>Member States shall designate Product Contact Points for Construction pursuant to Article 9 of Regulation (EC) No 764/2008.</w:t>
            </w:r>
          </w:p>
        </w:tc>
        <w:tc>
          <w:tcPr>
            <w:tcW w:w="429" w:type="pct"/>
            <w:shd w:val="clear" w:color="auto" w:fill="auto"/>
            <w:vAlign w:val="center"/>
          </w:tcPr>
          <w:p w14:paraId="38AF9393"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0A17E9A4" w14:textId="77777777" w:rsidR="007C5198" w:rsidRPr="00487209" w:rsidRDefault="007C5198"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33.1.</w:t>
            </w:r>
          </w:p>
        </w:tc>
        <w:tc>
          <w:tcPr>
            <w:tcW w:w="1231" w:type="pct"/>
            <w:gridSpan w:val="2"/>
            <w:shd w:val="clear" w:color="auto" w:fill="auto"/>
            <w:vAlign w:val="center"/>
          </w:tcPr>
          <w:p w14:paraId="526AE04A" w14:textId="77777777" w:rsidR="00CA0D0D" w:rsidRPr="00487209" w:rsidRDefault="00CA0D0D" w:rsidP="006C6323">
            <w:pPr>
              <w:pStyle w:val="Style7"/>
              <w:spacing w:before="120" w:after="0" w:line="240" w:lineRule="auto"/>
              <w:ind w:right="-23"/>
              <w:jc w:val="both"/>
              <w:outlineLvl w:val="3"/>
              <w:rPr>
                <w:sz w:val="18"/>
                <w:szCs w:val="18"/>
              </w:rPr>
            </w:pPr>
            <w:r w:rsidRPr="00487209">
              <w:rPr>
                <w:rStyle w:val="FontStyle41"/>
                <w:rFonts w:ascii="Times New Roman" w:hAnsi="Times New Roman" w:cs="Times New Roman"/>
                <w:sz w:val="18"/>
                <w:szCs w:val="18"/>
              </w:rPr>
              <w:t xml:space="preserve">Министарство надлежно за послове грађевинарства обавља послове електронске </w:t>
            </w:r>
            <w:r w:rsidRPr="00487209">
              <w:rPr>
                <w:sz w:val="18"/>
                <w:szCs w:val="18"/>
              </w:rPr>
              <w:t>контакт тачке за грађевинске производе.</w:t>
            </w:r>
          </w:p>
          <w:p w14:paraId="692B5B0F" w14:textId="77777777" w:rsidR="007C5198" w:rsidRPr="00487209" w:rsidRDefault="007C5198" w:rsidP="006C6323">
            <w:pPr>
              <w:pStyle w:val="Style7"/>
              <w:spacing w:before="240" w:after="0" w:line="240" w:lineRule="auto"/>
              <w:ind w:right="-23"/>
              <w:jc w:val="both"/>
              <w:outlineLvl w:val="3"/>
              <w:rPr>
                <w:sz w:val="18"/>
                <w:szCs w:val="18"/>
              </w:rPr>
            </w:pPr>
          </w:p>
        </w:tc>
        <w:tc>
          <w:tcPr>
            <w:tcW w:w="458" w:type="pct"/>
            <w:shd w:val="clear" w:color="auto" w:fill="auto"/>
            <w:vAlign w:val="center"/>
          </w:tcPr>
          <w:p w14:paraId="3F514908" w14:textId="77777777" w:rsidR="007C5198" w:rsidRPr="00487209" w:rsidRDefault="007C5198"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ДУ</w:t>
            </w:r>
          </w:p>
        </w:tc>
        <w:tc>
          <w:tcPr>
            <w:tcW w:w="598" w:type="pct"/>
            <w:gridSpan w:val="2"/>
            <w:shd w:val="clear" w:color="auto" w:fill="auto"/>
            <w:vAlign w:val="center"/>
          </w:tcPr>
          <w:p w14:paraId="487FBDA7" w14:textId="7504ACDC" w:rsidR="00731289" w:rsidRPr="00487209" w:rsidRDefault="00084849" w:rsidP="008111AF">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7C5198" w:rsidRPr="00487209">
              <w:rPr>
                <w:rFonts w:ascii="Times New Roman" w:hAnsi="Times New Roman" w:cs="Times New Roman"/>
                <w:sz w:val="18"/>
                <w:szCs w:val="18"/>
                <w:lang w:val="ru-RU"/>
              </w:rPr>
              <w:t xml:space="preserve"> </w:t>
            </w:r>
            <w:r w:rsidR="00CF5236" w:rsidRPr="00487209">
              <w:rPr>
                <w:rFonts w:ascii="Times New Roman" w:hAnsi="Times New Roman" w:cs="Times New Roman"/>
                <w:sz w:val="18"/>
                <w:szCs w:val="18"/>
                <w:lang w:val="ru-RU"/>
              </w:rPr>
              <w:t>10</w:t>
            </w:r>
            <w:r w:rsidR="007C5198" w:rsidRPr="00487209">
              <w:rPr>
                <w:rFonts w:ascii="Times New Roman" w:hAnsi="Times New Roman" w:cs="Times New Roman"/>
                <w:sz w:val="18"/>
                <w:szCs w:val="18"/>
                <w:lang w:val="ru-RU"/>
              </w:rPr>
              <w:t>.</w:t>
            </w:r>
            <w:r w:rsidR="00CF5236" w:rsidRPr="00487209">
              <w:rPr>
                <w:rFonts w:ascii="Times New Roman" w:hAnsi="Times New Roman" w:cs="Times New Roman"/>
                <w:sz w:val="18"/>
                <w:szCs w:val="18"/>
                <w:lang w:val="ru-RU"/>
              </w:rPr>
              <w:t>1</w:t>
            </w:r>
            <w:r w:rsidR="007C5198" w:rsidRPr="00487209">
              <w:rPr>
                <w:rFonts w:ascii="Times New Roman" w:hAnsi="Times New Roman" w:cs="Times New Roman"/>
                <w:sz w:val="18"/>
                <w:szCs w:val="18"/>
                <w:lang w:val="ru-RU"/>
              </w:rPr>
              <w:t>.</w:t>
            </w:r>
            <w:r w:rsidR="007C5198" w:rsidRPr="00487209">
              <w:rPr>
                <w:rFonts w:ascii="Times New Roman" w:hAnsi="Times New Roman" w:cs="Times New Roman"/>
                <w:sz w:val="18"/>
                <w:szCs w:val="18"/>
                <w:lang w:val="sr-Cyrl-CS"/>
              </w:rPr>
              <w:t xml:space="preserve"> Уредбе 305/2</w:t>
            </w:r>
            <w:r>
              <w:rPr>
                <w:rFonts w:ascii="Times New Roman" w:hAnsi="Times New Roman" w:cs="Times New Roman"/>
                <w:sz w:val="18"/>
                <w:szCs w:val="18"/>
                <w:lang w:val="sr-Cyrl-CS"/>
              </w:rPr>
              <w:t>011 (ЕУ) је делимично пренет члан</w:t>
            </w:r>
            <w:r w:rsidR="007C5198" w:rsidRPr="00487209">
              <w:rPr>
                <w:rFonts w:ascii="Times New Roman" w:hAnsi="Times New Roman" w:cs="Times New Roman"/>
                <w:sz w:val="18"/>
                <w:szCs w:val="18"/>
                <w:lang w:val="sr-Cyrl-CS"/>
              </w:rPr>
              <w:t xml:space="preserve"> </w:t>
            </w:r>
            <w:r w:rsidR="00CF5236" w:rsidRPr="00487209">
              <w:rPr>
                <w:rFonts w:ascii="Times New Roman" w:hAnsi="Times New Roman" w:cs="Times New Roman"/>
                <w:sz w:val="18"/>
                <w:szCs w:val="18"/>
                <w:lang w:val="sr-Cyrl-CS"/>
              </w:rPr>
              <w:t>33</w:t>
            </w:r>
            <w:r>
              <w:rPr>
                <w:rFonts w:ascii="Times New Roman" w:hAnsi="Times New Roman" w:cs="Times New Roman"/>
                <w:sz w:val="18"/>
                <w:szCs w:val="18"/>
                <w:lang w:val="sr-Cyrl-CS"/>
              </w:rPr>
              <w:t>. став</w:t>
            </w:r>
            <w:r w:rsidR="007C5198" w:rsidRPr="00487209">
              <w:rPr>
                <w:rFonts w:ascii="Times New Roman" w:hAnsi="Times New Roman" w:cs="Times New Roman"/>
                <w:sz w:val="18"/>
                <w:szCs w:val="18"/>
                <w:lang w:val="sr-Cyrl-CS"/>
              </w:rPr>
              <w:t xml:space="preserve"> </w:t>
            </w:r>
            <w:r w:rsidR="00CF5236" w:rsidRPr="00487209">
              <w:rPr>
                <w:rFonts w:ascii="Times New Roman" w:hAnsi="Times New Roman" w:cs="Times New Roman"/>
                <w:sz w:val="18"/>
                <w:szCs w:val="18"/>
                <w:lang w:val="sr-Cyrl-CS"/>
              </w:rPr>
              <w:t>1</w:t>
            </w:r>
            <w:r w:rsidR="007C5198"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7C5198" w:rsidRPr="00487209">
              <w:rPr>
                <w:rFonts w:ascii="Times New Roman" w:hAnsi="Times New Roman" w:cs="Times New Roman"/>
                <w:sz w:val="18"/>
                <w:szCs w:val="18"/>
                <w:lang w:val="sr-Cyrl-CS"/>
              </w:rPr>
              <w:t>, због статуса нечланице ЕУ. Потпуно усклађивање биће могуће након приступања ЕУ.</w:t>
            </w:r>
          </w:p>
        </w:tc>
        <w:tc>
          <w:tcPr>
            <w:tcW w:w="480" w:type="pct"/>
            <w:shd w:val="clear" w:color="auto" w:fill="auto"/>
            <w:vAlign w:val="center"/>
          </w:tcPr>
          <w:p w14:paraId="679B9D5C" w14:textId="77777777" w:rsidR="007C5198" w:rsidRPr="00487209" w:rsidRDefault="007C5198" w:rsidP="006C6323">
            <w:pPr>
              <w:spacing w:before="120" w:after="120"/>
              <w:jc w:val="center"/>
              <w:rPr>
                <w:rFonts w:ascii="Times New Roman" w:hAnsi="Times New Roman" w:cs="Times New Roman"/>
                <w:sz w:val="18"/>
                <w:szCs w:val="18"/>
                <w:lang w:val="sr-Cyrl-CS"/>
              </w:rPr>
            </w:pPr>
          </w:p>
        </w:tc>
      </w:tr>
      <w:tr w:rsidR="00337554" w:rsidRPr="00487209" w14:paraId="158283F4" w14:textId="77777777" w:rsidTr="007D5144">
        <w:trPr>
          <w:trHeight w:val="1970"/>
          <w:jc w:val="center"/>
        </w:trPr>
        <w:tc>
          <w:tcPr>
            <w:tcW w:w="435" w:type="pct"/>
            <w:shd w:val="clear" w:color="auto" w:fill="auto"/>
            <w:vAlign w:val="center"/>
          </w:tcPr>
          <w:p w14:paraId="4C5A1AF8" w14:textId="77777777" w:rsidR="00E85B2E" w:rsidRPr="00487209" w:rsidRDefault="00CB080B"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10.2.</w:t>
            </w:r>
          </w:p>
        </w:tc>
        <w:tc>
          <w:tcPr>
            <w:tcW w:w="1369" w:type="pct"/>
            <w:gridSpan w:val="2"/>
            <w:shd w:val="clear" w:color="auto" w:fill="auto"/>
            <w:vAlign w:val="center"/>
          </w:tcPr>
          <w:p w14:paraId="37C980E0" w14:textId="77777777" w:rsidR="00E85B2E" w:rsidRPr="00487209" w:rsidRDefault="00CB080B" w:rsidP="006C6323">
            <w:pPr>
              <w:jc w:val="both"/>
              <w:rPr>
                <w:rFonts w:ascii="Times New Roman" w:hAnsi="Times New Roman" w:cs="Times New Roman"/>
                <w:sz w:val="18"/>
                <w:szCs w:val="18"/>
              </w:rPr>
            </w:pPr>
            <w:r w:rsidRPr="00487209">
              <w:rPr>
                <w:rFonts w:ascii="Times New Roman" w:hAnsi="Times New Roman" w:cs="Times New Roman"/>
                <w:sz w:val="18"/>
                <w:szCs w:val="18"/>
              </w:rPr>
              <w:t>Articles 10 and 11 of Regulation (EC) No 764/2008 shall apply to Product Contact Points for Construction.</w:t>
            </w:r>
          </w:p>
        </w:tc>
        <w:tc>
          <w:tcPr>
            <w:tcW w:w="429" w:type="pct"/>
            <w:shd w:val="clear" w:color="auto" w:fill="auto"/>
            <w:vAlign w:val="center"/>
          </w:tcPr>
          <w:p w14:paraId="4861D09D" w14:textId="77777777" w:rsidR="00EA2A48" w:rsidRPr="00487209" w:rsidRDefault="00EA2A48" w:rsidP="006C6323">
            <w:pPr>
              <w:spacing w:before="120" w:after="120"/>
              <w:ind w:firstLine="5"/>
              <w:jc w:val="center"/>
              <w:rPr>
                <w:rFonts w:ascii="Times New Roman" w:hAnsi="Times New Roman" w:cs="Times New Roman"/>
                <w:sz w:val="18"/>
                <w:szCs w:val="18"/>
                <w:lang w:val="ru-RU"/>
              </w:rPr>
            </w:pPr>
          </w:p>
          <w:p w14:paraId="6B8CFC90" w14:textId="77777777" w:rsidR="00EA2A48" w:rsidRPr="00487209" w:rsidRDefault="00EA2A48" w:rsidP="006C6323">
            <w:pPr>
              <w:spacing w:before="120" w:after="120"/>
              <w:ind w:firstLine="5"/>
              <w:jc w:val="center"/>
              <w:rPr>
                <w:rFonts w:ascii="Times New Roman" w:hAnsi="Times New Roman" w:cs="Times New Roman"/>
                <w:sz w:val="18"/>
                <w:szCs w:val="18"/>
                <w:lang w:val="ru-RU"/>
              </w:rPr>
            </w:pPr>
          </w:p>
          <w:p w14:paraId="42BD4E76"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1F5B93D8" w14:textId="77777777" w:rsidR="00E85B2E" w:rsidRPr="00487209" w:rsidRDefault="00FD4449"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33.2.</w:t>
            </w:r>
            <w:r w:rsidR="00EA2A48" w:rsidRPr="00487209">
              <w:rPr>
                <w:rFonts w:ascii="Times New Roman" w:hAnsi="Times New Roman" w:cs="Times New Roman"/>
                <w:sz w:val="18"/>
                <w:szCs w:val="18"/>
                <w:lang w:val="ru-RU"/>
              </w:rPr>
              <w:t>2)</w:t>
            </w:r>
          </w:p>
          <w:p w14:paraId="17438F5A" w14:textId="77777777" w:rsidR="00EA2A48" w:rsidRPr="00487209" w:rsidRDefault="00EA2A48" w:rsidP="006C6323">
            <w:pPr>
              <w:spacing w:before="120" w:after="120"/>
              <w:ind w:firstLine="5"/>
              <w:jc w:val="center"/>
              <w:rPr>
                <w:rFonts w:ascii="Times New Roman" w:hAnsi="Times New Roman" w:cs="Times New Roman"/>
                <w:sz w:val="18"/>
                <w:szCs w:val="18"/>
                <w:lang w:val="ru-RU"/>
              </w:rPr>
            </w:pPr>
          </w:p>
          <w:p w14:paraId="15DF26EC" w14:textId="77777777" w:rsidR="00EA2A48" w:rsidRPr="00487209" w:rsidRDefault="00EA2A48" w:rsidP="006C6323">
            <w:pPr>
              <w:spacing w:before="120" w:after="120"/>
              <w:ind w:firstLine="5"/>
              <w:jc w:val="center"/>
              <w:rPr>
                <w:rFonts w:ascii="Times New Roman" w:hAnsi="Times New Roman" w:cs="Times New Roman"/>
                <w:sz w:val="18"/>
                <w:szCs w:val="18"/>
                <w:lang w:val="ru-RU"/>
              </w:rPr>
            </w:pPr>
          </w:p>
          <w:p w14:paraId="2CE4DA31" w14:textId="77777777" w:rsidR="00EA2A48" w:rsidRPr="00487209" w:rsidRDefault="00EA2A48" w:rsidP="006C6323">
            <w:pPr>
              <w:spacing w:before="120" w:after="120"/>
              <w:ind w:firstLine="5"/>
              <w:jc w:val="center"/>
              <w:rPr>
                <w:rFonts w:ascii="Times New Roman" w:hAnsi="Times New Roman" w:cs="Times New Roman"/>
                <w:sz w:val="18"/>
                <w:szCs w:val="18"/>
                <w:lang w:val="ru-RU"/>
              </w:rPr>
            </w:pPr>
          </w:p>
          <w:p w14:paraId="629354F4" w14:textId="77777777" w:rsidR="00EA2A48" w:rsidRPr="00487209" w:rsidRDefault="00EA2A48" w:rsidP="006C6323">
            <w:pPr>
              <w:spacing w:before="120" w:after="120"/>
              <w:ind w:firstLine="5"/>
              <w:jc w:val="center"/>
              <w:rPr>
                <w:rFonts w:ascii="Times New Roman" w:hAnsi="Times New Roman" w:cs="Times New Roman"/>
                <w:sz w:val="18"/>
                <w:szCs w:val="18"/>
                <w:lang w:val="ru-RU"/>
              </w:rPr>
            </w:pPr>
          </w:p>
          <w:p w14:paraId="492EF599" w14:textId="77777777" w:rsidR="00EA2A48" w:rsidRPr="00487209" w:rsidRDefault="00EA2A48"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33.2.3)</w:t>
            </w:r>
          </w:p>
          <w:p w14:paraId="2990CA12" w14:textId="77777777" w:rsidR="00EA2A48" w:rsidRPr="00487209" w:rsidRDefault="00EA2A48" w:rsidP="006C6323">
            <w:pPr>
              <w:spacing w:before="120" w:after="120"/>
              <w:ind w:firstLine="5"/>
              <w:jc w:val="center"/>
              <w:rPr>
                <w:rFonts w:ascii="Times New Roman" w:hAnsi="Times New Roman" w:cs="Times New Roman"/>
                <w:sz w:val="18"/>
                <w:szCs w:val="18"/>
                <w:lang w:val="ru-RU"/>
              </w:rPr>
            </w:pPr>
          </w:p>
          <w:p w14:paraId="32A4E610" w14:textId="77777777" w:rsidR="00EA2A48" w:rsidRPr="00487209" w:rsidRDefault="00EA2A48" w:rsidP="006C6323">
            <w:pPr>
              <w:spacing w:before="120" w:after="120"/>
              <w:ind w:firstLine="5"/>
              <w:jc w:val="center"/>
              <w:rPr>
                <w:rFonts w:ascii="Times New Roman" w:hAnsi="Times New Roman" w:cs="Times New Roman"/>
                <w:sz w:val="18"/>
                <w:szCs w:val="18"/>
                <w:lang w:val="ru-RU"/>
              </w:rPr>
            </w:pPr>
          </w:p>
          <w:p w14:paraId="7B1ABF43" w14:textId="77777777" w:rsidR="00EA2A48" w:rsidRPr="00487209" w:rsidRDefault="00EA2A48" w:rsidP="006C6323">
            <w:pPr>
              <w:spacing w:before="120" w:after="120"/>
              <w:rPr>
                <w:rFonts w:ascii="Times New Roman" w:hAnsi="Times New Roman" w:cs="Times New Roman"/>
                <w:sz w:val="18"/>
                <w:szCs w:val="18"/>
                <w:lang w:val="ru-RU"/>
              </w:rPr>
            </w:pPr>
          </w:p>
          <w:p w14:paraId="4C286A2C" w14:textId="77777777" w:rsidR="00FD4449" w:rsidRPr="00487209" w:rsidRDefault="00FD4449"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33.</w:t>
            </w:r>
            <w:r w:rsidR="00DA4CFF" w:rsidRPr="00487209">
              <w:rPr>
                <w:rFonts w:ascii="Times New Roman" w:hAnsi="Times New Roman" w:cs="Times New Roman"/>
                <w:sz w:val="18"/>
                <w:szCs w:val="18"/>
                <w:lang w:val="ru-RU"/>
              </w:rPr>
              <w:t>3.</w:t>
            </w:r>
          </w:p>
        </w:tc>
        <w:tc>
          <w:tcPr>
            <w:tcW w:w="1231" w:type="pct"/>
            <w:gridSpan w:val="2"/>
            <w:shd w:val="clear" w:color="auto" w:fill="auto"/>
            <w:vAlign w:val="center"/>
          </w:tcPr>
          <w:p w14:paraId="457DE523" w14:textId="3DE5C79C" w:rsidR="00CA0D0D" w:rsidRPr="00487209" w:rsidRDefault="00CA0D0D" w:rsidP="006C6323">
            <w:pPr>
              <w:spacing w:before="120"/>
              <w:ind w:right="-23"/>
              <w:jc w:val="both"/>
              <w:outlineLvl w:val="3"/>
              <w:rPr>
                <w:rFonts w:ascii="Times New Roman" w:eastAsia="Batang" w:hAnsi="Times New Roman" w:cs="Times New Roman"/>
                <w:sz w:val="18"/>
                <w:szCs w:val="18"/>
                <w:lang w:val="sr-Cyrl-CS" w:eastAsia="ko-KR"/>
              </w:rPr>
            </w:pPr>
            <w:r w:rsidRPr="00487209">
              <w:rPr>
                <w:rFonts w:ascii="Times New Roman" w:eastAsia="Batang" w:hAnsi="Times New Roman" w:cs="Times New Roman"/>
                <w:sz w:val="18"/>
                <w:szCs w:val="18"/>
                <w:lang w:val="sr-Cyrl-CS" w:eastAsia="ko-KR"/>
              </w:rPr>
              <w:t xml:space="preserve">Електронска контакт тачка за грађевинске производе има обавезу да </w:t>
            </w:r>
            <w:r w:rsidR="00E05067" w:rsidRPr="00E05067">
              <w:rPr>
                <w:rFonts w:ascii="Times New Roman" w:eastAsia="Batang" w:hAnsi="Times New Roman" w:cs="Times New Roman"/>
                <w:sz w:val="18"/>
                <w:szCs w:val="18"/>
                <w:lang w:val="sr-Cyrl-CS" w:eastAsia="ko-KR"/>
              </w:rPr>
              <w:t xml:space="preserve">заинтересованим лицима </w:t>
            </w:r>
            <w:r w:rsidRPr="00487209">
              <w:rPr>
                <w:rFonts w:ascii="Times New Roman" w:eastAsia="Batang" w:hAnsi="Times New Roman" w:cs="Times New Roman"/>
                <w:sz w:val="18"/>
                <w:szCs w:val="18"/>
                <w:lang w:val="sr-Cyrl-CS" w:eastAsia="ko-KR"/>
              </w:rPr>
              <w:t>пружа информације о:</w:t>
            </w:r>
          </w:p>
          <w:p w14:paraId="09CC50AD" w14:textId="77777777" w:rsidR="00CA0D0D" w:rsidRPr="00487209" w:rsidRDefault="00CA0D0D" w:rsidP="008111AF">
            <w:pPr>
              <w:pStyle w:val="ListParagraph"/>
              <w:numPr>
                <w:ilvl w:val="0"/>
                <w:numId w:val="5"/>
              </w:numPr>
              <w:spacing w:before="120"/>
              <w:ind w:left="573" w:right="-23" w:hanging="284"/>
              <w:jc w:val="both"/>
              <w:outlineLvl w:val="3"/>
              <w:rPr>
                <w:rFonts w:eastAsia="Batang"/>
                <w:sz w:val="18"/>
                <w:szCs w:val="18"/>
                <w:lang w:eastAsia="ko-KR"/>
              </w:rPr>
            </w:pPr>
            <w:r w:rsidRPr="00487209">
              <w:rPr>
                <w:rFonts w:eastAsia="Batang"/>
                <w:sz w:val="18"/>
                <w:szCs w:val="18"/>
                <w:lang w:eastAsia="ko-KR"/>
              </w:rPr>
              <w:t>Подацима о надлежним органима у Републици Србији који омогућавају да се ти органи контактирају директно, укључујући и појединости о органима који су одговорни за надзор над применом техничких прописа за грађевинске производе на територији Републике Србије;</w:t>
            </w:r>
          </w:p>
          <w:p w14:paraId="7E3FB1F8" w14:textId="77777777" w:rsidR="00CA0D0D" w:rsidRPr="00487209" w:rsidRDefault="00CA0D0D" w:rsidP="008111AF">
            <w:pPr>
              <w:numPr>
                <w:ilvl w:val="0"/>
                <w:numId w:val="5"/>
              </w:numPr>
              <w:spacing w:before="120"/>
              <w:ind w:left="573" w:right="-23" w:hanging="284"/>
              <w:jc w:val="both"/>
              <w:outlineLvl w:val="3"/>
              <w:rPr>
                <w:rFonts w:eastAsia="Batang"/>
                <w:sz w:val="18"/>
                <w:szCs w:val="18"/>
                <w:lang w:val="sr-Cyrl-CS" w:eastAsia="ko-KR"/>
              </w:rPr>
            </w:pPr>
            <w:r w:rsidRPr="00487209">
              <w:rPr>
                <w:rFonts w:ascii="Times New Roman" w:eastAsia="Batang" w:hAnsi="Times New Roman" w:cs="Times New Roman"/>
                <w:sz w:val="18"/>
                <w:szCs w:val="18"/>
                <w:lang w:val="sr-Cyrl-CS" w:eastAsia="ko-KR"/>
              </w:rPr>
              <w:t>Правним средствима у Републици Србији у случају спора између надлежних органа и привредног субјекта.</w:t>
            </w:r>
          </w:p>
          <w:p w14:paraId="6C9B6EFA" w14:textId="77777777" w:rsidR="00942524" w:rsidRPr="00487209" w:rsidRDefault="00942524" w:rsidP="006C6323">
            <w:pPr>
              <w:pStyle w:val="Style7"/>
              <w:spacing w:before="120" w:after="0" w:line="240" w:lineRule="auto"/>
              <w:ind w:right="-23"/>
              <w:jc w:val="both"/>
              <w:outlineLvl w:val="3"/>
              <w:rPr>
                <w:sz w:val="18"/>
                <w:szCs w:val="18"/>
              </w:rPr>
            </w:pPr>
            <w:r w:rsidRPr="00487209">
              <w:rPr>
                <w:sz w:val="18"/>
                <w:szCs w:val="18"/>
              </w:rPr>
              <w:t>Електронска контакт тачка за грађевинске производе не наплаћује накнаду за пружање информација из става 2. овог члана.</w:t>
            </w:r>
          </w:p>
          <w:p w14:paraId="21FD5EA3" w14:textId="77777777" w:rsidR="00E85B2E" w:rsidRPr="00487209" w:rsidRDefault="00E85B2E" w:rsidP="006C6323">
            <w:pPr>
              <w:jc w:val="center"/>
              <w:rPr>
                <w:rFonts w:ascii="Times New Roman" w:hAnsi="Times New Roman" w:cs="Times New Roman"/>
                <w:sz w:val="18"/>
                <w:szCs w:val="18"/>
                <w:lang w:val="sr-Cyrl-CS"/>
              </w:rPr>
            </w:pPr>
          </w:p>
        </w:tc>
        <w:tc>
          <w:tcPr>
            <w:tcW w:w="458" w:type="pct"/>
            <w:shd w:val="clear" w:color="auto" w:fill="auto"/>
            <w:vAlign w:val="center"/>
          </w:tcPr>
          <w:p w14:paraId="102469C3" w14:textId="77777777" w:rsidR="00E85B2E" w:rsidRPr="00487209" w:rsidRDefault="003C7703"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ДУ</w:t>
            </w:r>
          </w:p>
        </w:tc>
        <w:tc>
          <w:tcPr>
            <w:tcW w:w="598" w:type="pct"/>
            <w:gridSpan w:val="2"/>
            <w:shd w:val="clear" w:color="auto" w:fill="auto"/>
            <w:vAlign w:val="center"/>
          </w:tcPr>
          <w:p w14:paraId="5FFA0972" w14:textId="1D6F52C4" w:rsidR="00E85B2E" w:rsidRPr="00487209" w:rsidRDefault="00084849"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B41A28" w:rsidRPr="00487209">
              <w:rPr>
                <w:rFonts w:ascii="Times New Roman" w:hAnsi="Times New Roman" w:cs="Times New Roman"/>
                <w:sz w:val="18"/>
                <w:szCs w:val="18"/>
                <w:lang w:val="ru-RU"/>
              </w:rPr>
              <w:t xml:space="preserve"> 10.2.</w:t>
            </w:r>
            <w:r w:rsidR="00B41A28" w:rsidRPr="00487209">
              <w:rPr>
                <w:rFonts w:ascii="Times New Roman" w:hAnsi="Times New Roman" w:cs="Times New Roman"/>
                <w:sz w:val="18"/>
                <w:szCs w:val="18"/>
                <w:lang w:val="sr-Cyrl-CS"/>
              </w:rPr>
              <w:t xml:space="preserve"> Уредбе 305/2</w:t>
            </w:r>
            <w:r>
              <w:rPr>
                <w:rFonts w:ascii="Times New Roman" w:hAnsi="Times New Roman" w:cs="Times New Roman"/>
                <w:sz w:val="18"/>
                <w:szCs w:val="18"/>
                <w:lang w:val="sr-Cyrl-CS"/>
              </w:rPr>
              <w:t>011 (ЕУ) је делимично пренет члан 33. став</w:t>
            </w:r>
            <w:r w:rsidR="00B41A28" w:rsidRPr="00487209">
              <w:rPr>
                <w:rFonts w:ascii="Times New Roman" w:hAnsi="Times New Roman" w:cs="Times New Roman"/>
                <w:sz w:val="18"/>
                <w:szCs w:val="18"/>
                <w:lang w:val="sr-Cyrl-CS"/>
              </w:rPr>
              <w:t xml:space="preserve"> 2. </w:t>
            </w:r>
            <w:r>
              <w:rPr>
                <w:rFonts w:ascii="Times New Roman" w:hAnsi="Times New Roman" w:cs="Times New Roman"/>
                <w:sz w:val="18"/>
                <w:szCs w:val="18"/>
                <w:lang w:val="sr-Cyrl-CS"/>
              </w:rPr>
              <w:t>тач.</w:t>
            </w:r>
            <w:r w:rsidR="00DA4CFF" w:rsidRPr="00487209">
              <w:rPr>
                <w:rFonts w:ascii="Times New Roman" w:hAnsi="Times New Roman" w:cs="Times New Roman"/>
                <w:sz w:val="18"/>
                <w:szCs w:val="18"/>
                <w:lang w:val="sr-Cyrl-CS"/>
              </w:rPr>
              <w:t xml:space="preserve"> 2) и 3) </w:t>
            </w:r>
            <w:r w:rsidR="00B41A28" w:rsidRPr="00487209">
              <w:rPr>
                <w:rFonts w:ascii="Times New Roman" w:hAnsi="Times New Roman" w:cs="Times New Roman"/>
                <w:sz w:val="18"/>
                <w:szCs w:val="18"/>
                <w:lang w:val="sr-Cyrl-CS"/>
              </w:rPr>
              <w:t xml:space="preserve">и </w:t>
            </w:r>
            <w:r>
              <w:rPr>
                <w:rFonts w:ascii="Times New Roman" w:hAnsi="Times New Roman" w:cs="Times New Roman"/>
                <w:sz w:val="18"/>
                <w:szCs w:val="18"/>
                <w:lang w:val="sr-Cyrl-CS"/>
              </w:rPr>
              <w:t>члан</w:t>
            </w:r>
            <w:r w:rsidR="00DA4CFF" w:rsidRPr="00487209">
              <w:rPr>
                <w:rFonts w:ascii="Times New Roman" w:hAnsi="Times New Roman" w:cs="Times New Roman"/>
                <w:sz w:val="18"/>
                <w:szCs w:val="18"/>
                <w:lang w:val="sr-Cyrl-CS"/>
              </w:rPr>
              <w:t xml:space="preserve"> </w:t>
            </w:r>
            <w:r w:rsidR="00B41A28" w:rsidRPr="00487209">
              <w:rPr>
                <w:rFonts w:ascii="Times New Roman" w:hAnsi="Times New Roman" w:cs="Times New Roman"/>
                <w:sz w:val="18"/>
                <w:szCs w:val="18"/>
                <w:lang w:val="sr-Cyrl-CS"/>
              </w:rPr>
              <w:t>3</w:t>
            </w:r>
            <w:r w:rsidR="00DA4CFF" w:rsidRPr="00487209">
              <w:rPr>
                <w:rFonts w:ascii="Times New Roman" w:hAnsi="Times New Roman" w:cs="Times New Roman"/>
                <w:sz w:val="18"/>
                <w:szCs w:val="18"/>
                <w:lang w:val="sr-Cyrl-CS"/>
              </w:rPr>
              <w:t>3</w:t>
            </w:r>
            <w:r w:rsidR="00B41A28" w:rsidRPr="00487209">
              <w:rPr>
                <w:rFonts w:ascii="Times New Roman" w:hAnsi="Times New Roman" w:cs="Times New Roman"/>
                <w:sz w:val="18"/>
                <w:szCs w:val="18"/>
                <w:lang w:val="sr-Cyrl-CS"/>
              </w:rPr>
              <w:t xml:space="preserve">. </w:t>
            </w:r>
            <w:r>
              <w:rPr>
                <w:rFonts w:ascii="Times New Roman" w:hAnsi="Times New Roman" w:cs="Times New Roman"/>
                <w:sz w:val="18"/>
                <w:szCs w:val="18"/>
                <w:lang w:val="sr-Cyrl-CS"/>
              </w:rPr>
              <w:t>став</w:t>
            </w:r>
            <w:r w:rsidR="00DA4CFF" w:rsidRPr="00487209">
              <w:rPr>
                <w:rFonts w:ascii="Times New Roman" w:hAnsi="Times New Roman" w:cs="Times New Roman"/>
                <w:sz w:val="18"/>
                <w:szCs w:val="18"/>
                <w:lang w:val="sr-Cyrl-CS"/>
              </w:rPr>
              <w:t xml:space="preserve"> 3.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5E5818" w:rsidRPr="00487209">
              <w:rPr>
                <w:rFonts w:ascii="Times New Roman" w:hAnsi="Times New Roman" w:cs="Times New Roman"/>
                <w:sz w:val="18"/>
                <w:szCs w:val="18"/>
                <w:lang w:val="sr-Cyrl-CS"/>
              </w:rPr>
              <w:t>, због статуса нечланице ЕУ. П</w:t>
            </w:r>
            <w:r w:rsidR="00B41A28" w:rsidRPr="00487209">
              <w:rPr>
                <w:rFonts w:ascii="Times New Roman" w:hAnsi="Times New Roman" w:cs="Times New Roman"/>
                <w:sz w:val="18"/>
                <w:szCs w:val="18"/>
                <w:lang w:val="sr-Cyrl-CS"/>
              </w:rPr>
              <w:t>отпуно усклађивање биће могуће након приступања ЕУ.</w:t>
            </w:r>
          </w:p>
        </w:tc>
        <w:tc>
          <w:tcPr>
            <w:tcW w:w="480" w:type="pct"/>
            <w:shd w:val="clear" w:color="auto" w:fill="auto"/>
            <w:vAlign w:val="center"/>
          </w:tcPr>
          <w:p w14:paraId="16494FAE" w14:textId="77777777" w:rsidR="00E85B2E" w:rsidRPr="00487209" w:rsidRDefault="00E85B2E" w:rsidP="006C6323">
            <w:pPr>
              <w:spacing w:before="120" w:after="120"/>
              <w:jc w:val="center"/>
              <w:rPr>
                <w:rFonts w:ascii="Times New Roman" w:hAnsi="Times New Roman" w:cs="Times New Roman"/>
                <w:sz w:val="18"/>
                <w:szCs w:val="18"/>
                <w:lang w:val="sr-Cyrl-CS"/>
              </w:rPr>
            </w:pPr>
          </w:p>
        </w:tc>
      </w:tr>
      <w:tr w:rsidR="00337554" w:rsidRPr="00487209" w14:paraId="5235354D" w14:textId="77777777" w:rsidTr="007D5144">
        <w:trPr>
          <w:trHeight w:val="1970"/>
          <w:jc w:val="center"/>
        </w:trPr>
        <w:tc>
          <w:tcPr>
            <w:tcW w:w="435" w:type="pct"/>
            <w:shd w:val="clear" w:color="auto" w:fill="auto"/>
            <w:vAlign w:val="center"/>
          </w:tcPr>
          <w:p w14:paraId="4B0CF4E4" w14:textId="77777777" w:rsidR="00795265" w:rsidRPr="00487209" w:rsidRDefault="00795265"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10.3.</w:t>
            </w:r>
          </w:p>
        </w:tc>
        <w:tc>
          <w:tcPr>
            <w:tcW w:w="1369" w:type="pct"/>
            <w:gridSpan w:val="2"/>
            <w:shd w:val="clear" w:color="auto" w:fill="auto"/>
            <w:vAlign w:val="center"/>
          </w:tcPr>
          <w:p w14:paraId="4B1BB315" w14:textId="77777777" w:rsidR="00795265" w:rsidRPr="00487209" w:rsidRDefault="00795265" w:rsidP="006C6323">
            <w:pPr>
              <w:jc w:val="both"/>
              <w:rPr>
                <w:rFonts w:ascii="Times New Roman" w:hAnsi="Times New Roman" w:cs="Times New Roman"/>
                <w:sz w:val="18"/>
                <w:szCs w:val="18"/>
              </w:rPr>
            </w:pPr>
            <w:r w:rsidRPr="00487209">
              <w:rPr>
                <w:rFonts w:ascii="Times New Roman" w:hAnsi="Times New Roman" w:cs="Times New Roman"/>
                <w:sz w:val="18"/>
                <w:szCs w:val="18"/>
              </w:rPr>
              <w:t>With</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regard</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to</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tasks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defined</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in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Article</w:t>
            </w:r>
            <w:r w:rsidRPr="00487209">
              <w:rPr>
                <w:rFonts w:ascii="Times New Roman" w:hAnsi="Times New Roman" w:cs="Times New Roman"/>
                <w:sz w:val="18"/>
                <w:szCs w:val="18"/>
                <w:lang w:val="sr-Cyrl-CS"/>
              </w:rPr>
              <w:t xml:space="preserve"> 10(1) </w:t>
            </w:r>
            <w:r w:rsidRPr="00487209">
              <w:rPr>
                <w:rFonts w:ascii="Times New Roman" w:hAnsi="Times New Roman" w:cs="Times New Roman"/>
                <w:sz w:val="18"/>
                <w:szCs w:val="18"/>
              </w:rPr>
              <w:t>of</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Regulation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EC</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No</w:t>
            </w:r>
            <w:r w:rsidRPr="00487209">
              <w:rPr>
                <w:rFonts w:ascii="Times New Roman" w:hAnsi="Times New Roman" w:cs="Times New Roman"/>
                <w:sz w:val="18"/>
                <w:szCs w:val="18"/>
                <w:lang w:val="sr-Cyrl-CS"/>
              </w:rPr>
              <w:t xml:space="preserve"> 764/2008, </w:t>
            </w:r>
            <w:r w:rsidRPr="00487209">
              <w:rPr>
                <w:rFonts w:ascii="Times New Roman" w:hAnsi="Times New Roman" w:cs="Times New Roman"/>
                <w:sz w:val="18"/>
                <w:szCs w:val="18"/>
              </w:rPr>
              <w:t>each</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Member</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State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shall</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ensure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that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the Product Contact Points for Construction provide information, using transparent and easily understandable terms, on the provisions within its territory aimed at fulfilling basic requirements for construction works applicable for the intended use of each construction product, as provided for in Article 6(3)(e) of this Regulation.</w:t>
            </w:r>
          </w:p>
        </w:tc>
        <w:tc>
          <w:tcPr>
            <w:tcW w:w="429" w:type="pct"/>
            <w:shd w:val="clear" w:color="auto" w:fill="auto"/>
            <w:vAlign w:val="center"/>
          </w:tcPr>
          <w:p w14:paraId="7377D975"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48E2B8F0"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33.2.1)</w:t>
            </w:r>
          </w:p>
          <w:p w14:paraId="3CDDAB20"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p>
          <w:p w14:paraId="1EFACB0F"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p>
          <w:p w14:paraId="164CCF86"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p>
          <w:p w14:paraId="1BC20FB0"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p>
          <w:p w14:paraId="7EE09BC4"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p>
          <w:p w14:paraId="09C49D53"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p>
          <w:p w14:paraId="56D43B03"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p>
          <w:p w14:paraId="26E8D555"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p>
          <w:p w14:paraId="4D4CDF4A"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p>
          <w:p w14:paraId="191F09AE"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p>
          <w:p w14:paraId="56C30BFC"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33.4.</w:t>
            </w:r>
          </w:p>
        </w:tc>
        <w:tc>
          <w:tcPr>
            <w:tcW w:w="1231" w:type="pct"/>
            <w:gridSpan w:val="2"/>
            <w:shd w:val="clear" w:color="auto" w:fill="auto"/>
            <w:vAlign w:val="center"/>
          </w:tcPr>
          <w:p w14:paraId="13AFB018" w14:textId="77777777" w:rsidR="00942524" w:rsidRPr="00487209" w:rsidRDefault="00942524" w:rsidP="006C6323">
            <w:pPr>
              <w:pStyle w:val="Style7"/>
              <w:spacing w:before="120" w:after="0" w:line="240" w:lineRule="auto"/>
              <w:ind w:right="-23"/>
              <w:jc w:val="both"/>
              <w:outlineLvl w:val="3"/>
              <w:rPr>
                <w:sz w:val="18"/>
                <w:szCs w:val="18"/>
              </w:rPr>
            </w:pPr>
            <w:r w:rsidRPr="00487209">
              <w:rPr>
                <w:rStyle w:val="FontStyle41"/>
                <w:rFonts w:ascii="Times New Roman" w:hAnsi="Times New Roman" w:cs="Times New Roman"/>
                <w:sz w:val="18"/>
                <w:szCs w:val="18"/>
              </w:rPr>
              <w:lastRenderedPageBreak/>
              <w:t xml:space="preserve">Електронска контакт тачка за грађевинске производе има обавезу да </w:t>
            </w:r>
            <w:r w:rsidRPr="00487209">
              <w:rPr>
                <w:sz w:val="18"/>
                <w:szCs w:val="18"/>
              </w:rPr>
              <w:t>пружа информације о:</w:t>
            </w:r>
          </w:p>
          <w:p w14:paraId="5603519F" w14:textId="77777777" w:rsidR="00942524" w:rsidRPr="00487209" w:rsidRDefault="00942524" w:rsidP="006C6323">
            <w:pPr>
              <w:pStyle w:val="Style7"/>
              <w:numPr>
                <w:ilvl w:val="0"/>
                <w:numId w:val="53"/>
              </w:numPr>
              <w:spacing w:before="240" w:after="0" w:line="240" w:lineRule="auto"/>
              <w:ind w:left="431" w:right="-23" w:hanging="283"/>
              <w:jc w:val="both"/>
              <w:outlineLvl w:val="3"/>
              <w:rPr>
                <w:sz w:val="18"/>
                <w:szCs w:val="18"/>
              </w:rPr>
            </w:pPr>
            <w:r w:rsidRPr="00487209">
              <w:rPr>
                <w:sz w:val="18"/>
                <w:szCs w:val="18"/>
              </w:rPr>
              <w:t xml:space="preserve">Техничким прописима који се примењују на одређену врсту производа на територији Републике  Србије, односно информације да ли та врста производа подлеже претходном прибављању докумената о оцењивању и верификацији сталности перформанси сходно прописима Републике Србије, као и информације о потреби </w:t>
            </w:r>
            <w:r w:rsidRPr="00487209">
              <w:rPr>
                <w:sz w:val="18"/>
                <w:szCs w:val="18"/>
              </w:rPr>
              <w:lastRenderedPageBreak/>
              <w:t>спровођења поступка признавања иностраних докумената о оцењивању и верификацији сталности перформанси на територији Републике Србије;</w:t>
            </w:r>
          </w:p>
          <w:p w14:paraId="57C806DC" w14:textId="77777777" w:rsidR="00795265" w:rsidRPr="00487209" w:rsidRDefault="00795265" w:rsidP="00AD272F">
            <w:pPr>
              <w:pStyle w:val="Style7"/>
              <w:spacing w:before="120" w:after="0" w:line="240" w:lineRule="auto"/>
              <w:ind w:right="-23"/>
              <w:jc w:val="both"/>
              <w:outlineLvl w:val="3"/>
              <w:rPr>
                <w:sz w:val="18"/>
                <w:szCs w:val="18"/>
              </w:rPr>
            </w:pPr>
          </w:p>
        </w:tc>
        <w:tc>
          <w:tcPr>
            <w:tcW w:w="458" w:type="pct"/>
            <w:shd w:val="clear" w:color="auto" w:fill="auto"/>
            <w:vAlign w:val="center"/>
          </w:tcPr>
          <w:p w14:paraId="2FBC1292" w14:textId="77777777" w:rsidR="00795265" w:rsidRPr="00487209" w:rsidRDefault="00795265"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ДУ</w:t>
            </w:r>
          </w:p>
        </w:tc>
        <w:tc>
          <w:tcPr>
            <w:tcW w:w="598" w:type="pct"/>
            <w:gridSpan w:val="2"/>
            <w:shd w:val="clear" w:color="auto" w:fill="auto"/>
            <w:vAlign w:val="center"/>
          </w:tcPr>
          <w:p w14:paraId="5D212D0D" w14:textId="04214069" w:rsidR="00795265" w:rsidRPr="00487209" w:rsidRDefault="00084849"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795265" w:rsidRPr="00487209">
              <w:rPr>
                <w:rFonts w:ascii="Times New Roman" w:hAnsi="Times New Roman" w:cs="Times New Roman"/>
                <w:sz w:val="18"/>
                <w:szCs w:val="18"/>
                <w:lang w:val="ru-RU"/>
              </w:rPr>
              <w:t xml:space="preserve"> 10.</w:t>
            </w:r>
            <w:r w:rsidR="00DA4CFF" w:rsidRPr="00487209">
              <w:rPr>
                <w:rFonts w:ascii="Times New Roman" w:hAnsi="Times New Roman" w:cs="Times New Roman"/>
                <w:sz w:val="18"/>
                <w:szCs w:val="18"/>
                <w:lang w:val="ru-RU"/>
              </w:rPr>
              <w:t>3</w:t>
            </w:r>
            <w:r w:rsidR="00795265" w:rsidRPr="00487209">
              <w:rPr>
                <w:rFonts w:ascii="Times New Roman" w:hAnsi="Times New Roman" w:cs="Times New Roman"/>
                <w:sz w:val="18"/>
                <w:szCs w:val="18"/>
                <w:lang w:val="ru-RU"/>
              </w:rPr>
              <w:t>.</w:t>
            </w:r>
            <w:r w:rsidR="00795265" w:rsidRPr="00487209">
              <w:rPr>
                <w:rFonts w:ascii="Times New Roman" w:hAnsi="Times New Roman" w:cs="Times New Roman"/>
                <w:sz w:val="18"/>
                <w:szCs w:val="18"/>
                <w:lang w:val="sr-Cyrl-CS"/>
              </w:rPr>
              <w:t xml:space="preserve"> Уредбе 305/2</w:t>
            </w:r>
            <w:r>
              <w:rPr>
                <w:rFonts w:ascii="Times New Roman" w:hAnsi="Times New Roman" w:cs="Times New Roman"/>
                <w:sz w:val="18"/>
                <w:szCs w:val="18"/>
                <w:lang w:val="sr-Cyrl-CS"/>
              </w:rPr>
              <w:t>011 (ЕУ) је делимично пренет члан 33. став</w:t>
            </w:r>
            <w:r w:rsidR="00795265" w:rsidRPr="00487209">
              <w:rPr>
                <w:rFonts w:ascii="Times New Roman" w:hAnsi="Times New Roman" w:cs="Times New Roman"/>
                <w:sz w:val="18"/>
                <w:szCs w:val="18"/>
                <w:lang w:val="sr-Cyrl-CS"/>
              </w:rPr>
              <w:t xml:space="preserve"> 2. </w:t>
            </w:r>
            <w:r>
              <w:rPr>
                <w:rFonts w:ascii="Times New Roman" w:hAnsi="Times New Roman" w:cs="Times New Roman"/>
                <w:sz w:val="18"/>
                <w:szCs w:val="18"/>
                <w:lang w:val="sr-Cyrl-CS"/>
              </w:rPr>
              <w:t>тачка</w:t>
            </w:r>
            <w:r w:rsidR="00DA4CFF" w:rsidRPr="00487209">
              <w:rPr>
                <w:rFonts w:ascii="Times New Roman" w:hAnsi="Times New Roman" w:cs="Times New Roman"/>
                <w:sz w:val="18"/>
                <w:szCs w:val="18"/>
                <w:lang w:val="sr-Cyrl-CS"/>
              </w:rPr>
              <w:t xml:space="preserve">1) </w:t>
            </w:r>
            <w:r w:rsidR="00795265" w:rsidRPr="00487209">
              <w:rPr>
                <w:rFonts w:ascii="Times New Roman" w:hAnsi="Times New Roman" w:cs="Times New Roman"/>
                <w:sz w:val="18"/>
                <w:szCs w:val="18"/>
                <w:lang w:val="sr-Cyrl-CS"/>
              </w:rPr>
              <w:t>и</w:t>
            </w:r>
            <w:r>
              <w:rPr>
                <w:rFonts w:ascii="Times New Roman" w:hAnsi="Times New Roman" w:cs="Times New Roman"/>
                <w:sz w:val="18"/>
                <w:szCs w:val="18"/>
                <w:lang w:val="sr-Cyrl-CS"/>
              </w:rPr>
              <w:t xml:space="preserve"> члан</w:t>
            </w:r>
            <w:r w:rsidR="00795265" w:rsidRPr="00487209">
              <w:rPr>
                <w:rFonts w:ascii="Times New Roman" w:hAnsi="Times New Roman" w:cs="Times New Roman"/>
                <w:sz w:val="18"/>
                <w:szCs w:val="18"/>
                <w:lang w:val="sr-Cyrl-CS"/>
              </w:rPr>
              <w:t xml:space="preserve"> 3</w:t>
            </w:r>
            <w:r w:rsidR="00DA4CFF" w:rsidRPr="00487209">
              <w:rPr>
                <w:rFonts w:ascii="Times New Roman" w:hAnsi="Times New Roman" w:cs="Times New Roman"/>
                <w:sz w:val="18"/>
                <w:szCs w:val="18"/>
                <w:lang w:val="sr-Cyrl-CS"/>
              </w:rPr>
              <w:t>3</w:t>
            </w:r>
            <w:r w:rsidR="00795265" w:rsidRPr="00487209">
              <w:rPr>
                <w:rFonts w:ascii="Times New Roman" w:hAnsi="Times New Roman" w:cs="Times New Roman"/>
                <w:sz w:val="18"/>
                <w:szCs w:val="18"/>
                <w:lang w:val="sr-Cyrl-CS"/>
              </w:rPr>
              <w:t xml:space="preserve">. </w:t>
            </w:r>
            <w:r>
              <w:rPr>
                <w:rFonts w:ascii="Times New Roman" w:hAnsi="Times New Roman" w:cs="Times New Roman"/>
                <w:sz w:val="18"/>
                <w:szCs w:val="18"/>
                <w:lang w:val="sr-Cyrl-CS"/>
              </w:rPr>
              <w:t>став</w:t>
            </w:r>
            <w:r w:rsidR="00DA4CFF" w:rsidRPr="00487209">
              <w:rPr>
                <w:rFonts w:ascii="Times New Roman" w:hAnsi="Times New Roman" w:cs="Times New Roman"/>
                <w:sz w:val="18"/>
                <w:szCs w:val="18"/>
                <w:lang w:val="sr-Cyrl-CS"/>
              </w:rPr>
              <w:t xml:space="preserve"> 4.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795265" w:rsidRPr="00487209">
              <w:rPr>
                <w:rFonts w:ascii="Times New Roman" w:hAnsi="Times New Roman" w:cs="Times New Roman"/>
                <w:sz w:val="18"/>
                <w:szCs w:val="18"/>
                <w:lang w:val="sr-Cyrl-CS"/>
              </w:rPr>
              <w:t xml:space="preserve">, због статуса нечланице ЕУ. Потпуно усклађивање биће могуће </w:t>
            </w:r>
            <w:r w:rsidR="00795265" w:rsidRPr="00487209">
              <w:rPr>
                <w:rFonts w:ascii="Times New Roman" w:hAnsi="Times New Roman" w:cs="Times New Roman"/>
                <w:sz w:val="18"/>
                <w:szCs w:val="18"/>
                <w:lang w:val="sr-Cyrl-CS"/>
              </w:rPr>
              <w:lastRenderedPageBreak/>
              <w:t>након приступања ЕУ.</w:t>
            </w:r>
          </w:p>
        </w:tc>
        <w:tc>
          <w:tcPr>
            <w:tcW w:w="480" w:type="pct"/>
            <w:shd w:val="clear" w:color="auto" w:fill="auto"/>
            <w:vAlign w:val="center"/>
          </w:tcPr>
          <w:p w14:paraId="5CCA2689" w14:textId="77777777" w:rsidR="00795265" w:rsidRPr="00487209" w:rsidRDefault="00795265" w:rsidP="006C6323">
            <w:pPr>
              <w:spacing w:before="120" w:after="120"/>
              <w:jc w:val="center"/>
              <w:rPr>
                <w:rFonts w:ascii="Times New Roman" w:hAnsi="Times New Roman" w:cs="Times New Roman"/>
                <w:sz w:val="18"/>
                <w:szCs w:val="18"/>
                <w:lang w:val="ru-RU"/>
              </w:rPr>
            </w:pPr>
          </w:p>
        </w:tc>
      </w:tr>
      <w:tr w:rsidR="00337554" w:rsidRPr="00487209" w14:paraId="28458F14" w14:textId="77777777" w:rsidTr="007D5144">
        <w:trPr>
          <w:trHeight w:val="1970"/>
          <w:jc w:val="center"/>
        </w:trPr>
        <w:tc>
          <w:tcPr>
            <w:tcW w:w="435" w:type="pct"/>
            <w:shd w:val="clear" w:color="auto" w:fill="auto"/>
            <w:vAlign w:val="center"/>
          </w:tcPr>
          <w:p w14:paraId="5E4ABB83" w14:textId="77777777" w:rsidR="0066228C" w:rsidRPr="00487209" w:rsidRDefault="0066228C" w:rsidP="0066228C">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10.4.</w:t>
            </w:r>
          </w:p>
        </w:tc>
        <w:tc>
          <w:tcPr>
            <w:tcW w:w="1369" w:type="pct"/>
            <w:gridSpan w:val="2"/>
            <w:shd w:val="clear" w:color="auto" w:fill="auto"/>
            <w:vAlign w:val="center"/>
          </w:tcPr>
          <w:p w14:paraId="74088A0C" w14:textId="77777777" w:rsidR="0066228C" w:rsidRPr="00487209" w:rsidRDefault="0066228C" w:rsidP="0066228C">
            <w:pPr>
              <w:jc w:val="both"/>
              <w:rPr>
                <w:rFonts w:ascii="Times New Roman" w:hAnsi="Times New Roman" w:cs="Times New Roman"/>
                <w:sz w:val="18"/>
                <w:szCs w:val="18"/>
              </w:rPr>
            </w:pPr>
            <w:r w:rsidRPr="00487209">
              <w:rPr>
                <w:rFonts w:ascii="Times New Roman" w:hAnsi="Times New Roman" w:cs="Times New Roman"/>
                <w:sz w:val="18"/>
                <w:szCs w:val="18"/>
              </w:rPr>
              <w:t>Product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Contact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Points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for</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Construction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shall</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be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able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to</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carry</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out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their</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functions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in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manner</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that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avoids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conflicts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of</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interest, particularly in respect of the procedures for obtaining the CE marking.</w:t>
            </w:r>
          </w:p>
        </w:tc>
        <w:tc>
          <w:tcPr>
            <w:tcW w:w="429" w:type="pct"/>
            <w:shd w:val="clear" w:color="auto" w:fill="auto"/>
            <w:vAlign w:val="center"/>
          </w:tcPr>
          <w:p w14:paraId="7D27E119" w14:textId="4DCA55AD" w:rsidR="0066228C" w:rsidRPr="00487209" w:rsidRDefault="0066228C" w:rsidP="0066228C">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7FE87A5D" w14:textId="77777777" w:rsidR="0066228C" w:rsidRPr="00487209" w:rsidRDefault="0066228C" w:rsidP="0066228C">
            <w:pPr>
              <w:pStyle w:val="Style7"/>
              <w:spacing w:before="120" w:after="0" w:line="240" w:lineRule="auto"/>
              <w:ind w:right="-23"/>
              <w:jc w:val="both"/>
              <w:outlineLvl w:val="3"/>
              <w:rPr>
                <w:sz w:val="18"/>
                <w:szCs w:val="18"/>
              </w:rPr>
            </w:pPr>
          </w:p>
        </w:tc>
        <w:tc>
          <w:tcPr>
            <w:tcW w:w="458" w:type="pct"/>
            <w:shd w:val="clear" w:color="auto" w:fill="auto"/>
            <w:vAlign w:val="center"/>
          </w:tcPr>
          <w:p w14:paraId="14AB4F2E" w14:textId="3A2388CB" w:rsidR="0066228C" w:rsidRPr="00487209" w:rsidRDefault="0066228C" w:rsidP="0066228C">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ru-RU"/>
              </w:rPr>
              <w:t>НУ</w:t>
            </w:r>
          </w:p>
        </w:tc>
        <w:tc>
          <w:tcPr>
            <w:tcW w:w="598" w:type="pct"/>
            <w:gridSpan w:val="2"/>
            <w:shd w:val="clear" w:color="auto" w:fill="auto"/>
            <w:vAlign w:val="center"/>
          </w:tcPr>
          <w:p w14:paraId="0043B1A3" w14:textId="77777777" w:rsidR="0066228C" w:rsidRPr="00487209" w:rsidRDefault="0066228C" w:rsidP="0066228C">
            <w:pPr>
              <w:spacing w:before="120" w:after="120"/>
              <w:ind w:firstLine="21"/>
              <w:jc w:val="both"/>
              <w:rPr>
                <w:rFonts w:ascii="Times New Roman" w:hAnsi="Times New Roman" w:cs="Times New Roman"/>
                <w:sz w:val="18"/>
                <w:szCs w:val="18"/>
                <w:lang w:val="sr-Cyrl-CS"/>
              </w:rPr>
            </w:pPr>
          </w:p>
          <w:p w14:paraId="7B57BB1E" w14:textId="34E71BD1" w:rsidR="0066228C" w:rsidRPr="00487209" w:rsidRDefault="0066228C" w:rsidP="0066228C">
            <w:pPr>
              <w:spacing w:before="120" w:after="120"/>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Pr="00487209">
              <w:rPr>
                <w:rFonts w:ascii="Times New Roman" w:hAnsi="Times New Roman" w:cs="Times New Roman"/>
                <w:sz w:val="18"/>
                <w:szCs w:val="18"/>
                <w:lang w:val="sr-Cyrl-CS"/>
              </w:rPr>
              <w:t>а закона о грађевинским производима која се може упоредити са ч</w:t>
            </w:r>
            <w:r w:rsidR="00084849">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8.4. </w:t>
            </w:r>
            <w:r w:rsidRPr="00487209">
              <w:rPr>
                <w:rFonts w:ascii="Times New Roman" w:hAnsi="Times New Roman" w:cs="Times New Roman"/>
                <w:sz w:val="18"/>
                <w:szCs w:val="18"/>
                <w:lang w:val="sr-Cyrl-CS"/>
              </w:rPr>
              <w:t>Уредбе 305/2011 (ЕУ), због статуса нечланице. Усклађивање ће бити могуће након приступања ЕУ.</w:t>
            </w:r>
          </w:p>
        </w:tc>
        <w:tc>
          <w:tcPr>
            <w:tcW w:w="480" w:type="pct"/>
            <w:shd w:val="clear" w:color="auto" w:fill="auto"/>
            <w:vAlign w:val="center"/>
          </w:tcPr>
          <w:p w14:paraId="6FB25A78" w14:textId="77777777" w:rsidR="0066228C" w:rsidRPr="00487209" w:rsidRDefault="0066228C" w:rsidP="0066228C">
            <w:pPr>
              <w:spacing w:before="120" w:after="120"/>
              <w:jc w:val="center"/>
              <w:rPr>
                <w:rFonts w:ascii="Times New Roman" w:hAnsi="Times New Roman" w:cs="Times New Roman"/>
                <w:sz w:val="18"/>
                <w:szCs w:val="18"/>
                <w:lang w:val="sr-Cyrl-CS"/>
              </w:rPr>
            </w:pPr>
          </w:p>
        </w:tc>
      </w:tr>
      <w:tr w:rsidR="00337554" w:rsidRPr="00487209" w14:paraId="65D1F1B2" w14:textId="77777777" w:rsidTr="007D5144">
        <w:trPr>
          <w:trHeight w:val="1970"/>
          <w:jc w:val="center"/>
        </w:trPr>
        <w:tc>
          <w:tcPr>
            <w:tcW w:w="435" w:type="pct"/>
            <w:shd w:val="clear" w:color="auto" w:fill="auto"/>
            <w:vAlign w:val="center"/>
          </w:tcPr>
          <w:p w14:paraId="0F8EB1E2" w14:textId="77777777" w:rsidR="00795265" w:rsidRPr="00487209" w:rsidRDefault="0079526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11.1.</w:t>
            </w:r>
          </w:p>
        </w:tc>
        <w:tc>
          <w:tcPr>
            <w:tcW w:w="1369" w:type="pct"/>
            <w:gridSpan w:val="2"/>
            <w:shd w:val="clear" w:color="auto" w:fill="auto"/>
            <w:vAlign w:val="center"/>
          </w:tcPr>
          <w:p w14:paraId="704AE6BE" w14:textId="77777777" w:rsidR="00795265" w:rsidRPr="00487209" w:rsidRDefault="00795265"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Manufacturers shall draw up a declaration of performance in accordance with Articles 4 and 6, and affix the CE marking in accordance with Articles 8 and 9.</w:t>
            </w:r>
          </w:p>
          <w:p w14:paraId="0482F758" w14:textId="77777777" w:rsidR="00795265" w:rsidRPr="00487209" w:rsidRDefault="00795265"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Manufacturers shall, as the basis for the declaration of performance, draw up technical documentation describing all the relevant elements related to the required system of assessment and verification of constancy of performance.</w:t>
            </w:r>
          </w:p>
        </w:tc>
        <w:tc>
          <w:tcPr>
            <w:tcW w:w="429" w:type="pct"/>
            <w:shd w:val="clear" w:color="auto" w:fill="auto"/>
            <w:vAlign w:val="center"/>
          </w:tcPr>
          <w:p w14:paraId="092815A5"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51043A76" w14:textId="77777777" w:rsidR="00795265" w:rsidRPr="00487209" w:rsidRDefault="00795265"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13.1.</w:t>
            </w:r>
          </w:p>
          <w:p w14:paraId="2A43AEA4" w14:textId="77777777" w:rsidR="00A24000" w:rsidRPr="00487209" w:rsidRDefault="00A24000" w:rsidP="006C6323">
            <w:pPr>
              <w:spacing w:before="120" w:after="120"/>
              <w:ind w:firstLine="5"/>
              <w:jc w:val="center"/>
              <w:rPr>
                <w:rFonts w:ascii="Times New Roman" w:hAnsi="Times New Roman" w:cs="Times New Roman"/>
                <w:sz w:val="18"/>
                <w:szCs w:val="18"/>
                <w:lang w:val="ru-RU"/>
              </w:rPr>
            </w:pPr>
          </w:p>
          <w:p w14:paraId="018F8107" w14:textId="77777777" w:rsidR="00A24000" w:rsidRPr="00487209" w:rsidRDefault="00A24000" w:rsidP="006C6323">
            <w:pPr>
              <w:spacing w:before="120" w:after="120"/>
              <w:ind w:firstLine="5"/>
              <w:jc w:val="center"/>
              <w:rPr>
                <w:rFonts w:ascii="Times New Roman" w:hAnsi="Times New Roman" w:cs="Times New Roman"/>
                <w:sz w:val="18"/>
                <w:szCs w:val="18"/>
                <w:lang w:val="ru-RU"/>
              </w:rPr>
            </w:pPr>
          </w:p>
          <w:p w14:paraId="7955ACE6"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13.2.</w:t>
            </w:r>
          </w:p>
        </w:tc>
        <w:tc>
          <w:tcPr>
            <w:tcW w:w="1231" w:type="pct"/>
            <w:gridSpan w:val="2"/>
            <w:shd w:val="clear" w:color="auto" w:fill="auto"/>
            <w:vAlign w:val="center"/>
          </w:tcPr>
          <w:p w14:paraId="25EFA7AD" w14:textId="43709060" w:rsidR="00F251BF" w:rsidRPr="00487209" w:rsidRDefault="00F251BF" w:rsidP="00F251BF">
            <w:pPr>
              <w:spacing w:before="120"/>
              <w:ind w:right="-23"/>
              <w:jc w:val="both"/>
              <w:outlineLvl w:val="3"/>
              <w:rPr>
                <w:rFonts w:ascii="Times New Roman" w:eastAsia="Batang" w:hAnsi="Times New Roman" w:cs="Times New Roman"/>
                <w:b/>
                <w:sz w:val="18"/>
                <w:szCs w:val="18"/>
                <w:lang w:val="sr-Latn-BA" w:eastAsia="ko-KR"/>
              </w:rPr>
            </w:pPr>
            <w:r w:rsidRPr="00487209">
              <w:rPr>
                <w:rFonts w:ascii="Times New Roman" w:eastAsia="Batang" w:hAnsi="Times New Roman" w:cs="Times New Roman"/>
                <w:sz w:val="18"/>
                <w:szCs w:val="18"/>
                <w:lang w:val="sr-Cyrl-CS" w:eastAsia="ko-KR"/>
              </w:rPr>
              <w:t>Произвођач грађевинског производа</w:t>
            </w:r>
            <w:r w:rsidR="00E96343">
              <w:rPr>
                <w:rFonts w:ascii="Times New Roman" w:eastAsia="Batang" w:hAnsi="Times New Roman" w:cs="Times New Roman"/>
                <w:sz w:val="18"/>
                <w:szCs w:val="18"/>
                <w:lang w:val="sr-Cyrl-CS" w:eastAsia="ko-KR"/>
              </w:rPr>
              <w:t xml:space="preserve"> </w:t>
            </w:r>
            <w:r w:rsidR="00E96343" w:rsidRPr="00E96343">
              <w:rPr>
                <w:rFonts w:ascii="Times New Roman" w:eastAsia="Batang" w:hAnsi="Times New Roman" w:cs="Times New Roman"/>
                <w:sz w:val="18"/>
                <w:szCs w:val="18"/>
                <w:lang w:val="sr-Cyrl-CS" w:eastAsia="ko-KR"/>
              </w:rPr>
              <w:t>(у даљем тексту: произвођач)</w:t>
            </w:r>
            <w:r w:rsidR="00E96343">
              <w:rPr>
                <w:rFonts w:ascii="Times New Roman" w:eastAsia="Batang" w:hAnsi="Times New Roman" w:cs="Times New Roman"/>
                <w:sz w:val="18"/>
                <w:szCs w:val="18"/>
                <w:lang w:val="sr-Cyrl-CS" w:eastAsia="ko-KR"/>
              </w:rPr>
              <w:t xml:space="preserve"> </w:t>
            </w:r>
            <w:r w:rsidRPr="00487209">
              <w:rPr>
                <w:rFonts w:ascii="Times New Roman" w:eastAsia="Batang" w:hAnsi="Times New Roman" w:cs="Times New Roman"/>
                <w:sz w:val="18"/>
                <w:szCs w:val="18"/>
                <w:lang w:val="sr-Cyrl-CS" w:eastAsia="ko-KR"/>
              </w:rPr>
              <w:t xml:space="preserve"> сачињава декларацију о перформансама у складу са чланом 6. </w:t>
            </w:r>
            <w:r w:rsidRPr="00487209">
              <w:rPr>
                <w:rFonts w:ascii="Times New Roman" w:eastAsia="Batang" w:hAnsi="Times New Roman" w:cs="Times New Roman"/>
                <w:sz w:val="18"/>
                <w:szCs w:val="18"/>
                <w:lang w:val="sr-Latn-BA" w:eastAsia="ko-KR"/>
              </w:rPr>
              <w:t>и 8.</w:t>
            </w:r>
            <w:r w:rsidRPr="00487209">
              <w:rPr>
                <w:rFonts w:ascii="Times New Roman" w:eastAsia="Batang" w:hAnsi="Times New Roman" w:cs="Times New Roman"/>
                <w:sz w:val="18"/>
                <w:szCs w:val="18"/>
                <w:lang w:val="sr-Cyrl-CS" w:eastAsia="ko-KR"/>
              </w:rPr>
              <w:t xml:space="preserve"> овог </w:t>
            </w:r>
            <w:r w:rsidRPr="00487209">
              <w:rPr>
                <w:rFonts w:ascii="Times New Roman" w:eastAsia="Batang" w:hAnsi="Times New Roman" w:cs="Times New Roman"/>
                <w:sz w:val="18"/>
                <w:szCs w:val="18"/>
                <w:shd w:val="clear" w:color="auto" w:fill="FFFFFF"/>
                <w:lang w:val="sr-Cyrl-CS" w:eastAsia="ko-KR"/>
              </w:rPr>
              <w:t>закона</w:t>
            </w:r>
            <w:r w:rsidRPr="00487209">
              <w:rPr>
                <w:rFonts w:ascii="Times New Roman" w:eastAsia="Batang" w:hAnsi="Times New Roman" w:cs="Times New Roman"/>
                <w:sz w:val="18"/>
                <w:szCs w:val="18"/>
                <w:lang w:val="sr-Cyrl-CS" w:eastAsia="ko-KR"/>
              </w:rPr>
              <w:t xml:space="preserve"> и ставља српски знак усаглашености у складу са чланом 10. и 11. овог </w:t>
            </w:r>
            <w:r w:rsidRPr="00487209">
              <w:rPr>
                <w:rFonts w:ascii="Times New Roman" w:eastAsia="Batang" w:hAnsi="Times New Roman" w:cs="Times New Roman"/>
                <w:sz w:val="18"/>
                <w:szCs w:val="18"/>
                <w:shd w:val="clear" w:color="auto" w:fill="FFFFFF"/>
                <w:lang w:val="sr-Cyrl-CS" w:eastAsia="ko-KR"/>
              </w:rPr>
              <w:t>закона.</w:t>
            </w:r>
          </w:p>
          <w:p w14:paraId="7600592F" w14:textId="77777777" w:rsidR="00F251BF" w:rsidRPr="00487209" w:rsidRDefault="00F251BF" w:rsidP="00F251BF">
            <w:pPr>
              <w:spacing w:before="120"/>
              <w:ind w:right="-23"/>
              <w:jc w:val="both"/>
              <w:outlineLvl w:val="3"/>
              <w:rPr>
                <w:rFonts w:ascii="Times New Roman" w:eastAsia="Batang" w:hAnsi="Times New Roman" w:cs="Times New Roman"/>
                <w:b/>
                <w:sz w:val="18"/>
                <w:szCs w:val="18"/>
                <w:lang w:val="sr-Latn-BA" w:eastAsia="ko-KR"/>
              </w:rPr>
            </w:pPr>
            <w:r w:rsidRPr="00487209">
              <w:rPr>
                <w:rFonts w:ascii="Times New Roman" w:eastAsia="Batang" w:hAnsi="Times New Roman" w:cs="Times New Roman"/>
                <w:sz w:val="18"/>
                <w:szCs w:val="18"/>
                <w:lang w:val="sr-Cyrl-CS" w:eastAsia="ko-KR"/>
              </w:rPr>
              <w:t xml:space="preserve">Произвођач, као основ за израду декларације о перформансама, израђује техничку документацију за грађевински производ (у даљем тексту: „техничка документација“) која садржи све релевантне елементе у вези </w:t>
            </w:r>
            <w:r w:rsidRPr="00487209">
              <w:rPr>
                <w:rFonts w:ascii="Times New Roman" w:eastAsia="Batang" w:hAnsi="Times New Roman" w:cs="Times New Roman"/>
                <w:sz w:val="18"/>
                <w:szCs w:val="18"/>
                <w:lang w:val="sr-Cyrl-CS" w:eastAsia="ko-KR"/>
              </w:rPr>
              <w:lastRenderedPageBreak/>
              <w:t>са захтеваним системом оцењивања и верификације сталности перформанси.</w:t>
            </w:r>
          </w:p>
          <w:p w14:paraId="7B914BC4" w14:textId="77777777" w:rsidR="00795265" w:rsidRPr="00487209" w:rsidRDefault="00795265" w:rsidP="006C6323">
            <w:pPr>
              <w:pStyle w:val="Style7"/>
              <w:spacing w:before="240" w:after="0" w:line="240" w:lineRule="auto"/>
              <w:ind w:right="-23"/>
              <w:jc w:val="both"/>
              <w:outlineLvl w:val="3"/>
              <w:rPr>
                <w:b/>
                <w:sz w:val="18"/>
                <w:szCs w:val="18"/>
                <w:lang w:val="sr-Latn-BA"/>
              </w:rPr>
            </w:pPr>
          </w:p>
        </w:tc>
        <w:tc>
          <w:tcPr>
            <w:tcW w:w="458" w:type="pct"/>
            <w:shd w:val="clear" w:color="auto" w:fill="auto"/>
            <w:vAlign w:val="center"/>
          </w:tcPr>
          <w:p w14:paraId="1014902C" w14:textId="77777777" w:rsidR="00795265" w:rsidRPr="00487209" w:rsidRDefault="00795265"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ДУ</w:t>
            </w:r>
          </w:p>
        </w:tc>
        <w:tc>
          <w:tcPr>
            <w:tcW w:w="598" w:type="pct"/>
            <w:gridSpan w:val="2"/>
            <w:shd w:val="clear" w:color="auto" w:fill="auto"/>
            <w:vAlign w:val="center"/>
          </w:tcPr>
          <w:p w14:paraId="0E4FFD2E" w14:textId="5CA9BEA0" w:rsidR="00795265" w:rsidRPr="00487209" w:rsidRDefault="00084849"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795265" w:rsidRPr="00487209">
              <w:rPr>
                <w:rFonts w:ascii="Times New Roman" w:hAnsi="Times New Roman" w:cs="Times New Roman"/>
                <w:sz w:val="18"/>
                <w:szCs w:val="18"/>
                <w:lang w:val="ru-RU"/>
              </w:rPr>
              <w:t xml:space="preserve"> 13. ст. 1. и 2.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Pr>
                <w:rFonts w:ascii="Times New Roman" w:hAnsi="Times New Roman" w:cs="Times New Roman"/>
                <w:sz w:val="18"/>
                <w:szCs w:val="18"/>
                <w:lang w:val="ru-RU"/>
              </w:rPr>
              <w:t xml:space="preserve"> је делимично усклађен са чланом</w:t>
            </w:r>
            <w:r w:rsidR="00795265" w:rsidRPr="00487209">
              <w:rPr>
                <w:rFonts w:ascii="Times New Roman" w:hAnsi="Times New Roman" w:cs="Times New Roman"/>
                <w:sz w:val="18"/>
                <w:szCs w:val="18"/>
                <w:lang w:val="ru-RU"/>
              </w:rPr>
              <w:t xml:space="preserve"> 11.1. </w:t>
            </w:r>
            <w:r w:rsidR="00795265" w:rsidRPr="00487209">
              <w:rPr>
                <w:rFonts w:ascii="Times New Roman" w:hAnsi="Times New Roman" w:cs="Times New Roman"/>
                <w:sz w:val="18"/>
                <w:szCs w:val="18"/>
                <w:lang w:val="sr-Cyrl-CS"/>
              </w:rPr>
              <w:t>Уредбе 305/2011 (ЕУ)</w:t>
            </w:r>
            <w:r w:rsidR="00763628" w:rsidRPr="00487209">
              <w:rPr>
                <w:rFonts w:ascii="Times New Roman" w:hAnsi="Times New Roman" w:cs="Times New Roman"/>
                <w:sz w:val="18"/>
                <w:szCs w:val="18"/>
                <w:lang w:val="sr-Cyrl-CS"/>
              </w:rPr>
              <w:t>, с</w:t>
            </w:r>
            <w:r w:rsidR="00813161" w:rsidRPr="00487209">
              <w:rPr>
                <w:rFonts w:ascii="Times New Roman" w:hAnsi="Times New Roman" w:cs="Times New Roman"/>
                <w:sz w:val="18"/>
                <w:szCs w:val="18"/>
              </w:rPr>
              <w:t>e</w:t>
            </w:r>
            <w:r w:rsidR="00763628" w:rsidRPr="00487209">
              <w:rPr>
                <w:rFonts w:ascii="Times New Roman" w:hAnsi="Times New Roman" w:cs="Times New Roman"/>
                <w:sz w:val="18"/>
                <w:szCs w:val="18"/>
                <w:lang w:val="sr-Cyrl-CS"/>
              </w:rPr>
              <w:t xml:space="preserve">м у делу који се односи на стављање знака </w:t>
            </w:r>
            <w:r w:rsidR="00763628" w:rsidRPr="00487209">
              <w:rPr>
                <w:rFonts w:ascii="Times New Roman" w:hAnsi="Times New Roman" w:cs="Times New Roman"/>
                <w:sz w:val="18"/>
                <w:szCs w:val="18"/>
                <w:lang w:val="sr-Cyrl-CS"/>
              </w:rPr>
              <w:lastRenderedPageBreak/>
              <w:t>усаглашености,</w:t>
            </w:r>
            <w:r w:rsidR="00795265" w:rsidRPr="00487209">
              <w:rPr>
                <w:rFonts w:ascii="Times New Roman" w:hAnsi="Times New Roman" w:cs="Times New Roman"/>
                <w:sz w:val="18"/>
                <w:szCs w:val="18"/>
                <w:lang w:val="sr-Cyrl-CS"/>
              </w:rPr>
              <w:t xml:space="preserve"> због статуса нечланице. Потпуно усклађивање биће могуће након приступања ЕУ.</w:t>
            </w:r>
          </w:p>
        </w:tc>
        <w:tc>
          <w:tcPr>
            <w:tcW w:w="480" w:type="pct"/>
            <w:shd w:val="clear" w:color="auto" w:fill="auto"/>
            <w:vAlign w:val="center"/>
          </w:tcPr>
          <w:p w14:paraId="2DB076FF" w14:textId="77777777" w:rsidR="00795265" w:rsidRPr="00487209" w:rsidRDefault="00795265" w:rsidP="006C6323">
            <w:pPr>
              <w:spacing w:before="120" w:after="120"/>
              <w:jc w:val="center"/>
              <w:rPr>
                <w:rFonts w:ascii="Times New Roman" w:hAnsi="Times New Roman" w:cs="Times New Roman"/>
                <w:sz w:val="18"/>
                <w:szCs w:val="18"/>
                <w:lang w:val="sr-Cyrl-CS"/>
              </w:rPr>
            </w:pPr>
          </w:p>
        </w:tc>
      </w:tr>
      <w:tr w:rsidR="00337554" w:rsidRPr="00487209" w14:paraId="15634C69" w14:textId="77777777" w:rsidTr="007D5144">
        <w:trPr>
          <w:trHeight w:val="474"/>
          <w:jc w:val="center"/>
        </w:trPr>
        <w:tc>
          <w:tcPr>
            <w:tcW w:w="435" w:type="pct"/>
            <w:shd w:val="clear" w:color="auto" w:fill="auto"/>
            <w:vAlign w:val="center"/>
          </w:tcPr>
          <w:p w14:paraId="42322A6E" w14:textId="77777777" w:rsidR="00795265" w:rsidRPr="00487209" w:rsidRDefault="00795265"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11.2.</w:t>
            </w:r>
          </w:p>
        </w:tc>
        <w:tc>
          <w:tcPr>
            <w:tcW w:w="1369" w:type="pct"/>
            <w:gridSpan w:val="2"/>
            <w:shd w:val="clear" w:color="auto" w:fill="auto"/>
            <w:vAlign w:val="center"/>
          </w:tcPr>
          <w:p w14:paraId="1992A5F7" w14:textId="77777777" w:rsidR="00795265" w:rsidRPr="00487209" w:rsidRDefault="00795265"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Manufacturers shall keep the technical documentation and the declaration of performance for a period of 10 years after the construction product has been placed on the market.</w:t>
            </w:r>
          </w:p>
          <w:p w14:paraId="29F5ACB4" w14:textId="77777777" w:rsidR="00795265" w:rsidRPr="00487209" w:rsidRDefault="00795265"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Where appropriate, the Commission may, by means of delegated acts in accordance with Article 60, amend that period for families of construction products on the basis of the expected life or part played by the construction product in the construction works.</w:t>
            </w:r>
          </w:p>
        </w:tc>
        <w:tc>
          <w:tcPr>
            <w:tcW w:w="429" w:type="pct"/>
            <w:shd w:val="clear" w:color="auto" w:fill="auto"/>
            <w:vAlign w:val="center"/>
          </w:tcPr>
          <w:p w14:paraId="61D30EF1"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05F090EE"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13.3.</w:t>
            </w:r>
          </w:p>
          <w:p w14:paraId="78F4B8CC" w14:textId="77777777" w:rsidR="003907CE" w:rsidRPr="00487209" w:rsidRDefault="003907CE" w:rsidP="006C6323">
            <w:pPr>
              <w:spacing w:before="120" w:after="120"/>
              <w:ind w:firstLine="5"/>
              <w:jc w:val="center"/>
              <w:rPr>
                <w:rFonts w:ascii="Times New Roman" w:hAnsi="Times New Roman" w:cs="Times New Roman"/>
                <w:sz w:val="18"/>
                <w:szCs w:val="18"/>
                <w:lang w:val="ru-RU"/>
              </w:rPr>
            </w:pPr>
          </w:p>
          <w:p w14:paraId="5F626F1B"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p>
          <w:p w14:paraId="5E4D4888"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13.4.</w:t>
            </w:r>
          </w:p>
        </w:tc>
        <w:tc>
          <w:tcPr>
            <w:tcW w:w="1231" w:type="pct"/>
            <w:gridSpan w:val="2"/>
            <w:shd w:val="clear" w:color="auto" w:fill="auto"/>
            <w:vAlign w:val="center"/>
          </w:tcPr>
          <w:p w14:paraId="4E6542AE" w14:textId="77777777" w:rsidR="00F251BF" w:rsidRPr="00487209" w:rsidRDefault="00F251BF" w:rsidP="00F251BF">
            <w:pPr>
              <w:spacing w:before="120"/>
              <w:ind w:right="-23"/>
              <w:jc w:val="both"/>
              <w:outlineLvl w:val="3"/>
              <w:rPr>
                <w:rFonts w:ascii="Times New Roman" w:eastAsia="Batang" w:hAnsi="Times New Roman" w:cs="Times New Roman"/>
                <w:sz w:val="18"/>
                <w:szCs w:val="18"/>
                <w:lang w:val="sr-Cyrl-CS" w:eastAsia="ko-KR"/>
              </w:rPr>
            </w:pPr>
            <w:r w:rsidRPr="00487209">
              <w:rPr>
                <w:rFonts w:ascii="Times New Roman" w:eastAsia="Batang" w:hAnsi="Times New Roman" w:cs="Times New Roman"/>
                <w:sz w:val="18"/>
                <w:szCs w:val="18"/>
                <w:lang w:val="sr-Cyrl-CS" w:eastAsia="ko-KR"/>
              </w:rPr>
              <w:t>Произвођач чува техничку документацију и декларацију о перформансама током периода од 10 година након стављања грађевинског производа на тржиште.</w:t>
            </w:r>
          </w:p>
          <w:p w14:paraId="35F571D4" w14:textId="060DD4E5" w:rsidR="00795265" w:rsidRPr="00487209" w:rsidRDefault="00E96343" w:rsidP="0003470B">
            <w:pPr>
              <w:spacing w:before="120"/>
              <w:jc w:val="both"/>
              <w:rPr>
                <w:rFonts w:ascii="Times New Roman" w:hAnsi="Times New Roman" w:cs="Times New Roman"/>
                <w:sz w:val="18"/>
                <w:szCs w:val="18"/>
                <w:lang w:val="sr-Cyrl-CS"/>
              </w:rPr>
            </w:pPr>
            <w:r w:rsidRPr="00E96343">
              <w:rPr>
                <w:rFonts w:ascii="Times New Roman" w:eastAsia="Batang" w:hAnsi="Times New Roman" w:cs="Times New Roman"/>
                <w:sz w:val="18"/>
                <w:szCs w:val="18"/>
                <w:lang w:val="sr-Cyrl-CS" w:eastAsia="ko-KR"/>
              </w:rPr>
              <w:t xml:space="preserve">Министар надлежан за послове грађевинарства доноси технички пропис, којим може бити измењен период из става 3. овог члана за поједине фамилије грађевинских производа, а на основу очекиваног века трајања или улоге коју грађевински производ има у објекту. </w:t>
            </w:r>
          </w:p>
        </w:tc>
        <w:tc>
          <w:tcPr>
            <w:tcW w:w="458" w:type="pct"/>
            <w:shd w:val="clear" w:color="auto" w:fill="auto"/>
            <w:vAlign w:val="center"/>
          </w:tcPr>
          <w:p w14:paraId="241CB273" w14:textId="77777777" w:rsidR="00795265" w:rsidRPr="00487209" w:rsidRDefault="003907CE"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w:t>
            </w:r>
            <w:r w:rsidR="00795265" w:rsidRPr="00487209">
              <w:rPr>
                <w:rFonts w:ascii="Times New Roman" w:hAnsi="Times New Roman" w:cs="Times New Roman"/>
                <w:sz w:val="18"/>
                <w:szCs w:val="18"/>
                <w:lang w:val="sr-Cyrl-CS"/>
              </w:rPr>
              <w:t>У</w:t>
            </w:r>
          </w:p>
        </w:tc>
        <w:tc>
          <w:tcPr>
            <w:tcW w:w="598" w:type="pct"/>
            <w:gridSpan w:val="2"/>
            <w:shd w:val="clear" w:color="auto" w:fill="auto"/>
            <w:vAlign w:val="center"/>
          </w:tcPr>
          <w:p w14:paraId="7CBC40CB" w14:textId="153BFB9D" w:rsidR="00731289" w:rsidRPr="00487209" w:rsidRDefault="00084849" w:rsidP="008111AF">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1B0390" w:rsidRPr="00487209">
              <w:rPr>
                <w:rFonts w:ascii="Times New Roman" w:hAnsi="Times New Roman" w:cs="Times New Roman"/>
                <w:sz w:val="18"/>
                <w:szCs w:val="18"/>
                <w:lang w:val="ru-RU"/>
              </w:rPr>
              <w:t xml:space="preserve"> 13. ст. </w:t>
            </w:r>
            <w:r w:rsidR="007A409A" w:rsidRPr="00487209">
              <w:rPr>
                <w:rFonts w:ascii="Times New Roman" w:hAnsi="Times New Roman" w:cs="Times New Roman"/>
                <w:sz w:val="18"/>
                <w:szCs w:val="18"/>
                <w:lang w:val="ru-RU"/>
              </w:rPr>
              <w:t>3</w:t>
            </w:r>
            <w:r w:rsidR="001B0390" w:rsidRPr="00487209">
              <w:rPr>
                <w:rFonts w:ascii="Times New Roman" w:hAnsi="Times New Roman" w:cs="Times New Roman"/>
                <w:sz w:val="18"/>
                <w:szCs w:val="18"/>
                <w:lang w:val="ru-RU"/>
              </w:rPr>
              <w:t xml:space="preserve">. и </w:t>
            </w:r>
            <w:r w:rsidR="007A409A" w:rsidRPr="00487209">
              <w:rPr>
                <w:rFonts w:ascii="Times New Roman" w:hAnsi="Times New Roman" w:cs="Times New Roman"/>
                <w:sz w:val="18"/>
                <w:szCs w:val="18"/>
                <w:lang w:val="ru-RU"/>
              </w:rPr>
              <w:t>4</w:t>
            </w:r>
            <w:r w:rsidR="001B0390" w:rsidRPr="00487209">
              <w:rPr>
                <w:rFonts w:ascii="Times New Roman" w:hAnsi="Times New Roman" w:cs="Times New Roman"/>
                <w:sz w:val="18"/>
                <w:szCs w:val="18"/>
                <w:lang w:val="ru-RU"/>
              </w:rPr>
              <w:t xml:space="preserve">.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sidR="001B0390" w:rsidRPr="00487209">
              <w:rPr>
                <w:rFonts w:ascii="Times New Roman" w:hAnsi="Times New Roman" w:cs="Times New Roman"/>
                <w:sz w:val="18"/>
                <w:szCs w:val="18"/>
                <w:lang w:val="ru-RU"/>
              </w:rPr>
              <w:t xml:space="preserve"> је </w:t>
            </w:r>
            <w:r w:rsidR="003907CE" w:rsidRPr="00487209">
              <w:rPr>
                <w:rFonts w:ascii="Times New Roman" w:hAnsi="Times New Roman" w:cs="Times New Roman"/>
                <w:sz w:val="18"/>
                <w:szCs w:val="18"/>
                <w:lang w:val="ru-RU"/>
              </w:rPr>
              <w:t>потпу</w:t>
            </w:r>
            <w:r>
              <w:rPr>
                <w:rFonts w:ascii="Times New Roman" w:hAnsi="Times New Roman" w:cs="Times New Roman"/>
                <w:sz w:val="18"/>
                <w:szCs w:val="18"/>
                <w:lang w:val="ru-RU"/>
              </w:rPr>
              <w:t>но усклађен са чланом</w:t>
            </w:r>
            <w:r w:rsidR="001B0390" w:rsidRPr="00487209">
              <w:rPr>
                <w:rFonts w:ascii="Times New Roman" w:hAnsi="Times New Roman" w:cs="Times New Roman"/>
                <w:sz w:val="18"/>
                <w:szCs w:val="18"/>
                <w:lang w:val="ru-RU"/>
              </w:rPr>
              <w:t xml:space="preserve"> 11.</w:t>
            </w:r>
            <w:r w:rsidR="007A409A" w:rsidRPr="00487209">
              <w:rPr>
                <w:rFonts w:ascii="Times New Roman" w:hAnsi="Times New Roman" w:cs="Times New Roman"/>
                <w:sz w:val="18"/>
                <w:szCs w:val="18"/>
                <w:lang w:val="ru-RU"/>
              </w:rPr>
              <w:t>2</w:t>
            </w:r>
            <w:r w:rsidR="001B0390" w:rsidRPr="00487209">
              <w:rPr>
                <w:rFonts w:ascii="Times New Roman" w:hAnsi="Times New Roman" w:cs="Times New Roman"/>
                <w:sz w:val="18"/>
                <w:szCs w:val="18"/>
                <w:lang w:val="ru-RU"/>
              </w:rPr>
              <w:t xml:space="preserve">. </w:t>
            </w:r>
            <w:r w:rsidR="003907CE" w:rsidRPr="00487209">
              <w:rPr>
                <w:rFonts w:ascii="Times New Roman" w:hAnsi="Times New Roman" w:cs="Times New Roman"/>
                <w:sz w:val="18"/>
                <w:szCs w:val="18"/>
                <w:lang w:val="sr-Cyrl-CS"/>
              </w:rPr>
              <w:t xml:space="preserve">Уредбе 305/2011 (ЕУ),  иако </w:t>
            </w:r>
            <w:r w:rsidR="007A409A" w:rsidRPr="00487209">
              <w:rPr>
                <w:rFonts w:ascii="Times New Roman" w:hAnsi="Times New Roman" w:cs="Times New Roman"/>
                <w:sz w:val="18"/>
                <w:szCs w:val="18"/>
                <w:lang w:val="sr-Cyrl-CS"/>
              </w:rPr>
              <w:t xml:space="preserve">се члан 11.2. </w:t>
            </w:r>
            <w:r w:rsidR="004D3AFA" w:rsidRPr="00487209">
              <w:rPr>
                <w:rFonts w:ascii="Times New Roman" w:hAnsi="Times New Roman" w:cs="Times New Roman"/>
                <w:sz w:val="18"/>
                <w:szCs w:val="18"/>
                <w:lang w:val="sr-Cyrl-CS"/>
              </w:rPr>
              <w:t xml:space="preserve">Уредбе 305/2011 (ЕУ) </w:t>
            </w:r>
            <w:r w:rsidR="007A409A" w:rsidRPr="00487209">
              <w:rPr>
                <w:rFonts w:ascii="Times New Roman" w:hAnsi="Times New Roman" w:cs="Times New Roman"/>
                <w:sz w:val="18"/>
                <w:szCs w:val="18"/>
                <w:lang w:val="sr-Cyrl-CS"/>
              </w:rPr>
              <w:t>односи</w:t>
            </w:r>
            <w:r w:rsidR="003907CE" w:rsidRPr="00487209">
              <w:rPr>
                <w:rFonts w:ascii="Times New Roman" w:hAnsi="Times New Roman" w:cs="Times New Roman"/>
                <w:sz w:val="18"/>
                <w:szCs w:val="18"/>
                <w:lang w:val="sr-Cyrl-CS"/>
              </w:rPr>
              <w:t xml:space="preserve"> </w:t>
            </w:r>
            <w:r w:rsidR="001E033A" w:rsidRPr="00487209">
              <w:rPr>
                <w:rFonts w:ascii="Times New Roman" w:hAnsi="Times New Roman" w:cs="Times New Roman"/>
                <w:sz w:val="18"/>
                <w:szCs w:val="18"/>
                <w:lang w:val="sr-Cyrl-CS"/>
              </w:rPr>
              <w:t xml:space="preserve">и на </w:t>
            </w:r>
            <w:r w:rsidR="003907CE" w:rsidRPr="00487209">
              <w:rPr>
                <w:rFonts w:ascii="Times New Roman" w:hAnsi="Times New Roman" w:cs="Times New Roman"/>
                <w:sz w:val="18"/>
                <w:szCs w:val="18"/>
                <w:lang w:val="sr-Cyrl-CS"/>
              </w:rPr>
              <w:t>доношење</w:t>
            </w:r>
            <w:r w:rsidR="007A409A" w:rsidRPr="00487209">
              <w:rPr>
                <w:rFonts w:ascii="Times New Roman" w:hAnsi="Times New Roman" w:cs="Times New Roman"/>
                <w:sz w:val="18"/>
                <w:szCs w:val="18"/>
                <w:lang w:val="sr-Cyrl-CS"/>
              </w:rPr>
              <w:t xml:space="preserve"> делегираних аката</w:t>
            </w:r>
            <w:r w:rsidR="003907CE" w:rsidRPr="00487209">
              <w:rPr>
                <w:rFonts w:ascii="Times New Roman" w:hAnsi="Times New Roman" w:cs="Times New Roman"/>
                <w:sz w:val="18"/>
                <w:szCs w:val="18"/>
                <w:lang w:val="sr-Cyrl-CS"/>
              </w:rPr>
              <w:t xml:space="preserve">, чије преузимање је прописано </w:t>
            </w:r>
            <w:r w:rsidR="0073105A">
              <w:rPr>
                <w:rFonts w:ascii="Times New Roman" w:hAnsi="Times New Roman" w:cs="Times New Roman"/>
                <w:sz w:val="18"/>
                <w:szCs w:val="18"/>
                <w:lang w:val="sr-Cyrl-CS"/>
              </w:rPr>
              <w:t>Предлог</w:t>
            </w:r>
            <w:r w:rsidR="00BC196E" w:rsidRPr="00487209">
              <w:rPr>
                <w:rFonts w:ascii="Times New Roman" w:hAnsi="Times New Roman" w:cs="Times New Roman"/>
                <w:sz w:val="18"/>
                <w:szCs w:val="18"/>
                <w:lang w:val="sr-Cyrl-CS"/>
              </w:rPr>
              <w:t>ом закона</w:t>
            </w:r>
            <w:r w:rsidR="003907CE" w:rsidRPr="00487209">
              <w:rPr>
                <w:rFonts w:ascii="Times New Roman" w:hAnsi="Times New Roman" w:cs="Times New Roman"/>
                <w:sz w:val="18"/>
                <w:szCs w:val="18"/>
                <w:lang w:val="sr-Cyrl-CS"/>
              </w:rPr>
              <w:t xml:space="preserve"> о грађевинским производима</w:t>
            </w:r>
            <w:r w:rsidR="007A409A" w:rsidRPr="00487209">
              <w:rPr>
                <w:rFonts w:ascii="Times New Roman" w:hAnsi="Times New Roman" w:cs="Times New Roman"/>
                <w:sz w:val="18"/>
                <w:szCs w:val="18"/>
                <w:lang w:val="sr-Cyrl-CS"/>
              </w:rPr>
              <w:t xml:space="preserve">. </w:t>
            </w:r>
          </w:p>
        </w:tc>
        <w:tc>
          <w:tcPr>
            <w:tcW w:w="480" w:type="pct"/>
            <w:shd w:val="clear" w:color="auto" w:fill="auto"/>
            <w:vAlign w:val="center"/>
          </w:tcPr>
          <w:p w14:paraId="5D0EA1D5" w14:textId="77777777" w:rsidR="00795265" w:rsidRPr="00487209" w:rsidRDefault="00795265" w:rsidP="006C6323">
            <w:pPr>
              <w:spacing w:before="120" w:after="120"/>
              <w:jc w:val="center"/>
              <w:rPr>
                <w:rFonts w:ascii="Times New Roman" w:hAnsi="Times New Roman" w:cs="Times New Roman"/>
                <w:sz w:val="18"/>
                <w:szCs w:val="18"/>
                <w:lang w:val="sr-Cyrl-CS"/>
              </w:rPr>
            </w:pPr>
          </w:p>
        </w:tc>
      </w:tr>
      <w:tr w:rsidR="00337554" w:rsidRPr="00487209" w14:paraId="7C4FB19D" w14:textId="77777777" w:rsidTr="007D5144">
        <w:trPr>
          <w:trHeight w:val="1970"/>
          <w:jc w:val="center"/>
        </w:trPr>
        <w:tc>
          <w:tcPr>
            <w:tcW w:w="435" w:type="pct"/>
            <w:shd w:val="clear" w:color="auto" w:fill="auto"/>
            <w:vAlign w:val="center"/>
          </w:tcPr>
          <w:p w14:paraId="1D771E6E" w14:textId="77777777" w:rsidR="00795265" w:rsidRPr="00487209" w:rsidRDefault="0079526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11.3.</w:t>
            </w:r>
          </w:p>
        </w:tc>
        <w:tc>
          <w:tcPr>
            <w:tcW w:w="1369" w:type="pct"/>
            <w:gridSpan w:val="2"/>
            <w:shd w:val="clear" w:color="auto" w:fill="auto"/>
            <w:vAlign w:val="center"/>
          </w:tcPr>
          <w:p w14:paraId="7DD723F8" w14:textId="77777777" w:rsidR="00795265" w:rsidRPr="00487209" w:rsidRDefault="00795265"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Manufacturers shall ensure that procedures are in place to ensure that series production maintains the declared performance. Changes in the product-type and in the applicable harmonised technical specifications shall be adequately taken into account.</w:t>
            </w:r>
          </w:p>
          <w:p w14:paraId="418BE245" w14:textId="77777777" w:rsidR="00795265" w:rsidRPr="00487209" w:rsidRDefault="00795265"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Manufacturers shall, where deemed appropriate with regard to ensuring the accuracy, reliability and stability of the declared performance of a construction product, carry out sample testing of construction products placed or made available on the market, investigate, and, if necessary, keep a register of complaints, of non-conforming products and of product recalls, and keep distributors informed of any such monitoring.</w:t>
            </w:r>
          </w:p>
          <w:p w14:paraId="2E74509A" w14:textId="77777777" w:rsidR="00795265" w:rsidRPr="00487209" w:rsidRDefault="00795265" w:rsidP="006C6323">
            <w:pPr>
              <w:jc w:val="both"/>
              <w:rPr>
                <w:rFonts w:ascii="Times New Roman" w:hAnsi="Times New Roman" w:cs="Times New Roman"/>
                <w:sz w:val="18"/>
                <w:szCs w:val="18"/>
                <w:lang w:val="sr-Cyrl-CS"/>
              </w:rPr>
            </w:pPr>
          </w:p>
        </w:tc>
        <w:tc>
          <w:tcPr>
            <w:tcW w:w="429" w:type="pct"/>
            <w:shd w:val="clear" w:color="auto" w:fill="auto"/>
            <w:vAlign w:val="center"/>
          </w:tcPr>
          <w:p w14:paraId="78F10FA2"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527014B8"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13.5.</w:t>
            </w:r>
          </w:p>
          <w:p w14:paraId="30D7C18B" w14:textId="77777777" w:rsidR="00216F52" w:rsidRPr="00487209" w:rsidRDefault="00216F52" w:rsidP="006C6323">
            <w:pPr>
              <w:spacing w:before="120" w:after="120"/>
              <w:ind w:firstLine="5"/>
              <w:jc w:val="center"/>
              <w:rPr>
                <w:rFonts w:ascii="Times New Roman" w:hAnsi="Times New Roman" w:cs="Times New Roman"/>
                <w:sz w:val="18"/>
                <w:szCs w:val="18"/>
                <w:lang w:val="ru-RU"/>
              </w:rPr>
            </w:pPr>
          </w:p>
          <w:p w14:paraId="6028BE25" w14:textId="77777777" w:rsidR="00216F52" w:rsidRPr="00487209" w:rsidRDefault="00216F52" w:rsidP="006C6323">
            <w:pPr>
              <w:spacing w:before="120" w:after="120"/>
              <w:ind w:firstLine="5"/>
              <w:jc w:val="center"/>
              <w:rPr>
                <w:rFonts w:ascii="Times New Roman" w:hAnsi="Times New Roman" w:cs="Times New Roman"/>
                <w:sz w:val="18"/>
                <w:szCs w:val="18"/>
                <w:lang w:val="ru-RU"/>
              </w:rPr>
            </w:pPr>
          </w:p>
          <w:p w14:paraId="16138AAE" w14:textId="77777777" w:rsidR="00216F52" w:rsidRPr="00487209" w:rsidRDefault="00216F52" w:rsidP="006C6323">
            <w:pPr>
              <w:spacing w:before="120" w:after="120"/>
              <w:ind w:firstLine="5"/>
              <w:jc w:val="center"/>
              <w:rPr>
                <w:rFonts w:ascii="Times New Roman" w:hAnsi="Times New Roman" w:cs="Times New Roman"/>
                <w:sz w:val="18"/>
                <w:szCs w:val="18"/>
                <w:lang w:val="ru-RU"/>
              </w:rPr>
            </w:pPr>
          </w:p>
          <w:p w14:paraId="06BBE4A5" w14:textId="77777777" w:rsidR="00216F52" w:rsidRPr="00487209" w:rsidRDefault="00216F52" w:rsidP="006C6323">
            <w:pPr>
              <w:spacing w:before="120" w:after="120"/>
              <w:ind w:firstLine="5"/>
              <w:jc w:val="center"/>
              <w:rPr>
                <w:rFonts w:ascii="Times New Roman" w:hAnsi="Times New Roman" w:cs="Times New Roman"/>
                <w:sz w:val="18"/>
                <w:szCs w:val="18"/>
                <w:lang w:val="ru-RU"/>
              </w:rPr>
            </w:pPr>
          </w:p>
          <w:p w14:paraId="713F4097"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13.6.</w:t>
            </w:r>
          </w:p>
        </w:tc>
        <w:tc>
          <w:tcPr>
            <w:tcW w:w="1231" w:type="pct"/>
            <w:gridSpan w:val="2"/>
            <w:shd w:val="clear" w:color="auto" w:fill="auto"/>
            <w:vAlign w:val="center"/>
          </w:tcPr>
          <w:p w14:paraId="53C49C84" w14:textId="77777777" w:rsidR="00E96343" w:rsidRPr="00E96343" w:rsidRDefault="00E96343" w:rsidP="00E96343">
            <w:pPr>
              <w:spacing w:before="120"/>
              <w:ind w:right="-23"/>
              <w:jc w:val="both"/>
              <w:outlineLvl w:val="3"/>
              <w:rPr>
                <w:rFonts w:ascii="Times New Roman" w:eastAsia="Batang" w:hAnsi="Times New Roman" w:cs="Times New Roman"/>
                <w:sz w:val="18"/>
                <w:szCs w:val="18"/>
                <w:lang w:val="sr-Cyrl-CS" w:eastAsia="ko-KR"/>
              </w:rPr>
            </w:pPr>
            <w:r w:rsidRPr="00E96343">
              <w:rPr>
                <w:rFonts w:ascii="Times New Roman" w:eastAsia="Batang" w:hAnsi="Times New Roman" w:cs="Times New Roman"/>
                <w:sz w:val="18"/>
                <w:szCs w:val="18"/>
                <w:lang w:val="sr-Cyrl-CS" w:eastAsia="ko-KR"/>
              </w:rPr>
              <w:t>Произвођач обезбеђује успостављање поступака којима се осигурава да серијска производња грађевиског производа задржава перформансе наведене у декларацији о перформансама, узимајући у обзир евентуалне настале промене у типу производа односно техничкој документацији или у одговарајућим српским техничким спецификацијама или техничком пропису.</w:t>
            </w:r>
          </w:p>
          <w:p w14:paraId="291E4FF6" w14:textId="591F94A6" w:rsidR="00795265" w:rsidRDefault="00E96343" w:rsidP="00D623CB">
            <w:pPr>
              <w:spacing w:before="120"/>
              <w:jc w:val="both"/>
              <w:rPr>
                <w:rFonts w:ascii="Times New Roman" w:hAnsi="Times New Roman" w:cs="Times New Roman"/>
                <w:sz w:val="18"/>
                <w:szCs w:val="18"/>
                <w:lang w:val="sr-Cyrl-CS"/>
              </w:rPr>
            </w:pPr>
            <w:r w:rsidRPr="00E96343">
              <w:rPr>
                <w:rFonts w:ascii="Times New Roman" w:eastAsia="Batang" w:hAnsi="Times New Roman" w:cs="Times New Roman"/>
                <w:sz w:val="18"/>
                <w:szCs w:val="18"/>
                <w:lang w:val="sr-Cyrl-CS" w:eastAsia="ko-KR"/>
              </w:rPr>
              <w:t>У циљу обезбеђивања тачности, поузданости и постојаности перформанси грађевинског производа наведених у декларацији о перформансама, произвођач обавља испитивање узорака грађевинског производа који је стављен на тржиште или учињен доступним на тржишту, проверава да ли има рекламација, неусаглашених и опозваних грађевинских производа, и ако их има води евиденцију рекламација, неусаглашених и опозваних грађевинских производа и о томе обавештава дистрибутере.</w:t>
            </w:r>
          </w:p>
          <w:p w14:paraId="42718855" w14:textId="125384E7" w:rsidR="00E96343" w:rsidRPr="00487209" w:rsidRDefault="00E96343" w:rsidP="006C6323">
            <w:pPr>
              <w:jc w:val="both"/>
              <w:rPr>
                <w:rFonts w:ascii="Times New Roman" w:hAnsi="Times New Roman" w:cs="Times New Roman"/>
                <w:sz w:val="18"/>
                <w:szCs w:val="18"/>
                <w:lang w:val="sr-Cyrl-CS"/>
              </w:rPr>
            </w:pPr>
          </w:p>
        </w:tc>
        <w:tc>
          <w:tcPr>
            <w:tcW w:w="458" w:type="pct"/>
            <w:shd w:val="clear" w:color="auto" w:fill="auto"/>
            <w:vAlign w:val="center"/>
          </w:tcPr>
          <w:p w14:paraId="1887ECE3" w14:textId="77777777" w:rsidR="00795265" w:rsidRPr="00487209" w:rsidRDefault="0079526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1D7AF15E" w14:textId="77777777" w:rsidR="00AB24AB" w:rsidRPr="00487209" w:rsidRDefault="00AB24AB"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Напомена:</w:t>
            </w:r>
          </w:p>
          <w:p w14:paraId="108A64F0" w14:textId="63C3F69C" w:rsidR="00795265" w:rsidRPr="00487209" w:rsidRDefault="00084849"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AB24AB" w:rsidRPr="00487209">
              <w:rPr>
                <w:rFonts w:ascii="Times New Roman" w:hAnsi="Times New Roman" w:cs="Times New Roman"/>
                <w:sz w:val="18"/>
                <w:szCs w:val="18"/>
                <w:lang w:val="ru-RU"/>
              </w:rPr>
              <w:t xml:space="preserve"> 11.</w:t>
            </w:r>
            <w:r w:rsidR="00CD6839" w:rsidRPr="00487209">
              <w:rPr>
                <w:rFonts w:ascii="Times New Roman" w:hAnsi="Times New Roman" w:cs="Times New Roman"/>
                <w:sz w:val="18"/>
                <w:szCs w:val="18"/>
                <w:lang w:val="ru-RU"/>
              </w:rPr>
              <w:t>3</w:t>
            </w:r>
            <w:r w:rsidR="00AB24AB" w:rsidRPr="00487209">
              <w:rPr>
                <w:rFonts w:ascii="Times New Roman" w:hAnsi="Times New Roman" w:cs="Times New Roman"/>
                <w:sz w:val="18"/>
                <w:szCs w:val="18"/>
                <w:lang w:val="ru-RU"/>
              </w:rPr>
              <w:t>.</w:t>
            </w:r>
            <w:r w:rsidR="00AB24AB" w:rsidRPr="00487209">
              <w:rPr>
                <w:rFonts w:ascii="Times New Roman" w:hAnsi="Times New Roman" w:cs="Times New Roman"/>
                <w:sz w:val="18"/>
                <w:szCs w:val="18"/>
                <w:lang w:val="sr-Cyrl-CS"/>
              </w:rPr>
              <w:t xml:space="preserve"> Уредбе 305/2011 </w:t>
            </w:r>
            <w:r>
              <w:rPr>
                <w:rFonts w:ascii="Times New Roman" w:hAnsi="Times New Roman" w:cs="Times New Roman"/>
                <w:sz w:val="18"/>
                <w:szCs w:val="18"/>
                <w:lang w:val="sr-Cyrl-CS"/>
              </w:rPr>
              <w:t>(ЕУ) је у потпуности пренет  члан</w:t>
            </w:r>
            <w:r w:rsidR="00AB24AB" w:rsidRPr="00487209">
              <w:rPr>
                <w:rFonts w:ascii="Times New Roman" w:hAnsi="Times New Roman" w:cs="Times New Roman"/>
                <w:sz w:val="18"/>
                <w:szCs w:val="18"/>
                <w:lang w:val="sr-Cyrl-CS"/>
              </w:rPr>
              <w:t xml:space="preserve"> 13. ст. </w:t>
            </w:r>
            <w:r w:rsidR="00CD6839" w:rsidRPr="00487209">
              <w:rPr>
                <w:rFonts w:ascii="Times New Roman" w:hAnsi="Times New Roman" w:cs="Times New Roman"/>
                <w:sz w:val="18"/>
                <w:szCs w:val="18"/>
                <w:lang w:val="sr-Cyrl-CS"/>
              </w:rPr>
              <w:t>5</w:t>
            </w:r>
            <w:r w:rsidR="00AB24AB" w:rsidRPr="00487209">
              <w:rPr>
                <w:rFonts w:ascii="Times New Roman" w:hAnsi="Times New Roman" w:cs="Times New Roman"/>
                <w:sz w:val="18"/>
                <w:szCs w:val="18"/>
                <w:lang w:val="sr-Cyrl-CS"/>
              </w:rPr>
              <w:t xml:space="preserve">. </w:t>
            </w:r>
            <w:r w:rsidR="00CD6839" w:rsidRPr="00487209">
              <w:rPr>
                <w:rFonts w:ascii="Times New Roman" w:hAnsi="Times New Roman" w:cs="Times New Roman"/>
                <w:sz w:val="18"/>
                <w:szCs w:val="18"/>
                <w:lang w:val="sr-Cyrl-CS"/>
              </w:rPr>
              <w:t>и 6.</w:t>
            </w:r>
            <w:r w:rsidR="00AB24AB"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AB24AB" w:rsidRPr="00487209">
              <w:rPr>
                <w:rFonts w:ascii="Times New Roman" w:hAnsi="Times New Roman" w:cs="Times New Roman"/>
                <w:sz w:val="18"/>
                <w:szCs w:val="18"/>
                <w:lang w:val="sr-Cyrl-CS"/>
              </w:rPr>
              <w:t>, уз напомену да је њоме поред хармонизоване обухваћена и нехармонизована област грађевинских производа.</w:t>
            </w:r>
          </w:p>
        </w:tc>
        <w:tc>
          <w:tcPr>
            <w:tcW w:w="480" w:type="pct"/>
            <w:shd w:val="clear" w:color="auto" w:fill="auto"/>
            <w:vAlign w:val="center"/>
          </w:tcPr>
          <w:p w14:paraId="284F1119" w14:textId="77777777" w:rsidR="00795265" w:rsidRPr="00487209" w:rsidRDefault="00795265" w:rsidP="006C6323">
            <w:pPr>
              <w:spacing w:before="120" w:after="120"/>
              <w:jc w:val="center"/>
              <w:rPr>
                <w:rFonts w:ascii="Times New Roman" w:hAnsi="Times New Roman" w:cs="Times New Roman"/>
                <w:sz w:val="18"/>
                <w:szCs w:val="18"/>
                <w:lang w:val="sr-Cyrl-CS"/>
              </w:rPr>
            </w:pPr>
          </w:p>
        </w:tc>
      </w:tr>
      <w:tr w:rsidR="00337554" w:rsidRPr="00487209" w14:paraId="635C29C4" w14:textId="77777777" w:rsidTr="007D5144">
        <w:trPr>
          <w:trHeight w:val="1040"/>
          <w:jc w:val="center"/>
        </w:trPr>
        <w:tc>
          <w:tcPr>
            <w:tcW w:w="435" w:type="pct"/>
            <w:shd w:val="clear" w:color="auto" w:fill="auto"/>
            <w:vAlign w:val="center"/>
          </w:tcPr>
          <w:p w14:paraId="185DC375" w14:textId="77777777" w:rsidR="00795265" w:rsidRPr="00487209" w:rsidRDefault="0079526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11.4.</w:t>
            </w:r>
          </w:p>
        </w:tc>
        <w:tc>
          <w:tcPr>
            <w:tcW w:w="1369" w:type="pct"/>
            <w:gridSpan w:val="2"/>
            <w:shd w:val="clear" w:color="auto" w:fill="auto"/>
            <w:vAlign w:val="center"/>
          </w:tcPr>
          <w:p w14:paraId="602016E0" w14:textId="77777777" w:rsidR="00795265" w:rsidRPr="00487209" w:rsidRDefault="00795265" w:rsidP="006C6323">
            <w:pPr>
              <w:jc w:val="both"/>
              <w:rPr>
                <w:rFonts w:ascii="Times New Roman" w:hAnsi="Times New Roman" w:cs="Times New Roman"/>
                <w:sz w:val="18"/>
                <w:szCs w:val="18"/>
              </w:rPr>
            </w:pPr>
            <w:r w:rsidRPr="00487209">
              <w:rPr>
                <w:rFonts w:ascii="Times New Roman" w:hAnsi="Times New Roman" w:cs="Times New Roman"/>
                <w:sz w:val="18"/>
                <w:szCs w:val="18"/>
              </w:rPr>
              <w:t>Manufacturers shall ensure that their construction products bear a type, batch or serial number or any other element allowing their identification, or, where the size or nature of the product does not allow it, that the required information is provided on the packaging or in a document accompanying the construction product.</w:t>
            </w:r>
          </w:p>
        </w:tc>
        <w:tc>
          <w:tcPr>
            <w:tcW w:w="429" w:type="pct"/>
            <w:shd w:val="clear" w:color="auto" w:fill="auto"/>
            <w:vAlign w:val="center"/>
          </w:tcPr>
          <w:p w14:paraId="52F1C31F"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73994542"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13.7.</w:t>
            </w:r>
          </w:p>
        </w:tc>
        <w:tc>
          <w:tcPr>
            <w:tcW w:w="1231" w:type="pct"/>
            <w:gridSpan w:val="2"/>
            <w:shd w:val="clear" w:color="auto" w:fill="auto"/>
            <w:vAlign w:val="center"/>
          </w:tcPr>
          <w:p w14:paraId="39D2596E" w14:textId="23990C02" w:rsidR="00F251BF" w:rsidRPr="00487209" w:rsidRDefault="00F251BF" w:rsidP="00F251BF">
            <w:pPr>
              <w:spacing w:before="120"/>
              <w:ind w:right="-23"/>
              <w:jc w:val="both"/>
              <w:outlineLvl w:val="3"/>
              <w:rPr>
                <w:rFonts w:ascii="Times New Roman" w:eastAsia="Batang" w:hAnsi="Times New Roman" w:cs="Times New Roman"/>
                <w:b/>
                <w:sz w:val="18"/>
                <w:szCs w:val="18"/>
                <w:lang w:val="sr-Latn-BA" w:eastAsia="ko-KR"/>
              </w:rPr>
            </w:pPr>
            <w:r w:rsidRPr="00487209">
              <w:rPr>
                <w:rFonts w:ascii="Times New Roman" w:eastAsia="Batang" w:hAnsi="Times New Roman" w:cs="Times New Roman"/>
                <w:sz w:val="18"/>
                <w:szCs w:val="18"/>
                <w:lang w:val="sr-Latn-BA" w:eastAsia="ko-KR"/>
              </w:rPr>
              <w:t xml:space="preserve">Произвођач обезбеђује да његови грађевински производи </w:t>
            </w:r>
            <w:r w:rsidRPr="00487209">
              <w:rPr>
                <w:rFonts w:ascii="Times New Roman" w:eastAsia="Batang" w:hAnsi="Times New Roman" w:cs="Times New Roman"/>
                <w:sz w:val="18"/>
                <w:szCs w:val="18"/>
                <w:lang w:val="sr-Cyrl-CS" w:eastAsia="ko-KR"/>
              </w:rPr>
              <w:t xml:space="preserve">имају </w:t>
            </w:r>
            <w:r w:rsidRPr="00487209">
              <w:rPr>
                <w:rFonts w:ascii="Times New Roman" w:eastAsia="Batang" w:hAnsi="Times New Roman" w:cs="Times New Roman"/>
                <w:sz w:val="18"/>
                <w:szCs w:val="18"/>
                <w:lang w:val="sr-Latn-BA" w:eastAsia="ko-KR"/>
              </w:rPr>
              <w:t>број типа, серијски број или број партије</w:t>
            </w:r>
            <w:r w:rsidRPr="00487209">
              <w:rPr>
                <w:rFonts w:ascii="Times New Roman" w:eastAsia="Batang" w:hAnsi="Times New Roman" w:cs="Times New Roman"/>
                <w:sz w:val="18"/>
                <w:szCs w:val="18"/>
                <w:lang w:val="sr-Cyrl-CS" w:eastAsia="ko-KR"/>
              </w:rPr>
              <w:t xml:space="preserve">, </w:t>
            </w:r>
            <w:r w:rsidRPr="00487209">
              <w:rPr>
                <w:rFonts w:ascii="Times New Roman" w:eastAsia="Batang" w:hAnsi="Times New Roman" w:cs="Times New Roman"/>
                <w:sz w:val="18"/>
                <w:szCs w:val="18"/>
                <w:shd w:val="clear" w:color="auto" w:fill="FFFFFF"/>
                <w:lang w:val="sr-Cyrl-CS" w:eastAsia="ko-KR"/>
              </w:rPr>
              <w:t>шарже</w:t>
            </w:r>
            <w:r w:rsidRPr="00487209">
              <w:rPr>
                <w:rFonts w:ascii="Times New Roman" w:eastAsia="Batang" w:hAnsi="Times New Roman" w:cs="Times New Roman"/>
                <w:sz w:val="18"/>
                <w:szCs w:val="18"/>
                <w:lang w:val="sr-Latn-BA" w:eastAsia="ko-KR"/>
              </w:rPr>
              <w:t xml:space="preserve"> или други елемент којим се омогућава њихова идентификација, или када то не допуштају димензије или природа производа, да су потребне информације дате на амбалажи или у документацији која прати грађевински производ.</w:t>
            </w:r>
          </w:p>
          <w:p w14:paraId="3FB289CE" w14:textId="77777777" w:rsidR="00795265" w:rsidRPr="00487209" w:rsidRDefault="00795265" w:rsidP="006C6323">
            <w:pPr>
              <w:jc w:val="both"/>
              <w:rPr>
                <w:rFonts w:ascii="Times New Roman" w:hAnsi="Times New Roman" w:cs="Times New Roman"/>
                <w:sz w:val="18"/>
                <w:szCs w:val="18"/>
                <w:lang w:val="sr-Latn-BA"/>
              </w:rPr>
            </w:pPr>
          </w:p>
        </w:tc>
        <w:tc>
          <w:tcPr>
            <w:tcW w:w="458" w:type="pct"/>
            <w:shd w:val="clear" w:color="auto" w:fill="auto"/>
            <w:vAlign w:val="center"/>
          </w:tcPr>
          <w:p w14:paraId="3F5D7283" w14:textId="77777777" w:rsidR="00795265" w:rsidRPr="00487209" w:rsidRDefault="00795265"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7EFEDAC9" w14:textId="77777777" w:rsidR="00795265" w:rsidRPr="00487209" w:rsidRDefault="00795265"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121C5100" w14:textId="77777777" w:rsidR="00795265" w:rsidRPr="00487209" w:rsidRDefault="00795265" w:rsidP="006C6323">
            <w:pPr>
              <w:spacing w:before="120" w:after="120"/>
              <w:jc w:val="center"/>
              <w:rPr>
                <w:rFonts w:ascii="Times New Roman" w:hAnsi="Times New Roman" w:cs="Times New Roman"/>
                <w:sz w:val="18"/>
                <w:szCs w:val="18"/>
                <w:lang w:val="ru-RU"/>
              </w:rPr>
            </w:pPr>
          </w:p>
        </w:tc>
      </w:tr>
      <w:tr w:rsidR="00337554" w:rsidRPr="00487209" w14:paraId="0B8F87A4" w14:textId="77777777" w:rsidTr="007D5144">
        <w:trPr>
          <w:trHeight w:val="1970"/>
          <w:jc w:val="center"/>
        </w:trPr>
        <w:tc>
          <w:tcPr>
            <w:tcW w:w="435" w:type="pct"/>
            <w:shd w:val="clear" w:color="auto" w:fill="auto"/>
            <w:vAlign w:val="center"/>
          </w:tcPr>
          <w:p w14:paraId="61BB29F4" w14:textId="77777777" w:rsidR="00795265" w:rsidRPr="00487209" w:rsidRDefault="0079526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11.5.</w:t>
            </w:r>
          </w:p>
        </w:tc>
        <w:tc>
          <w:tcPr>
            <w:tcW w:w="1369" w:type="pct"/>
            <w:gridSpan w:val="2"/>
            <w:shd w:val="clear" w:color="auto" w:fill="auto"/>
            <w:vAlign w:val="center"/>
          </w:tcPr>
          <w:p w14:paraId="6445691A" w14:textId="77777777" w:rsidR="00795265" w:rsidRPr="00487209" w:rsidRDefault="00795265" w:rsidP="006C6323">
            <w:pPr>
              <w:jc w:val="both"/>
              <w:rPr>
                <w:rFonts w:ascii="Times New Roman" w:hAnsi="Times New Roman" w:cs="Times New Roman"/>
                <w:sz w:val="18"/>
                <w:szCs w:val="18"/>
              </w:rPr>
            </w:pPr>
            <w:r w:rsidRPr="00487209">
              <w:rPr>
                <w:rFonts w:ascii="Times New Roman" w:hAnsi="Times New Roman" w:cs="Times New Roman"/>
                <w:sz w:val="18"/>
                <w:szCs w:val="18"/>
              </w:rPr>
              <w:t>Manufacturers shall indicate on the construction product or, where that is not possible, on its packaging or in a document accompanying it, their name, registered trade name or registered trade mark and their contact address. The address shall indicate a single point at which the manufacturer can be contacted.</w:t>
            </w:r>
          </w:p>
        </w:tc>
        <w:tc>
          <w:tcPr>
            <w:tcW w:w="429" w:type="pct"/>
            <w:shd w:val="clear" w:color="auto" w:fill="auto"/>
            <w:vAlign w:val="center"/>
          </w:tcPr>
          <w:p w14:paraId="1FD74D1D"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41C43A0E"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13.8.</w:t>
            </w:r>
          </w:p>
        </w:tc>
        <w:tc>
          <w:tcPr>
            <w:tcW w:w="1231" w:type="pct"/>
            <w:gridSpan w:val="2"/>
            <w:shd w:val="clear" w:color="auto" w:fill="auto"/>
            <w:vAlign w:val="center"/>
          </w:tcPr>
          <w:p w14:paraId="402F11B0" w14:textId="6AE73A98" w:rsidR="00F251BF" w:rsidRPr="00037448" w:rsidRDefault="00F251BF" w:rsidP="00F251BF">
            <w:pPr>
              <w:spacing w:before="120"/>
              <w:ind w:right="-23"/>
              <w:jc w:val="both"/>
              <w:outlineLvl w:val="3"/>
              <w:rPr>
                <w:rFonts w:ascii="Times New Roman" w:eastAsia="Batang" w:hAnsi="Times New Roman" w:cs="Times New Roman"/>
                <w:b/>
                <w:sz w:val="18"/>
                <w:szCs w:val="18"/>
                <w:lang w:val="sr-Cyrl-CS" w:eastAsia="ko-KR"/>
              </w:rPr>
            </w:pPr>
            <w:r w:rsidRPr="00487209">
              <w:rPr>
                <w:rFonts w:ascii="Times New Roman" w:eastAsia="Batang" w:hAnsi="Times New Roman" w:cs="Times New Roman"/>
                <w:sz w:val="18"/>
                <w:szCs w:val="18"/>
                <w:lang w:val="sr-Latn-BA" w:eastAsia="ko-KR"/>
              </w:rPr>
              <w:t xml:space="preserve">Произвођач </w:t>
            </w:r>
            <w:r w:rsidRPr="00487209">
              <w:rPr>
                <w:rFonts w:ascii="Times New Roman" w:eastAsia="Batang" w:hAnsi="Times New Roman" w:cs="Times New Roman"/>
                <w:sz w:val="18"/>
                <w:szCs w:val="18"/>
                <w:lang w:val="sr-Cyrl-CS" w:eastAsia="ko-KR"/>
              </w:rPr>
              <w:t>наводи</w:t>
            </w:r>
            <w:r w:rsidRPr="00487209">
              <w:rPr>
                <w:rFonts w:ascii="Times New Roman" w:eastAsia="Batang" w:hAnsi="Times New Roman" w:cs="Times New Roman"/>
                <w:sz w:val="18"/>
                <w:szCs w:val="18"/>
                <w:lang w:val="sr-Latn-BA" w:eastAsia="ko-KR"/>
              </w:rPr>
              <w:t xml:space="preserve"> на грађевинском производу </w:t>
            </w:r>
            <w:r w:rsidR="00E96343">
              <w:rPr>
                <w:rFonts w:ascii="Times New Roman" w:eastAsia="Batang" w:hAnsi="Times New Roman" w:cs="Times New Roman"/>
                <w:sz w:val="18"/>
                <w:szCs w:val="18"/>
                <w:lang w:val="sr-Cyrl-CS" w:eastAsia="ko-KR"/>
              </w:rPr>
              <w:t>односно</w:t>
            </w:r>
            <w:r w:rsidRPr="00487209">
              <w:rPr>
                <w:rFonts w:ascii="Times New Roman" w:eastAsia="Batang" w:hAnsi="Times New Roman" w:cs="Times New Roman"/>
                <w:sz w:val="18"/>
                <w:szCs w:val="18"/>
                <w:lang w:val="sr-Latn-BA" w:eastAsia="ko-KR"/>
              </w:rPr>
              <w:t>, на његовој амбалажи или у документацији која прати грађевински</w:t>
            </w:r>
            <w:r w:rsidRPr="00487209">
              <w:rPr>
                <w:rFonts w:ascii="Times New Roman" w:eastAsia="Batang" w:hAnsi="Times New Roman" w:cs="Times New Roman"/>
                <w:sz w:val="18"/>
                <w:szCs w:val="18"/>
                <w:lang w:val="sr-Cyrl-CS" w:eastAsia="ko-KR"/>
              </w:rPr>
              <w:t xml:space="preserve"> </w:t>
            </w:r>
            <w:r w:rsidRPr="00487209">
              <w:rPr>
                <w:rFonts w:ascii="Times New Roman" w:eastAsia="Batang" w:hAnsi="Times New Roman" w:cs="Times New Roman"/>
                <w:sz w:val="18"/>
                <w:szCs w:val="18"/>
                <w:lang w:val="sr-Latn-BA" w:eastAsia="ko-KR"/>
              </w:rPr>
              <w:t>производ, своје име, регистрован трговачки назив или регистровани жиг и адресу</w:t>
            </w:r>
            <w:r w:rsidR="00E96343">
              <w:rPr>
                <w:rFonts w:ascii="Times New Roman" w:eastAsia="Batang" w:hAnsi="Times New Roman" w:cs="Times New Roman"/>
                <w:sz w:val="18"/>
                <w:szCs w:val="18"/>
                <w:lang w:val="sr-Cyrl-CS" w:eastAsia="ko-KR"/>
              </w:rPr>
              <w:t>.</w:t>
            </w:r>
            <w:r w:rsidR="003A0D26" w:rsidRPr="003A0D26">
              <w:rPr>
                <w:rFonts w:ascii="Times New Roman" w:eastAsia="Batang" w:hAnsi="Times New Roman" w:cs="Times New Roman"/>
                <w:color w:val="FF0000"/>
                <w:sz w:val="24"/>
                <w:szCs w:val="24"/>
                <w:lang w:val="sr-Latn-BA" w:eastAsia="ko-KR"/>
              </w:rPr>
              <w:t xml:space="preserve"> </w:t>
            </w:r>
            <w:r w:rsidR="003A0D26" w:rsidRPr="003A0D26">
              <w:rPr>
                <w:rFonts w:ascii="Times New Roman" w:eastAsia="Batang" w:hAnsi="Times New Roman" w:cs="Times New Roman"/>
                <w:sz w:val="18"/>
                <w:szCs w:val="18"/>
                <w:lang w:val="sr-Latn-BA" w:eastAsia="ko-KR"/>
              </w:rPr>
              <w:t>Адреса указује на  јединствено место на којем је могуће ступити у контакт с произвођачем.</w:t>
            </w:r>
          </w:p>
          <w:p w14:paraId="6FA4674F" w14:textId="77777777" w:rsidR="00795265" w:rsidRPr="00487209" w:rsidRDefault="00795265" w:rsidP="006C6323">
            <w:pPr>
              <w:jc w:val="both"/>
              <w:rPr>
                <w:rFonts w:ascii="Times New Roman" w:hAnsi="Times New Roman" w:cs="Times New Roman"/>
                <w:sz w:val="18"/>
                <w:szCs w:val="18"/>
                <w:lang w:val="sr-Latn-BA"/>
              </w:rPr>
            </w:pPr>
          </w:p>
        </w:tc>
        <w:tc>
          <w:tcPr>
            <w:tcW w:w="458" w:type="pct"/>
            <w:shd w:val="clear" w:color="auto" w:fill="auto"/>
            <w:vAlign w:val="center"/>
          </w:tcPr>
          <w:p w14:paraId="111C3FE2" w14:textId="77777777" w:rsidR="00795265" w:rsidRPr="00487209" w:rsidRDefault="0079526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03CB7016" w14:textId="77777777" w:rsidR="00795265" w:rsidRPr="00487209" w:rsidRDefault="00795265"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2E97AB33" w14:textId="77777777" w:rsidR="00795265" w:rsidRPr="00487209" w:rsidRDefault="00795265" w:rsidP="006C6323">
            <w:pPr>
              <w:spacing w:before="120" w:after="120"/>
              <w:jc w:val="center"/>
              <w:rPr>
                <w:rFonts w:ascii="Times New Roman" w:hAnsi="Times New Roman" w:cs="Times New Roman"/>
                <w:sz w:val="18"/>
                <w:szCs w:val="18"/>
                <w:lang w:val="sr-Latn-BA"/>
              </w:rPr>
            </w:pPr>
          </w:p>
        </w:tc>
      </w:tr>
      <w:tr w:rsidR="00337554" w:rsidRPr="00487209" w14:paraId="25AB3125" w14:textId="77777777" w:rsidTr="007D5144">
        <w:trPr>
          <w:trHeight w:val="547"/>
          <w:jc w:val="center"/>
        </w:trPr>
        <w:tc>
          <w:tcPr>
            <w:tcW w:w="435" w:type="pct"/>
            <w:shd w:val="clear" w:color="auto" w:fill="auto"/>
            <w:vAlign w:val="center"/>
          </w:tcPr>
          <w:p w14:paraId="1C535654" w14:textId="77777777" w:rsidR="00795265" w:rsidRPr="00487209" w:rsidRDefault="0079526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11.6.</w:t>
            </w:r>
          </w:p>
        </w:tc>
        <w:tc>
          <w:tcPr>
            <w:tcW w:w="1369" w:type="pct"/>
            <w:gridSpan w:val="2"/>
            <w:shd w:val="clear" w:color="auto" w:fill="auto"/>
            <w:vAlign w:val="center"/>
          </w:tcPr>
          <w:p w14:paraId="44238D63" w14:textId="77777777" w:rsidR="00795265" w:rsidRPr="00487209" w:rsidRDefault="00795265" w:rsidP="006C6323">
            <w:pPr>
              <w:jc w:val="both"/>
              <w:rPr>
                <w:rFonts w:ascii="Times New Roman" w:hAnsi="Times New Roman" w:cs="Times New Roman"/>
                <w:sz w:val="18"/>
                <w:szCs w:val="18"/>
              </w:rPr>
            </w:pPr>
            <w:r w:rsidRPr="00487209">
              <w:rPr>
                <w:rFonts w:ascii="Times New Roman" w:hAnsi="Times New Roman" w:cs="Times New Roman"/>
                <w:sz w:val="18"/>
                <w:szCs w:val="18"/>
              </w:rPr>
              <w:t>When making a construction product available on the market, manufacturers shall ensure that the product is accompanied by instructions and safety information in a language determined by the Member State concerned which can be easily understood by users.</w:t>
            </w:r>
          </w:p>
        </w:tc>
        <w:tc>
          <w:tcPr>
            <w:tcW w:w="429" w:type="pct"/>
            <w:shd w:val="clear" w:color="auto" w:fill="auto"/>
            <w:vAlign w:val="center"/>
          </w:tcPr>
          <w:p w14:paraId="21B604A3"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0170A16F"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13.9.</w:t>
            </w:r>
          </w:p>
        </w:tc>
        <w:tc>
          <w:tcPr>
            <w:tcW w:w="1231" w:type="pct"/>
            <w:gridSpan w:val="2"/>
            <w:shd w:val="clear" w:color="auto" w:fill="auto"/>
            <w:vAlign w:val="center"/>
          </w:tcPr>
          <w:p w14:paraId="0F1D008B" w14:textId="77777777" w:rsidR="00F251BF" w:rsidRPr="00487209" w:rsidRDefault="00F251BF" w:rsidP="00F251BF">
            <w:pPr>
              <w:spacing w:before="120"/>
              <w:ind w:right="-23"/>
              <w:outlineLvl w:val="3"/>
              <w:rPr>
                <w:rFonts w:ascii="Times New Roman" w:eastAsia="Batang" w:hAnsi="Times New Roman" w:cs="Times New Roman"/>
                <w:b/>
                <w:sz w:val="18"/>
                <w:szCs w:val="18"/>
                <w:lang w:val="sr-Latn-BA" w:eastAsia="ko-KR"/>
              </w:rPr>
            </w:pPr>
            <w:r w:rsidRPr="00487209">
              <w:rPr>
                <w:rFonts w:ascii="Times New Roman" w:eastAsia="Batang" w:hAnsi="Times New Roman" w:cs="Times New Roman"/>
                <w:sz w:val="18"/>
                <w:szCs w:val="18"/>
                <w:lang w:val="sr-Latn-BA" w:eastAsia="ko-KR"/>
              </w:rPr>
              <w:t xml:space="preserve">Када се грађевински производ </w:t>
            </w:r>
            <w:r w:rsidRPr="00487209">
              <w:rPr>
                <w:rFonts w:ascii="Times New Roman" w:eastAsia="Batang" w:hAnsi="Times New Roman" w:cs="Times New Roman"/>
                <w:sz w:val="18"/>
                <w:szCs w:val="18"/>
                <w:lang w:eastAsia="ko-KR"/>
              </w:rPr>
              <w:t>чини доступним</w:t>
            </w:r>
            <w:r w:rsidRPr="00487209">
              <w:rPr>
                <w:rFonts w:ascii="Times New Roman" w:eastAsia="Batang" w:hAnsi="Times New Roman" w:cs="Times New Roman"/>
                <w:b/>
                <w:sz w:val="18"/>
                <w:szCs w:val="18"/>
                <w:lang w:eastAsia="ko-KR"/>
              </w:rPr>
              <w:t xml:space="preserve"> </w:t>
            </w:r>
            <w:r w:rsidRPr="00487209">
              <w:rPr>
                <w:rFonts w:ascii="Times New Roman" w:eastAsia="Batang" w:hAnsi="Times New Roman" w:cs="Times New Roman"/>
                <w:sz w:val="18"/>
                <w:szCs w:val="18"/>
                <w:lang w:val="sr-Latn-BA" w:eastAsia="ko-KR"/>
              </w:rPr>
              <w:t>на тржишт</w:t>
            </w:r>
            <w:r w:rsidRPr="00487209">
              <w:rPr>
                <w:rFonts w:ascii="Times New Roman" w:eastAsia="Batang" w:hAnsi="Times New Roman" w:cs="Times New Roman"/>
                <w:sz w:val="18"/>
                <w:szCs w:val="18"/>
                <w:lang w:eastAsia="ko-KR"/>
              </w:rPr>
              <w:t>у</w:t>
            </w:r>
            <w:r w:rsidRPr="00487209">
              <w:rPr>
                <w:rFonts w:ascii="Times New Roman" w:eastAsia="Batang" w:hAnsi="Times New Roman" w:cs="Times New Roman"/>
                <w:sz w:val="18"/>
                <w:szCs w:val="18"/>
                <w:lang w:val="sr-Latn-BA" w:eastAsia="ko-KR"/>
              </w:rPr>
              <w:t>, произвођач обезбеђуј</w:t>
            </w:r>
            <w:r w:rsidRPr="00487209">
              <w:rPr>
                <w:rFonts w:ascii="Times New Roman" w:eastAsia="Batang" w:hAnsi="Times New Roman" w:cs="Times New Roman"/>
                <w:sz w:val="18"/>
                <w:szCs w:val="18"/>
                <w:lang w:eastAsia="ko-KR"/>
              </w:rPr>
              <w:t>е</w:t>
            </w:r>
            <w:r w:rsidRPr="00487209">
              <w:rPr>
                <w:rFonts w:ascii="Times New Roman" w:eastAsia="Batang" w:hAnsi="Times New Roman" w:cs="Times New Roman"/>
                <w:sz w:val="18"/>
                <w:szCs w:val="18"/>
                <w:lang w:val="sr-Latn-BA" w:eastAsia="ko-KR"/>
              </w:rPr>
              <w:t xml:space="preserve"> да производ прате </w:t>
            </w:r>
            <w:r w:rsidRPr="00487209">
              <w:rPr>
                <w:rFonts w:ascii="Times New Roman" w:eastAsia="Batang" w:hAnsi="Times New Roman" w:cs="Times New Roman"/>
                <w:sz w:val="18"/>
                <w:szCs w:val="18"/>
                <w:lang w:eastAsia="ko-KR"/>
              </w:rPr>
              <w:t xml:space="preserve">техничка </w:t>
            </w:r>
            <w:r w:rsidRPr="00487209">
              <w:rPr>
                <w:rFonts w:ascii="Times New Roman" w:eastAsia="Batang" w:hAnsi="Times New Roman" w:cs="Times New Roman"/>
                <w:sz w:val="18"/>
                <w:szCs w:val="18"/>
                <w:lang w:val="sr-Latn-BA" w:eastAsia="ko-KR"/>
              </w:rPr>
              <w:t xml:space="preserve">упутства </w:t>
            </w:r>
            <w:r w:rsidRPr="00487209">
              <w:rPr>
                <w:rFonts w:ascii="Times New Roman" w:eastAsia="Batang" w:hAnsi="Times New Roman" w:cs="Times New Roman"/>
                <w:sz w:val="18"/>
                <w:szCs w:val="18"/>
                <w:lang w:eastAsia="ko-KR"/>
              </w:rPr>
              <w:t>из члана 9. став 5. овог закона,</w:t>
            </w:r>
            <w:r w:rsidRPr="00487209">
              <w:rPr>
                <w:rFonts w:ascii="Times New Roman" w:eastAsia="Batang" w:hAnsi="Times New Roman" w:cs="Times New Roman"/>
                <w:sz w:val="18"/>
                <w:szCs w:val="18"/>
                <w:lang w:val="sr-Latn-BA" w:eastAsia="ko-KR"/>
              </w:rPr>
              <w:t xml:space="preserve"> на српском језику.</w:t>
            </w:r>
          </w:p>
          <w:p w14:paraId="390A19A2" w14:textId="77777777" w:rsidR="00795265" w:rsidRPr="00487209" w:rsidRDefault="00795265" w:rsidP="006C6323">
            <w:pPr>
              <w:jc w:val="both"/>
              <w:rPr>
                <w:rFonts w:ascii="Times New Roman" w:hAnsi="Times New Roman" w:cs="Times New Roman"/>
                <w:sz w:val="18"/>
                <w:szCs w:val="18"/>
                <w:lang w:val="sr-Latn-BA"/>
              </w:rPr>
            </w:pPr>
          </w:p>
        </w:tc>
        <w:tc>
          <w:tcPr>
            <w:tcW w:w="458" w:type="pct"/>
            <w:shd w:val="clear" w:color="auto" w:fill="auto"/>
            <w:vAlign w:val="center"/>
          </w:tcPr>
          <w:p w14:paraId="53863FE1" w14:textId="77777777" w:rsidR="00795265" w:rsidRPr="00487209" w:rsidRDefault="00795265"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ДУ</w:t>
            </w:r>
          </w:p>
        </w:tc>
        <w:tc>
          <w:tcPr>
            <w:tcW w:w="598" w:type="pct"/>
            <w:gridSpan w:val="2"/>
            <w:shd w:val="clear" w:color="auto" w:fill="auto"/>
            <w:vAlign w:val="center"/>
          </w:tcPr>
          <w:p w14:paraId="1F2C2BA3" w14:textId="0F5BD15F" w:rsidR="00731289" w:rsidRPr="00487209" w:rsidRDefault="00084849" w:rsidP="00084849">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 13. став</w:t>
            </w:r>
            <w:r w:rsidR="00AA6464" w:rsidRPr="00487209">
              <w:rPr>
                <w:rFonts w:ascii="Times New Roman" w:hAnsi="Times New Roman" w:cs="Times New Roman"/>
                <w:sz w:val="18"/>
                <w:szCs w:val="18"/>
                <w:lang w:val="ru-RU"/>
              </w:rPr>
              <w:t xml:space="preserve"> 9.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Pr>
                <w:rFonts w:ascii="Times New Roman" w:hAnsi="Times New Roman" w:cs="Times New Roman"/>
                <w:sz w:val="18"/>
                <w:szCs w:val="18"/>
                <w:lang w:val="ru-RU"/>
              </w:rPr>
              <w:t xml:space="preserve"> је делимично усклађен са чланом</w:t>
            </w:r>
            <w:r w:rsidR="00AA6464" w:rsidRPr="00487209">
              <w:rPr>
                <w:rFonts w:ascii="Times New Roman" w:hAnsi="Times New Roman" w:cs="Times New Roman"/>
                <w:sz w:val="18"/>
                <w:szCs w:val="18"/>
                <w:lang w:val="ru-RU"/>
              </w:rPr>
              <w:t xml:space="preserve"> 11.</w:t>
            </w:r>
            <w:r w:rsidR="0098114B" w:rsidRPr="00487209">
              <w:rPr>
                <w:rFonts w:ascii="Times New Roman" w:hAnsi="Times New Roman" w:cs="Times New Roman"/>
                <w:sz w:val="18"/>
                <w:szCs w:val="18"/>
                <w:lang w:val="ru-RU"/>
              </w:rPr>
              <w:t>6</w:t>
            </w:r>
            <w:r w:rsidR="00AA6464" w:rsidRPr="00487209">
              <w:rPr>
                <w:rFonts w:ascii="Times New Roman" w:hAnsi="Times New Roman" w:cs="Times New Roman"/>
                <w:sz w:val="18"/>
                <w:szCs w:val="18"/>
                <w:lang w:val="ru-RU"/>
              </w:rPr>
              <w:t xml:space="preserve">. </w:t>
            </w:r>
            <w:r w:rsidR="00AA6464" w:rsidRPr="00487209">
              <w:rPr>
                <w:rFonts w:ascii="Times New Roman" w:hAnsi="Times New Roman" w:cs="Times New Roman"/>
                <w:sz w:val="18"/>
                <w:szCs w:val="18"/>
                <w:lang w:val="sr-Cyrl-CS"/>
              </w:rPr>
              <w:t xml:space="preserve">Уредбе 305/2011 (ЕУ), </w:t>
            </w:r>
            <w:r w:rsidR="00B25BE9" w:rsidRPr="00487209">
              <w:rPr>
                <w:rFonts w:ascii="Times New Roman" w:hAnsi="Times New Roman" w:cs="Times New Roman"/>
                <w:sz w:val="18"/>
                <w:szCs w:val="18"/>
                <w:lang w:val="sr-Cyrl-CS"/>
              </w:rPr>
              <w:t xml:space="preserve">у делу који се језик  на којем се израђује пратећа документација, </w:t>
            </w:r>
            <w:r w:rsidR="00AA6464" w:rsidRPr="00487209">
              <w:rPr>
                <w:rFonts w:ascii="Times New Roman" w:hAnsi="Times New Roman" w:cs="Times New Roman"/>
                <w:sz w:val="18"/>
                <w:szCs w:val="18"/>
                <w:lang w:val="sr-Cyrl-CS"/>
              </w:rPr>
              <w:t>због статуса нечланице. Потпуно усклађивање биће могуће након приступања ЕУ.</w:t>
            </w:r>
          </w:p>
        </w:tc>
        <w:tc>
          <w:tcPr>
            <w:tcW w:w="480" w:type="pct"/>
            <w:shd w:val="clear" w:color="auto" w:fill="auto"/>
            <w:vAlign w:val="center"/>
          </w:tcPr>
          <w:p w14:paraId="7C92C562" w14:textId="77777777" w:rsidR="00795265" w:rsidRPr="00487209" w:rsidRDefault="00795265" w:rsidP="006C6323">
            <w:pPr>
              <w:spacing w:before="120" w:after="120"/>
              <w:jc w:val="center"/>
              <w:rPr>
                <w:rFonts w:ascii="Times New Roman" w:hAnsi="Times New Roman" w:cs="Times New Roman"/>
                <w:sz w:val="18"/>
                <w:szCs w:val="18"/>
                <w:lang w:val="ru-RU"/>
              </w:rPr>
            </w:pPr>
          </w:p>
        </w:tc>
      </w:tr>
      <w:tr w:rsidR="00337554" w:rsidRPr="00487209" w14:paraId="023779C2" w14:textId="77777777" w:rsidTr="007D5144">
        <w:trPr>
          <w:trHeight w:val="473"/>
          <w:jc w:val="center"/>
        </w:trPr>
        <w:tc>
          <w:tcPr>
            <w:tcW w:w="435" w:type="pct"/>
            <w:shd w:val="clear" w:color="auto" w:fill="auto"/>
            <w:vAlign w:val="center"/>
          </w:tcPr>
          <w:p w14:paraId="33892BB0" w14:textId="77777777" w:rsidR="00795265" w:rsidRPr="00487209" w:rsidRDefault="0079526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11.7.</w:t>
            </w:r>
          </w:p>
        </w:tc>
        <w:tc>
          <w:tcPr>
            <w:tcW w:w="1369" w:type="pct"/>
            <w:gridSpan w:val="2"/>
            <w:shd w:val="clear" w:color="auto" w:fill="auto"/>
            <w:vAlign w:val="center"/>
          </w:tcPr>
          <w:p w14:paraId="305DD136" w14:textId="77777777" w:rsidR="00795265" w:rsidRPr="00487209" w:rsidRDefault="00795265" w:rsidP="006C6323">
            <w:pPr>
              <w:jc w:val="both"/>
              <w:rPr>
                <w:rFonts w:ascii="Times New Roman" w:hAnsi="Times New Roman" w:cs="Times New Roman"/>
                <w:sz w:val="18"/>
                <w:szCs w:val="18"/>
              </w:rPr>
            </w:pPr>
          </w:p>
          <w:p w14:paraId="1A2FC908" w14:textId="77777777" w:rsidR="00795265" w:rsidRPr="00487209" w:rsidRDefault="00795265" w:rsidP="006C6323">
            <w:pPr>
              <w:jc w:val="both"/>
              <w:rPr>
                <w:rFonts w:ascii="Times New Roman" w:hAnsi="Times New Roman" w:cs="Times New Roman"/>
                <w:sz w:val="18"/>
                <w:szCs w:val="18"/>
              </w:rPr>
            </w:pPr>
            <w:r w:rsidRPr="00487209">
              <w:rPr>
                <w:rFonts w:ascii="Times New Roman" w:hAnsi="Times New Roman" w:cs="Times New Roman"/>
                <w:sz w:val="18"/>
                <w:szCs w:val="18"/>
              </w:rPr>
              <w:t xml:space="preserve">Manufacturers who consider or have reason to believe that a construction product which they have placed on the market is not in conformity with the declaration of performance or not in compliance with other applicable requirements in this Regulation, shall immediately take the necessary corrective measures to bring that construction product into conformity, or, if </w:t>
            </w:r>
            <w:r w:rsidRPr="00487209">
              <w:rPr>
                <w:rFonts w:ascii="Times New Roman" w:hAnsi="Times New Roman" w:cs="Times New Roman"/>
                <w:sz w:val="18"/>
                <w:szCs w:val="18"/>
              </w:rPr>
              <w:lastRenderedPageBreak/>
              <w:t>appropriate, to withdraw or recall it. Furthermore, where the product presents a risk, manufacturers shall immediately inform the competent national authorities of the Member States in which they made the construction product available to that effect, giving details, in particular, of the non-compliance and of any corrective measures taken.</w:t>
            </w:r>
          </w:p>
          <w:p w14:paraId="363FE52A" w14:textId="77777777" w:rsidR="00795265" w:rsidRPr="00487209" w:rsidRDefault="00795265" w:rsidP="006C6323">
            <w:pPr>
              <w:jc w:val="both"/>
              <w:rPr>
                <w:rFonts w:ascii="Times New Roman" w:hAnsi="Times New Roman" w:cs="Times New Roman"/>
                <w:sz w:val="18"/>
                <w:szCs w:val="18"/>
              </w:rPr>
            </w:pPr>
          </w:p>
        </w:tc>
        <w:tc>
          <w:tcPr>
            <w:tcW w:w="429" w:type="pct"/>
            <w:shd w:val="clear" w:color="auto" w:fill="auto"/>
            <w:vAlign w:val="center"/>
          </w:tcPr>
          <w:p w14:paraId="4C474B02" w14:textId="77777777" w:rsidR="00B25BE9" w:rsidRPr="00487209" w:rsidRDefault="00B25BE9" w:rsidP="006C6323">
            <w:pPr>
              <w:spacing w:before="120" w:after="120"/>
              <w:ind w:firstLine="5"/>
              <w:jc w:val="center"/>
              <w:rPr>
                <w:rFonts w:ascii="Times New Roman" w:hAnsi="Times New Roman" w:cs="Times New Roman"/>
                <w:sz w:val="18"/>
                <w:szCs w:val="18"/>
                <w:lang w:val="ru-RU"/>
              </w:rPr>
            </w:pPr>
          </w:p>
          <w:p w14:paraId="5EDCB668"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49521414"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13.10.</w:t>
            </w:r>
          </w:p>
          <w:p w14:paraId="6CD9257F" w14:textId="77777777" w:rsidR="00B25BE9" w:rsidRPr="00487209" w:rsidRDefault="00B25BE9" w:rsidP="006C6323">
            <w:pPr>
              <w:spacing w:before="120" w:after="120"/>
              <w:ind w:firstLine="5"/>
              <w:jc w:val="center"/>
              <w:rPr>
                <w:rFonts w:ascii="Times New Roman" w:hAnsi="Times New Roman" w:cs="Times New Roman"/>
                <w:sz w:val="18"/>
                <w:szCs w:val="18"/>
                <w:lang w:val="ru-RU"/>
              </w:rPr>
            </w:pPr>
          </w:p>
          <w:p w14:paraId="618057FF" w14:textId="77777777" w:rsidR="00B25BE9" w:rsidRPr="00487209" w:rsidRDefault="00B25BE9" w:rsidP="006C6323">
            <w:pPr>
              <w:spacing w:before="120" w:after="120"/>
              <w:ind w:firstLine="5"/>
              <w:jc w:val="center"/>
              <w:rPr>
                <w:rFonts w:ascii="Times New Roman" w:hAnsi="Times New Roman" w:cs="Times New Roman"/>
                <w:sz w:val="18"/>
                <w:szCs w:val="18"/>
                <w:lang w:val="ru-RU"/>
              </w:rPr>
            </w:pPr>
          </w:p>
          <w:p w14:paraId="13BCA9FB" w14:textId="77777777" w:rsidR="00B25BE9" w:rsidRPr="00487209" w:rsidRDefault="00B25BE9" w:rsidP="006C6323">
            <w:pPr>
              <w:spacing w:before="120" w:after="120"/>
              <w:ind w:firstLine="5"/>
              <w:jc w:val="center"/>
              <w:rPr>
                <w:rFonts w:ascii="Times New Roman" w:hAnsi="Times New Roman" w:cs="Times New Roman"/>
                <w:sz w:val="18"/>
                <w:szCs w:val="18"/>
                <w:lang w:val="ru-RU"/>
              </w:rPr>
            </w:pPr>
          </w:p>
          <w:p w14:paraId="47D1BB94" w14:textId="77777777" w:rsidR="00B25BE9" w:rsidRPr="00487209" w:rsidRDefault="00B25BE9" w:rsidP="006C6323">
            <w:pPr>
              <w:spacing w:before="120" w:after="120"/>
              <w:ind w:firstLine="5"/>
              <w:jc w:val="center"/>
              <w:rPr>
                <w:rFonts w:ascii="Times New Roman" w:hAnsi="Times New Roman" w:cs="Times New Roman"/>
                <w:sz w:val="18"/>
                <w:szCs w:val="18"/>
                <w:lang w:val="ru-RU"/>
              </w:rPr>
            </w:pPr>
          </w:p>
          <w:p w14:paraId="5415FBD9" w14:textId="77777777" w:rsidR="00B25BE9" w:rsidRPr="00487209" w:rsidRDefault="00B25BE9" w:rsidP="006C6323">
            <w:pPr>
              <w:spacing w:before="120" w:after="120"/>
              <w:rPr>
                <w:rFonts w:ascii="Times New Roman" w:hAnsi="Times New Roman" w:cs="Times New Roman"/>
                <w:sz w:val="18"/>
                <w:szCs w:val="18"/>
                <w:lang w:val="ru-RU"/>
              </w:rPr>
            </w:pPr>
          </w:p>
          <w:p w14:paraId="6A6BA0ED"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13.11.</w:t>
            </w:r>
          </w:p>
        </w:tc>
        <w:tc>
          <w:tcPr>
            <w:tcW w:w="1231" w:type="pct"/>
            <w:gridSpan w:val="2"/>
            <w:shd w:val="clear" w:color="auto" w:fill="auto"/>
            <w:vAlign w:val="center"/>
          </w:tcPr>
          <w:p w14:paraId="27B9BB55" w14:textId="77777777" w:rsidR="00996355" w:rsidRPr="00996355" w:rsidRDefault="00996355" w:rsidP="00996355">
            <w:pPr>
              <w:spacing w:before="120"/>
              <w:ind w:right="-23"/>
              <w:rPr>
                <w:rFonts w:ascii="Times New Roman" w:eastAsia="Batang" w:hAnsi="Times New Roman" w:cs="Times New Roman"/>
                <w:sz w:val="18"/>
                <w:szCs w:val="18"/>
                <w:lang w:eastAsia="ko-KR"/>
              </w:rPr>
            </w:pPr>
            <w:r w:rsidRPr="00996355">
              <w:rPr>
                <w:rFonts w:ascii="Times New Roman" w:eastAsia="Batang" w:hAnsi="Times New Roman" w:cs="Times New Roman"/>
                <w:sz w:val="18"/>
                <w:szCs w:val="18"/>
                <w:lang w:eastAsia="ko-KR"/>
              </w:rPr>
              <w:lastRenderedPageBreak/>
              <w:t xml:space="preserve">Произвођач који има разлога да сумња да је грађевински производ који је ставио на тржиште усаглашен са декларацијом о перформансама или усклађен са другим захтевима из овог закона, дужан је да одмах предузме неопходне корективне радње како би усагласио тај грађевински производ са декларацијом о перформансама, </w:t>
            </w:r>
            <w:r w:rsidRPr="00996355">
              <w:rPr>
                <w:rFonts w:ascii="Times New Roman" w:eastAsia="Batang" w:hAnsi="Times New Roman" w:cs="Times New Roman"/>
                <w:sz w:val="18"/>
                <w:szCs w:val="18"/>
                <w:lang w:eastAsia="ko-KR"/>
              </w:rPr>
              <w:lastRenderedPageBreak/>
              <w:t xml:space="preserve">односно тај грађевински производ повукао са тржишта или опозвао. </w:t>
            </w:r>
          </w:p>
          <w:p w14:paraId="1555E413" w14:textId="44C5E75B" w:rsidR="00501260" w:rsidRPr="00487209" w:rsidRDefault="00996355" w:rsidP="006C6323">
            <w:pPr>
              <w:pStyle w:val="Style29"/>
              <w:spacing w:before="120"/>
              <w:ind w:right="-23"/>
              <w:jc w:val="both"/>
              <w:outlineLvl w:val="3"/>
              <w:rPr>
                <w:rFonts w:ascii="Times New Roman" w:hAnsi="Times New Roman"/>
                <w:b/>
                <w:sz w:val="18"/>
                <w:szCs w:val="18"/>
              </w:rPr>
            </w:pPr>
            <w:r w:rsidRPr="00996355">
              <w:rPr>
                <w:rFonts w:ascii="Times New Roman" w:hAnsi="Times New Roman"/>
                <w:sz w:val="18"/>
                <w:szCs w:val="18"/>
              </w:rPr>
              <w:t>Када грађевински производ из става 10. овог члана представља ризик, произвођач је дужан да одмах о томе обавести надлежне органе тржишног надзора, пружајући потребне информације, нарочито у погледу неусклађености и свих предузетих корективних радњи.</w:t>
            </w:r>
          </w:p>
        </w:tc>
        <w:tc>
          <w:tcPr>
            <w:tcW w:w="458" w:type="pct"/>
            <w:shd w:val="clear" w:color="auto" w:fill="auto"/>
            <w:vAlign w:val="center"/>
          </w:tcPr>
          <w:p w14:paraId="1B1B61F4" w14:textId="77777777" w:rsidR="00795265" w:rsidRPr="00487209" w:rsidRDefault="00795265"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ПУ</w:t>
            </w:r>
          </w:p>
        </w:tc>
        <w:tc>
          <w:tcPr>
            <w:tcW w:w="598" w:type="pct"/>
            <w:gridSpan w:val="2"/>
            <w:shd w:val="clear" w:color="auto" w:fill="auto"/>
            <w:vAlign w:val="center"/>
          </w:tcPr>
          <w:p w14:paraId="04899833" w14:textId="77777777" w:rsidR="00795265" w:rsidRPr="00487209" w:rsidRDefault="00795265"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2DA085BD" w14:textId="77777777" w:rsidR="00795265" w:rsidRPr="00487209" w:rsidRDefault="00795265" w:rsidP="006C6323">
            <w:pPr>
              <w:spacing w:before="120" w:after="120"/>
              <w:jc w:val="center"/>
              <w:rPr>
                <w:rFonts w:ascii="Times New Roman" w:hAnsi="Times New Roman" w:cs="Times New Roman"/>
                <w:sz w:val="18"/>
                <w:szCs w:val="18"/>
                <w:lang w:val="sr-Cyrl-CS"/>
              </w:rPr>
            </w:pPr>
          </w:p>
        </w:tc>
      </w:tr>
      <w:tr w:rsidR="00337554" w:rsidRPr="00487209" w14:paraId="2186F3D1" w14:textId="77777777" w:rsidTr="007D5144">
        <w:trPr>
          <w:trHeight w:val="1480"/>
          <w:jc w:val="center"/>
        </w:trPr>
        <w:tc>
          <w:tcPr>
            <w:tcW w:w="435" w:type="pct"/>
            <w:shd w:val="clear" w:color="auto" w:fill="auto"/>
            <w:vAlign w:val="center"/>
          </w:tcPr>
          <w:p w14:paraId="2546AFA4" w14:textId="77777777" w:rsidR="00795265" w:rsidRPr="00487209" w:rsidRDefault="0079526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11.8.</w:t>
            </w:r>
          </w:p>
        </w:tc>
        <w:tc>
          <w:tcPr>
            <w:tcW w:w="1369" w:type="pct"/>
            <w:gridSpan w:val="2"/>
            <w:shd w:val="clear" w:color="auto" w:fill="auto"/>
            <w:vAlign w:val="center"/>
          </w:tcPr>
          <w:p w14:paraId="23CCE7D8" w14:textId="77777777" w:rsidR="00795265" w:rsidRPr="00487209" w:rsidRDefault="00795265" w:rsidP="006C6323">
            <w:pPr>
              <w:jc w:val="both"/>
              <w:rPr>
                <w:rFonts w:ascii="Times New Roman" w:hAnsi="Times New Roman" w:cs="Times New Roman"/>
                <w:sz w:val="18"/>
                <w:szCs w:val="18"/>
              </w:rPr>
            </w:pPr>
          </w:p>
          <w:p w14:paraId="06E71BF8" w14:textId="77777777" w:rsidR="00795265" w:rsidRPr="00487209" w:rsidRDefault="00795265" w:rsidP="006C6323">
            <w:pPr>
              <w:jc w:val="both"/>
              <w:rPr>
                <w:rFonts w:ascii="Times New Roman" w:hAnsi="Times New Roman" w:cs="Times New Roman"/>
                <w:sz w:val="18"/>
                <w:szCs w:val="18"/>
              </w:rPr>
            </w:pPr>
            <w:r w:rsidRPr="00487209">
              <w:rPr>
                <w:rFonts w:ascii="Times New Roman" w:hAnsi="Times New Roman" w:cs="Times New Roman"/>
                <w:sz w:val="18"/>
                <w:szCs w:val="18"/>
              </w:rPr>
              <w:t>Manufacturers shall, further to a reasoned request from a competent national authority, provide it with all the information and documentation necessary to demonstrate the conformity of the construction product with the declaration of performance and compliance with other applicable requirements in this Regulation, in a language which can be easily understood by that authority. They shall cooperate with that authority, at its request, on any action taken to eliminate the risks posed by construction products which they have placed on the market.</w:t>
            </w:r>
          </w:p>
        </w:tc>
        <w:tc>
          <w:tcPr>
            <w:tcW w:w="429" w:type="pct"/>
            <w:shd w:val="clear" w:color="auto" w:fill="auto"/>
            <w:vAlign w:val="center"/>
          </w:tcPr>
          <w:p w14:paraId="2AAE664E"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2A61A311" w14:textId="77777777" w:rsidR="00795265" w:rsidRDefault="00795265"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13.12.</w:t>
            </w:r>
          </w:p>
          <w:p w14:paraId="125D0F9F" w14:textId="4C723FF0" w:rsidR="00996355" w:rsidRPr="00487209" w:rsidRDefault="00996355"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172CF05A" w14:textId="2CD855C2" w:rsidR="00795265" w:rsidRPr="00487209" w:rsidRDefault="00996355" w:rsidP="00F251BF">
            <w:pPr>
              <w:spacing w:before="120"/>
              <w:ind w:right="-23"/>
              <w:jc w:val="both"/>
              <w:outlineLvl w:val="3"/>
              <w:rPr>
                <w:rFonts w:ascii="Times New Roman" w:eastAsia="Batang" w:hAnsi="Times New Roman" w:cs="Times New Roman"/>
                <w:b/>
                <w:sz w:val="18"/>
                <w:szCs w:val="18"/>
                <w:lang w:val="sr-Latn-BA" w:eastAsia="ko-KR"/>
              </w:rPr>
            </w:pPr>
            <w:r w:rsidRPr="00996355">
              <w:rPr>
                <w:rFonts w:ascii="Times New Roman" w:eastAsia="Batang" w:hAnsi="Times New Roman" w:cs="Times New Roman"/>
                <w:sz w:val="18"/>
                <w:szCs w:val="18"/>
                <w:lang w:val="sr-Latn-BA" w:eastAsia="ko-KR"/>
              </w:rPr>
              <w:t>На образложени захтев надлежног органа тржишног надзора, произвођач пружа све потребне информације и документацију неопходну за доказивање усаглашености грађевинског производа са декларацијом о перформансама и усклађености са другим захтевима из овог закона, на српском језику.</w:t>
            </w:r>
          </w:p>
        </w:tc>
        <w:tc>
          <w:tcPr>
            <w:tcW w:w="458" w:type="pct"/>
            <w:shd w:val="clear" w:color="auto" w:fill="auto"/>
            <w:vAlign w:val="center"/>
          </w:tcPr>
          <w:p w14:paraId="320D58E7" w14:textId="77777777" w:rsidR="00795265" w:rsidRPr="00487209" w:rsidRDefault="00750D38"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Д</w:t>
            </w:r>
            <w:r w:rsidR="00795265" w:rsidRPr="00487209">
              <w:rPr>
                <w:rFonts w:ascii="Times New Roman" w:hAnsi="Times New Roman" w:cs="Times New Roman"/>
                <w:sz w:val="18"/>
                <w:szCs w:val="18"/>
              </w:rPr>
              <w:t>У</w:t>
            </w:r>
          </w:p>
        </w:tc>
        <w:tc>
          <w:tcPr>
            <w:tcW w:w="598" w:type="pct"/>
            <w:gridSpan w:val="2"/>
            <w:shd w:val="clear" w:color="auto" w:fill="auto"/>
            <w:vAlign w:val="center"/>
          </w:tcPr>
          <w:p w14:paraId="57EC18CA" w14:textId="59D10D9A" w:rsidR="00795265" w:rsidRPr="00487209" w:rsidRDefault="00084849" w:rsidP="008111AF">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 13. став</w:t>
            </w:r>
            <w:r w:rsidR="00B861BC" w:rsidRPr="00487209">
              <w:rPr>
                <w:rFonts w:ascii="Times New Roman" w:hAnsi="Times New Roman" w:cs="Times New Roman"/>
                <w:sz w:val="18"/>
                <w:szCs w:val="18"/>
                <w:lang w:val="ru-RU"/>
              </w:rPr>
              <w:t xml:space="preserve"> 12.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Pr>
                <w:rFonts w:ascii="Times New Roman" w:hAnsi="Times New Roman" w:cs="Times New Roman"/>
                <w:sz w:val="18"/>
                <w:szCs w:val="18"/>
                <w:lang w:val="ru-RU"/>
              </w:rPr>
              <w:t xml:space="preserve"> је делимично усклађен са чланом</w:t>
            </w:r>
            <w:r w:rsidR="00B861BC" w:rsidRPr="00487209">
              <w:rPr>
                <w:rFonts w:ascii="Times New Roman" w:hAnsi="Times New Roman" w:cs="Times New Roman"/>
                <w:sz w:val="18"/>
                <w:szCs w:val="18"/>
                <w:lang w:val="ru-RU"/>
              </w:rPr>
              <w:t xml:space="preserve"> 11.</w:t>
            </w:r>
            <w:r w:rsidR="0041672E" w:rsidRPr="00487209">
              <w:rPr>
                <w:rFonts w:ascii="Times New Roman" w:hAnsi="Times New Roman" w:cs="Times New Roman"/>
                <w:sz w:val="18"/>
                <w:szCs w:val="18"/>
                <w:lang w:val="ru-RU"/>
              </w:rPr>
              <w:t>8</w:t>
            </w:r>
            <w:r w:rsidR="00B861BC" w:rsidRPr="00487209">
              <w:rPr>
                <w:rFonts w:ascii="Times New Roman" w:hAnsi="Times New Roman" w:cs="Times New Roman"/>
                <w:sz w:val="18"/>
                <w:szCs w:val="18"/>
                <w:lang w:val="ru-RU"/>
              </w:rPr>
              <w:t xml:space="preserve">. Уредбе 305/2011 (ЕУ), осим у делу који се тиче употребе српског језика због статуса нечланице. </w:t>
            </w:r>
            <w:r w:rsidR="0084434A" w:rsidRPr="00487209">
              <w:rPr>
                <w:rFonts w:ascii="Times New Roman" w:hAnsi="Times New Roman" w:cs="Times New Roman"/>
                <w:sz w:val="18"/>
                <w:szCs w:val="18"/>
                <w:lang w:val="sr-Cyrl-CS"/>
              </w:rPr>
              <w:t xml:space="preserve">Потпуно усклађивање није могуће због важења </w:t>
            </w:r>
            <w:r w:rsidR="0084434A" w:rsidRPr="00487209">
              <w:rPr>
                <w:rFonts w:ascii="Times New Roman" w:hAnsi="Times New Roman" w:cs="Times New Roman"/>
                <w:sz w:val="18"/>
                <w:szCs w:val="18"/>
                <w:lang w:val="ru-RU"/>
              </w:rPr>
              <w:t>Закона о службеној употреби језика и писама („Службени гласник РС”, бр. 45/91, 53/93, 67/93, 48/94, 101/05 - др. закон и 30/10)</w:t>
            </w:r>
            <w:r>
              <w:rPr>
                <w:rFonts w:ascii="Times New Roman" w:hAnsi="Times New Roman" w:cs="Times New Roman"/>
                <w:sz w:val="18"/>
                <w:szCs w:val="18"/>
                <w:lang w:val="ru-RU"/>
              </w:rPr>
              <w:t xml:space="preserve"> чијим чланом 1. став </w:t>
            </w:r>
            <w:r w:rsidR="0051110E" w:rsidRPr="00487209">
              <w:rPr>
                <w:rFonts w:ascii="Times New Roman" w:hAnsi="Times New Roman" w:cs="Times New Roman"/>
                <w:sz w:val="18"/>
                <w:szCs w:val="18"/>
                <w:lang w:val="ru-RU"/>
              </w:rPr>
              <w:t>1</w:t>
            </w:r>
            <w:r>
              <w:rPr>
                <w:rFonts w:ascii="Times New Roman" w:hAnsi="Times New Roman" w:cs="Times New Roman"/>
                <w:sz w:val="18"/>
                <w:szCs w:val="18"/>
                <w:lang w:val="ru-RU"/>
              </w:rPr>
              <w:t>.</w:t>
            </w:r>
            <w:r w:rsidR="0051110E" w:rsidRPr="00487209">
              <w:rPr>
                <w:rFonts w:ascii="Times New Roman" w:hAnsi="Times New Roman" w:cs="Times New Roman"/>
                <w:sz w:val="18"/>
                <w:szCs w:val="18"/>
                <w:lang w:val="ru-RU"/>
              </w:rPr>
              <w:t xml:space="preserve"> је прописано да је </w:t>
            </w:r>
            <w:r w:rsidR="0051110E" w:rsidRPr="00487209">
              <w:rPr>
                <w:rFonts w:ascii="Times New Roman" w:hAnsi="Times New Roman" w:cs="Times New Roman"/>
                <w:sz w:val="18"/>
                <w:szCs w:val="18"/>
                <w:lang w:val="sr-Cyrl-CS"/>
              </w:rPr>
              <w:t>у</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Републици</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lastRenderedPageBreak/>
              <w:t>Србији</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у</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службеној</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је</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употреби</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српски</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језик</w:t>
            </w:r>
            <w:r>
              <w:rPr>
                <w:rFonts w:ascii="Times New Roman" w:hAnsi="Times New Roman" w:cs="Times New Roman"/>
                <w:sz w:val="18"/>
                <w:szCs w:val="18"/>
                <w:lang w:val="ru-RU"/>
              </w:rPr>
              <w:t xml:space="preserve">, а чланом </w:t>
            </w:r>
            <w:r w:rsidR="0051110E" w:rsidRPr="00487209">
              <w:rPr>
                <w:rFonts w:ascii="Times New Roman" w:hAnsi="Times New Roman" w:cs="Times New Roman"/>
                <w:sz w:val="18"/>
                <w:szCs w:val="18"/>
                <w:lang w:val="ru-RU"/>
              </w:rPr>
              <w:t>2</w:t>
            </w:r>
            <w:r>
              <w:rPr>
                <w:rFonts w:ascii="Times New Roman" w:hAnsi="Times New Roman" w:cs="Times New Roman"/>
                <w:sz w:val="18"/>
                <w:szCs w:val="18"/>
                <w:lang w:val="ru-RU"/>
              </w:rPr>
              <w:t>. став</w:t>
            </w:r>
            <w:r w:rsidR="0051110E" w:rsidRPr="00487209">
              <w:rPr>
                <w:rFonts w:ascii="Times New Roman" w:hAnsi="Times New Roman" w:cs="Times New Roman"/>
                <w:sz w:val="18"/>
                <w:szCs w:val="18"/>
                <w:lang w:val="ru-RU"/>
              </w:rPr>
              <w:t xml:space="preserve"> 2. </w:t>
            </w:r>
            <w:r w:rsidR="002502B8" w:rsidRPr="00487209">
              <w:rPr>
                <w:rFonts w:ascii="Times New Roman" w:hAnsi="Times New Roman" w:cs="Times New Roman"/>
                <w:sz w:val="18"/>
                <w:szCs w:val="18"/>
                <w:lang w:val="ru-RU"/>
              </w:rPr>
              <w:t>да се службеном употребом</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језика</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и</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писама</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између осталог, у</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смислу</w:t>
            </w:r>
            <w:r w:rsidR="0051110E" w:rsidRPr="00487209">
              <w:rPr>
                <w:rFonts w:ascii="Times New Roman" w:hAnsi="Times New Roman" w:cs="Times New Roman"/>
                <w:sz w:val="18"/>
                <w:szCs w:val="18"/>
                <w:lang w:val="ru-RU"/>
              </w:rPr>
              <w:t xml:space="preserve"> </w:t>
            </w:r>
            <w:r w:rsidR="006778B1" w:rsidRPr="00487209">
              <w:rPr>
                <w:rFonts w:ascii="Times New Roman" w:hAnsi="Times New Roman" w:cs="Times New Roman"/>
                <w:sz w:val="18"/>
                <w:szCs w:val="18"/>
                <w:lang w:val="ru-RU"/>
              </w:rPr>
              <w:t>т</w:t>
            </w:r>
            <w:r w:rsidR="002502B8" w:rsidRPr="00487209">
              <w:rPr>
                <w:rFonts w:ascii="Times New Roman" w:hAnsi="Times New Roman" w:cs="Times New Roman"/>
                <w:sz w:val="18"/>
                <w:szCs w:val="18"/>
                <w:lang w:val="ru-RU"/>
              </w:rPr>
              <w:t>ог</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закона</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сматра</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се</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употреба</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језика</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и</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писама</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у</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раду</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државних</w:t>
            </w:r>
            <w:r w:rsidR="0051110E" w:rsidRPr="00487209">
              <w:rPr>
                <w:rFonts w:ascii="Times New Roman" w:hAnsi="Times New Roman" w:cs="Times New Roman"/>
                <w:sz w:val="18"/>
                <w:szCs w:val="18"/>
                <w:lang w:val="ru-RU"/>
              </w:rPr>
              <w:t xml:space="preserve"> </w:t>
            </w:r>
            <w:r w:rsidR="002502B8" w:rsidRPr="00487209">
              <w:rPr>
                <w:rFonts w:ascii="Times New Roman" w:hAnsi="Times New Roman" w:cs="Times New Roman"/>
                <w:sz w:val="18"/>
                <w:szCs w:val="18"/>
                <w:lang w:val="ru-RU"/>
              </w:rPr>
              <w:t>органа.</w:t>
            </w:r>
          </w:p>
        </w:tc>
        <w:tc>
          <w:tcPr>
            <w:tcW w:w="480" w:type="pct"/>
            <w:shd w:val="clear" w:color="auto" w:fill="auto"/>
            <w:vAlign w:val="center"/>
          </w:tcPr>
          <w:p w14:paraId="177FEBD4" w14:textId="77777777" w:rsidR="00795265" w:rsidRPr="00487209" w:rsidRDefault="00795265" w:rsidP="006C6323">
            <w:pPr>
              <w:spacing w:before="120" w:after="120"/>
              <w:jc w:val="center"/>
              <w:rPr>
                <w:rFonts w:ascii="Times New Roman" w:hAnsi="Times New Roman" w:cs="Times New Roman"/>
                <w:sz w:val="18"/>
                <w:szCs w:val="18"/>
                <w:lang w:val="sr-Latn-BA"/>
              </w:rPr>
            </w:pPr>
          </w:p>
        </w:tc>
      </w:tr>
      <w:tr w:rsidR="00337554" w:rsidRPr="00487209" w14:paraId="64D3C7BC" w14:textId="77777777" w:rsidTr="007D5144">
        <w:trPr>
          <w:trHeight w:val="1970"/>
          <w:jc w:val="center"/>
        </w:trPr>
        <w:tc>
          <w:tcPr>
            <w:tcW w:w="435" w:type="pct"/>
            <w:shd w:val="clear" w:color="auto" w:fill="auto"/>
            <w:vAlign w:val="center"/>
          </w:tcPr>
          <w:p w14:paraId="51445D8F" w14:textId="77777777" w:rsidR="00795265" w:rsidRPr="00487209" w:rsidRDefault="0079526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12.1.</w:t>
            </w:r>
          </w:p>
        </w:tc>
        <w:tc>
          <w:tcPr>
            <w:tcW w:w="1369" w:type="pct"/>
            <w:gridSpan w:val="2"/>
            <w:shd w:val="clear" w:color="auto" w:fill="auto"/>
            <w:vAlign w:val="center"/>
          </w:tcPr>
          <w:p w14:paraId="46C61F79" w14:textId="77777777" w:rsidR="00795265" w:rsidRPr="00487209" w:rsidRDefault="00795265"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manufacturer may appoint, by written mandate, an authorised representative.</w:t>
            </w:r>
          </w:p>
          <w:p w14:paraId="39B24DB5" w14:textId="77777777" w:rsidR="00795265" w:rsidRPr="00487209" w:rsidRDefault="00795265"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drawing up of technical documentation shall not form part of the authorised representative’s mandate.</w:t>
            </w:r>
          </w:p>
          <w:p w14:paraId="085BF00D" w14:textId="77777777" w:rsidR="00795265" w:rsidRPr="00487209" w:rsidRDefault="00795265" w:rsidP="006C6323">
            <w:pPr>
              <w:jc w:val="both"/>
              <w:rPr>
                <w:rFonts w:ascii="Times New Roman" w:hAnsi="Times New Roman" w:cs="Times New Roman"/>
                <w:sz w:val="18"/>
                <w:szCs w:val="18"/>
                <w:lang w:val="sr-Cyrl-CS"/>
              </w:rPr>
            </w:pPr>
          </w:p>
        </w:tc>
        <w:tc>
          <w:tcPr>
            <w:tcW w:w="429" w:type="pct"/>
            <w:shd w:val="clear" w:color="auto" w:fill="auto"/>
            <w:vAlign w:val="center"/>
          </w:tcPr>
          <w:p w14:paraId="7F977E3F"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1A2E2DF0"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14.1.</w:t>
            </w:r>
          </w:p>
          <w:p w14:paraId="78A511AC"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14.2.</w:t>
            </w:r>
          </w:p>
        </w:tc>
        <w:tc>
          <w:tcPr>
            <w:tcW w:w="1231" w:type="pct"/>
            <w:gridSpan w:val="2"/>
            <w:shd w:val="clear" w:color="auto" w:fill="auto"/>
            <w:vAlign w:val="center"/>
          </w:tcPr>
          <w:p w14:paraId="64B03FD9" w14:textId="30C6D011" w:rsidR="002E2BE1" w:rsidRDefault="002E2BE1" w:rsidP="006C6323">
            <w:pPr>
              <w:pStyle w:val="Style29"/>
              <w:spacing w:before="120"/>
              <w:ind w:right="-23"/>
              <w:jc w:val="both"/>
              <w:outlineLvl w:val="3"/>
              <w:rPr>
                <w:rFonts w:ascii="Times New Roman" w:hAnsi="Times New Roman"/>
                <w:sz w:val="18"/>
                <w:szCs w:val="18"/>
                <w:lang w:val="sr-Cyrl-CS"/>
              </w:rPr>
            </w:pPr>
            <w:r w:rsidRPr="002E2BE1">
              <w:rPr>
                <w:rFonts w:ascii="Times New Roman" w:hAnsi="Times New Roman"/>
                <w:sz w:val="18"/>
                <w:szCs w:val="18"/>
              </w:rPr>
              <w:t>Произвођач може да овласти заступника писаним овлашћењем да обавља најмање следеће послове:</w:t>
            </w:r>
          </w:p>
          <w:p w14:paraId="022293CA" w14:textId="52C730DD" w:rsidR="00795265" w:rsidRPr="00487209" w:rsidRDefault="002E2BE1" w:rsidP="00B50024">
            <w:pPr>
              <w:spacing w:before="120"/>
              <w:jc w:val="both"/>
              <w:rPr>
                <w:rFonts w:ascii="Times New Roman" w:hAnsi="Times New Roman" w:cs="Times New Roman"/>
                <w:sz w:val="18"/>
                <w:szCs w:val="18"/>
                <w:lang w:val="sr-Latn-BA"/>
              </w:rPr>
            </w:pPr>
            <w:r w:rsidRPr="002E2BE1">
              <w:rPr>
                <w:rFonts w:ascii="Times New Roman" w:hAnsi="Times New Roman"/>
                <w:sz w:val="18"/>
                <w:szCs w:val="18"/>
                <w:lang w:val="sr-Cyrl-CS"/>
              </w:rPr>
              <w:t>На основу овлашћења из ст. 1. овог члана, заступник може обављати и друге послове, осим посла израде техничке документације.</w:t>
            </w:r>
          </w:p>
        </w:tc>
        <w:tc>
          <w:tcPr>
            <w:tcW w:w="458" w:type="pct"/>
            <w:shd w:val="clear" w:color="auto" w:fill="auto"/>
            <w:vAlign w:val="center"/>
          </w:tcPr>
          <w:p w14:paraId="038C4E54" w14:textId="77777777" w:rsidR="00795265" w:rsidRPr="00487209" w:rsidRDefault="0079526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38A5AADC" w14:textId="77777777" w:rsidR="00795265" w:rsidRPr="00487209" w:rsidRDefault="00795265"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46988930" w14:textId="77777777" w:rsidR="00795265" w:rsidRPr="00487209" w:rsidRDefault="00795265" w:rsidP="006C6323">
            <w:pPr>
              <w:spacing w:before="120" w:after="120"/>
              <w:jc w:val="center"/>
              <w:rPr>
                <w:rFonts w:ascii="Times New Roman" w:hAnsi="Times New Roman" w:cs="Times New Roman"/>
                <w:sz w:val="18"/>
                <w:szCs w:val="18"/>
                <w:lang w:val="sr-Latn-BA"/>
              </w:rPr>
            </w:pPr>
          </w:p>
        </w:tc>
      </w:tr>
      <w:tr w:rsidR="00337554" w:rsidRPr="00487209" w14:paraId="1A38A7E5" w14:textId="77777777" w:rsidTr="007D5144">
        <w:trPr>
          <w:trHeight w:val="1970"/>
          <w:jc w:val="center"/>
        </w:trPr>
        <w:tc>
          <w:tcPr>
            <w:tcW w:w="435" w:type="pct"/>
            <w:shd w:val="clear" w:color="auto" w:fill="auto"/>
            <w:vAlign w:val="center"/>
          </w:tcPr>
          <w:p w14:paraId="2BA25436" w14:textId="77777777" w:rsidR="00795265" w:rsidRPr="00487209" w:rsidRDefault="0079526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12.1.(a)</w:t>
            </w:r>
          </w:p>
        </w:tc>
        <w:tc>
          <w:tcPr>
            <w:tcW w:w="1369" w:type="pct"/>
            <w:gridSpan w:val="2"/>
            <w:shd w:val="clear" w:color="auto" w:fill="auto"/>
            <w:vAlign w:val="center"/>
          </w:tcPr>
          <w:p w14:paraId="0D855816" w14:textId="77777777" w:rsidR="00795265" w:rsidRPr="00487209" w:rsidRDefault="00795265"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An authorised representative shall perform the tasks specified in the mandate. The mandate shall allow the authorised representative to carry out at least the following tasks:</w:t>
            </w:r>
          </w:p>
          <w:p w14:paraId="4F910DDF" w14:textId="77777777" w:rsidR="00795265" w:rsidRPr="00487209" w:rsidRDefault="00795265"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keep the declaration of performance and the technical documentation at the disposal of national surveillance authorities for the period referred to in Article 11(2);</w:t>
            </w:r>
          </w:p>
          <w:p w14:paraId="0ACE019A" w14:textId="77777777" w:rsidR="00795265" w:rsidRPr="00487209" w:rsidRDefault="00795265" w:rsidP="006C6323">
            <w:pPr>
              <w:jc w:val="both"/>
              <w:rPr>
                <w:rFonts w:ascii="Times New Roman" w:hAnsi="Times New Roman" w:cs="Times New Roman"/>
                <w:sz w:val="18"/>
                <w:szCs w:val="18"/>
                <w:lang w:val="sr-Cyrl-CS"/>
              </w:rPr>
            </w:pPr>
          </w:p>
        </w:tc>
        <w:tc>
          <w:tcPr>
            <w:tcW w:w="429" w:type="pct"/>
            <w:shd w:val="clear" w:color="auto" w:fill="auto"/>
            <w:vAlign w:val="center"/>
          </w:tcPr>
          <w:p w14:paraId="71D334C3"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71A323D7" w14:textId="1DF574B5" w:rsidR="00795265" w:rsidRDefault="002E2BE1" w:rsidP="006C6323">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14.1.</w:t>
            </w:r>
          </w:p>
          <w:p w14:paraId="17617D93" w14:textId="6FB8AD5D" w:rsidR="002E2BE1" w:rsidRPr="002E2BE1" w:rsidRDefault="002E2BE1" w:rsidP="006C6323">
            <w:pPr>
              <w:spacing w:before="120" w:after="120"/>
              <w:ind w:firstLine="5"/>
              <w:jc w:val="center"/>
              <w:rPr>
                <w:rFonts w:ascii="Times New Roman" w:hAnsi="Times New Roman" w:cs="Times New Roman"/>
                <w:sz w:val="18"/>
                <w:szCs w:val="18"/>
                <w:lang w:val="ru-RU"/>
              </w:rPr>
            </w:pPr>
            <w:r w:rsidRPr="00B50024">
              <w:rPr>
                <w:rFonts w:ascii="Times New Roman" w:hAnsi="Times New Roman" w:cs="Times New Roman"/>
                <w:sz w:val="18"/>
                <w:szCs w:val="18"/>
              </w:rPr>
              <w:t>14.1.1)</w:t>
            </w:r>
          </w:p>
        </w:tc>
        <w:tc>
          <w:tcPr>
            <w:tcW w:w="1231" w:type="pct"/>
            <w:gridSpan w:val="2"/>
            <w:shd w:val="clear" w:color="auto" w:fill="auto"/>
            <w:vAlign w:val="center"/>
          </w:tcPr>
          <w:p w14:paraId="31185413" w14:textId="77777777" w:rsidR="002E2BE1" w:rsidRDefault="002E2BE1" w:rsidP="00B50024">
            <w:pPr>
              <w:pStyle w:val="Style7"/>
              <w:spacing w:after="0" w:line="240" w:lineRule="auto"/>
              <w:ind w:right="-23"/>
              <w:jc w:val="both"/>
              <w:rPr>
                <w:sz w:val="18"/>
                <w:szCs w:val="18"/>
              </w:rPr>
            </w:pPr>
          </w:p>
          <w:p w14:paraId="13A49F02" w14:textId="38DA7DC9" w:rsidR="002E2BE1" w:rsidRPr="002E2BE1" w:rsidRDefault="002E2BE1" w:rsidP="00B50024">
            <w:pPr>
              <w:pStyle w:val="Style7"/>
              <w:spacing w:after="0" w:line="240" w:lineRule="auto"/>
              <w:ind w:right="-23"/>
              <w:jc w:val="both"/>
              <w:rPr>
                <w:sz w:val="18"/>
                <w:szCs w:val="18"/>
              </w:rPr>
            </w:pPr>
            <w:r w:rsidRPr="002E2BE1">
              <w:rPr>
                <w:sz w:val="18"/>
                <w:szCs w:val="18"/>
              </w:rPr>
              <w:t>Произвођач може да овласти заступника писаним овлашћењем да обавља најмање следеће послове:</w:t>
            </w:r>
          </w:p>
          <w:p w14:paraId="2D74BE09" w14:textId="330598DF" w:rsidR="002E2BE1" w:rsidRPr="002E2BE1" w:rsidRDefault="002E2BE1" w:rsidP="00B50024">
            <w:pPr>
              <w:pStyle w:val="Style7"/>
              <w:numPr>
                <w:ilvl w:val="0"/>
                <w:numId w:val="92"/>
              </w:numPr>
              <w:spacing w:after="0" w:line="240" w:lineRule="auto"/>
              <w:ind w:right="-23"/>
              <w:jc w:val="both"/>
              <w:rPr>
                <w:sz w:val="18"/>
                <w:szCs w:val="18"/>
              </w:rPr>
            </w:pPr>
            <w:r w:rsidRPr="002E2BE1">
              <w:rPr>
                <w:sz w:val="18"/>
                <w:szCs w:val="18"/>
              </w:rPr>
              <w:t>ставља на располагање надлежним органима тржишног надзора декларацију о перформансама и техничку документацију током периода наведеног у члану 13. ст. 3. и 4. овог закона;</w:t>
            </w:r>
          </w:p>
          <w:p w14:paraId="2CA12126" w14:textId="77777777" w:rsidR="00795265" w:rsidRPr="00487209" w:rsidRDefault="00795265" w:rsidP="002E2BE1">
            <w:pPr>
              <w:jc w:val="both"/>
              <w:rPr>
                <w:rFonts w:ascii="Times New Roman" w:hAnsi="Times New Roman" w:cs="Times New Roman"/>
                <w:sz w:val="18"/>
                <w:szCs w:val="18"/>
                <w:lang w:val="sr-Cyrl-CS"/>
              </w:rPr>
            </w:pPr>
          </w:p>
        </w:tc>
        <w:tc>
          <w:tcPr>
            <w:tcW w:w="458" w:type="pct"/>
            <w:shd w:val="clear" w:color="auto" w:fill="auto"/>
            <w:vAlign w:val="center"/>
          </w:tcPr>
          <w:p w14:paraId="3C817A42" w14:textId="77777777" w:rsidR="00795265" w:rsidRPr="00487209" w:rsidRDefault="00795265"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4E3C0C71" w14:textId="77777777" w:rsidR="00795265" w:rsidRPr="00487209" w:rsidRDefault="00795265"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0B63C6A" w14:textId="77777777" w:rsidR="00795265" w:rsidRPr="00487209" w:rsidRDefault="00795265" w:rsidP="006C6323">
            <w:pPr>
              <w:spacing w:before="120" w:after="120"/>
              <w:jc w:val="center"/>
              <w:rPr>
                <w:rFonts w:ascii="Times New Roman" w:hAnsi="Times New Roman" w:cs="Times New Roman"/>
                <w:sz w:val="18"/>
                <w:szCs w:val="18"/>
                <w:lang w:val="sr-Cyrl-CS"/>
              </w:rPr>
            </w:pPr>
          </w:p>
        </w:tc>
      </w:tr>
      <w:tr w:rsidR="00337554" w:rsidRPr="00487209" w14:paraId="35A5FADD" w14:textId="77777777" w:rsidTr="007D5144">
        <w:trPr>
          <w:trHeight w:val="1970"/>
          <w:jc w:val="center"/>
        </w:trPr>
        <w:tc>
          <w:tcPr>
            <w:tcW w:w="435" w:type="pct"/>
            <w:shd w:val="clear" w:color="auto" w:fill="auto"/>
            <w:vAlign w:val="center"/>
          </w:tcPr>
          <w:p w14:paraId="0A8DB990" w14:textId="77777777" w:rsidR="00795265" w:rsidRPr="00487209" w:rsidRDefault="0079526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12.1.(b)</w:t>
            </w:r>
          </w:p>
        </w:tc>
        <w:tc>
          <w:tcPr>
            <w:tcW w:w="1369" w:type="pct"/>
            <w:gridSpan w:val="2"/>
            <w:shd w:val="clear" w:color="auto" w:fill="auto"/>
            <w:vAlign w:val="center"/>
          </w:tcPr>
          <w:p w14:paraId="7A1473B8" w14:textId="77777777" w:rsidR="00795265" w:rsidRPr="00487209" w:rsidRDefault="00795265" w:rsidP="006C6323">
            <w:pPr>
              <w:jc w:val="both"/>
              <w:rPr>
                <w:rFonts w:ascii="Times New Roman" w:hAnsi="Times New Roman" w:cs="Times New Roman"/>
                <w:sz w:val="18"/>
                <w:szCs w:val="18"/>
              </w:rPr>
            </w:pPr>
            <w:r w:rsidRPr="00487209">
              <w:rPr>
                <w:rFonts w:ascii="Times New Roman" w:hAnsi="Times New Roman" w:cs="Times New Roman"/>
                <w:sz w:val="18"/>
                <w:szCs w:val="18"/>
              </w:rPr>
              <w:t>further to a reasoned request from a competent national authority, provide that authority with all the information and documentation necessary to demonstrate the conformity of the construction product with the declaration of performance and compliance with other applicable requirements in this Regulation;</w:t>
            </w:r>
          </w:p>
        </w:tc>
        <w:tc>
          <w:tcPr>
            <w:tcW w:w="429" w:type="pct"/>
            <w:shd w:val="clear" w:color="auto" w:fill="auto"/>
            <w:vAlign w:val="center"/>
          </w:tcPr>
          <w:p w14:paraId="4E9C2309"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3D799CC8" w14:textId="06C6103F" w:rsidR="00795265" w:rsidRPr="00487209" w:rsidRDefault="00795265" w:rsidP="002E2BE1">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14.</w:t>
            </w:r>
            <w:r w:rsidR="002E2BE1">
              <w:rPr>
                <w:rFonts w:ascii="Times New Roman" w:hAnsi="Times New Roman" w:cs="Times New Roman"/>
                <w:sz w:val="18"/>
                <w:szCs w:val="18"/>
                <w:lang w:val="ru-RU"/>
              </w:rPr>
              <w:t>1</w:t>
            </w:r>
            <w:r w:rsidRPr="00487209">
              <w:rPr>
                <w:rFonts w:ascii="Times New Roman" w:hAnsi="Times New Roman" w:cs="Times New Roman"/>
                <w:sz w:val="18"/>
                <w:szCs w:val="18"/>
                <w:lang w:val="ru-RU"/>
              </w:rPr>
              <w:t>.2)</w:t>
            </w:r>
          </w:p>
        </w:tc>
        <w:tc>
          <w:tcPr>
            <w:tcW w:w="1231" w:type="pct"/>
            <w:gridSpan w:val="2"/>
            <w:shd w:val="clear" w:color="auto" w:fill="auto"/>
            <w:vAlign w:val="center"/>
          </w:tcPr>
          <w:p w14:paraId="7D8072F4" w14:textId="77777777" w:rsidR="00501260" w:rsidRPr="00487209" w:rsidRDefault="00501260" w:rsidP="006C6323">
            <w:pPr>
              <w:pStyle w:val="Style29"/>
              <w:spacing w:before="120"/>
              <w:ind w:right="-23"/>
              <w:jc w:val="both"/>
              <w:outlineLvl w:val="3"/>
              <w:rPr>
                <w:rStyle w:val="FontStyle41"/>
                <w:rFonts w:ascii="Times New Roman" w:hAnsi="Times New Roman" w:cs="Times New Roman"/>
                <w:sz w:val="18"/>
                <w:szCs w:val="18"/>
              </w:rPr>
            </w:pPr>
          </w:p>
          <w:p w14:paraId="4280EE6D" w14:textId="050FCF65" w:rsidR="00142E68" w:rsidRPr="00487209" w:rsidRDefault="002E2BE1" w:rsidP="00B50024">
            <w:pPr>
              <w:pStyle w:val="Style29"/>
              <w:numPr>
                <w:ilvl w:val="0"/>
                <w:numId w:val="92"/>
              </w:numPr>
              <w:spacing w:before="120"/>
              <w:ind w:right="-23"/>
              <w:jc w:val="both"/>
              <w:outlineLvl w:val="3"/>
              <w:rPr>
                <w:rFonts w:ascii="Times New Roman" w:hAnsi="Times New Roman"/>
                <w:sz w:val="18"/>
                <w:szCs w:val="18"/>
                <w:lang w:val="sr-Cyrl-CS"/>
              </w:rPr>
            </w:pPr>
            <w:r w:rsidRPr="002E2BE1">
              <w:rPr>
                <w:rStyle w:val="FontStyle41"/>
                <w:rFonts w:ascii="Times New Roman" w:hAnsi="Times New Roman" w:cs="Times New Roman"/>
                <w:sz w:val="18"/>
                <w:szCs w:val="18"/>
              </w:rPr>
              <w:t>на образложени захтев надлежног органа тржишног надзора, пружа том органу све информације и документацију неопходну за доказивање усаглашености грађевинског производа са декларацијом о перформансама и усклађености са другим важећим захтевима из овог закона;</w:t>
            </w:r>
          </w:p>
        </w:tc>
        <w:tc>
          <w:tcPr>
            <w:tcW w:w="458" w:type="pct"/>
            <w:shd w:val="clear" w:color="auto" w:fill="auto"/>
            <w:vAlign w:val="center"/>
          </w:tcPr>
          <w:p w14:paraId="6747ACDA" w14:textId="77777777" w:rsidR="00795265" w:rsidRPr="00487209" w:rsidRDefault="00795265"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43BF1E8E" w14:textId="77777777" w:rsidR="00795265" w:rsidRPr="00487209" w:rsidRDefault="00795265"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160414FD" w14:textId="77777777" w:rsidR="00795265" w:rsidRPr="00487209" w:rsidRDefault="00795265" w:rsidP="006C6323">
            <w:pPr>
              <w:spacing w:before="120" w:after="120"/>
              <w:jc w:val="center"/>
              <w:rPr>
                <w:rFonts w:ascii="Times New Roman" w:hAnsi="Times New Roman" w:cs="Times New Roman"/>
                <w:sz w:val="18"/>
                <w:szCs w:val="18"/>
                <w:lang w:val="ru-RU"/>
              </w:rPr>
            </w:pPr>
          </w:p>
        </w:tc>
      </w:tr>
      <w:tr w:rsidR="00337554" w:rsidRPr="00487209" w14:paraId="425CBBA8" w14:textId="77777777" w:rsidTr="007D5144">
        <w:trPr>
          <w:trHeight w:val="1970"/>
          <w:jc w:val="center"/>
        </w:trPr>
        <w:tc>
          <w:tcPr>
            <w:tcW w:w="435" w:type="pct"/>
            <w:shd w:val="clear" w:color="auto" w:fill="auto"/>
            <w:vAlign w:val="center"/>
          </w:tcPr>
          <w:p w14:paraId="3B95B8AB" w14:textId="77777777" w:rsidR="00795265" w:rsidRPr="00487209" w:rsidRDefault="0079526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12.1.(c)</w:t>
            </w:r>
          </w:p>
        </w:tc>
        <w:tc>
          <w:tcPr>
            <w:tcW w:w="1369" w:type="pct"/>
            <w:gridSpan w:val="2"/>
            <w:shd w:val="clear" w:color="auto" w:fill="auto"/>
            <w:vAlign w:val="center"/>
          </w:tcPr>
          <w:p w14:paraId="79DA3D6D" w14:textId="77777777" w:rsidR="00795265" w:rsidRPr="00487209" w:rsidRDefault="00795265" w:rsidP="006C6323">
            <w:pPr>
              <w:jc w:val="both"/>
              <w:rPr>
                <w:rFonts w:ascii="Times New Roman" w:hAnsi="Times New Roman" w:cs="Times New Roman"/>
                <w:sz w:val="18"/>
                <w:szCs w:val="18"/>
              </w:rPr>
            </w:pPr>
            <w:r w:rsidRPr="00487209">
              <w:rPr>
                <w:rFonts w:ascii="Times New Roman" w:hAnsi="Times New Roman" w:cs="Times New Roman"/>
                <w:sz w:val="18"/>
                <w:szCs w:val="18"/>
              </w:rPr>
              <w:t>cooperate with the competent national authorities, at their request, on any action taken to eliminate the risks posed by construction products covered by the mandate of the authorised representative.</w:t>
            </w:r>
          </w:p>
        </w:tc>
        <w:tc>
          <w:tcPr>
            <w:tcW w:w="429" w:type="pct"/>
            <w:shd w:val="clear" w:color="auto" w:fill="auto"/>
            <w:vAlign w:val="center"/>
          </w:tcPr>
          <w:p w14:paraId="56F8F665"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1DEE2EFC" w14:textId="67B8E2AF" w:rsidR="00795265" w:rsidRPr="00487209" w:rsidRDefault="00795265" w:rsidP="002E2BE1">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14.</w:t>
            </w:r>
            <w:r w:rsidR="002E2BE1">
              <w:rPr>
                <w:rFonts w:ascii="Times New Roman" w:hAnsi="Times New Roman" w:cs="Times New Roman"/>
                <w:sz w:val="18"/>
                <w:szCs w:val="18"/>
                <w:lang w:val="ru-RU"/>
              </w:rPr>
              <w:t>2</w:t>
            </w:r>
            <w:r w:rsidRPr="00487209">
              <w:rPr>
                <w:rFonts w:ascii="Times New Roman" w:hAnsi="Times New Roman" w:cs="Times New Roman"/>
                <w:sz w:val="18"/>
                <w:szCs w:val="18"/>
                <w:lang w:val="ru-RU"/>
              </w:rPr>
              <w:t>.3)</w:t>
            </w:r>
          </w:p>
        </w:tc>
        <w:tc>
          <w:tcPr>
            <w:tcW w:w="1231" w:type="pct"/>
            <w:gridSpan w:val="2"/>
            <w:shd w:val="clear" w:color="auto" w:fill="auto"/>
            <w:vAlign w:val="center"/>
          </w:tcPr>
          <w:p w14:paraId="558D2DD9" w14:textId="4E0E227D" w:rsidR="00795265" w:rsidRPr="00487209" w:rsidRDefault="00DC537F" w:rsidP="006C6323">
            <w:pPr>
              <w:pStyle w:val="Style29"/>
              <w:spacing w:before="120"/>
              <w:ind w:right="-23"/>
              <w:jc w:val="both"/>
              <w:outlineLvl w:val="3"/>
              <w:rPr>
                <w:rFonts w:ascii="Times New Roman" w:hAnsi="Times New Roman"/>
                <w:sz w:val="18"/>
                <w:szCs w:val="18"/>
                <w:lang w:val="sr-Cyrl-CS"/>
              </w:rPr>
            </w:pPr>
            <w:r w:rsidRPr="00487209">
              <w:rPr>
                <w:rFonts w:ascii="Times New Roman" w:hAnsi="Times New Roman"/>
                <w:sz w:val="18"/>
                <w:szCs w:val="18"/>
              </w:rPr>
              <w:t>сарађује са надлежним органима</w:t>
            </w:r>
            <w:r w:rsidR="002E2BE1">
              <w:rPr>
                <w:rFonts w:ascii="Times New Roman" w:hAnsi="Times New Roman"/>
                <w:sz w:val="18"/>
                <w:szCs w:val="18"/>
                <w:lang w:val="sr-Cyrl-CS"/>
              </w:rPr>
              <w:t xml:space="preserve"> т</w:t>
            </w:r>
            <w:r w:rsidR="00B50024">
              <w:rPr>
                <w:rFonts w:ascii="Times New Roman" w:hAnsi="Times New Roman"/>
                <w:sz w:val="18"/>
                <w:szCs w:val="18"/>
                <w:lang w:val="sr-Cyrl-CS"/>
              </w:rPr>
              <w:t>р</w:t>
            </w:r>
            <w:r w:rsidR="002E2BE1">
              <w:rPr>
                <w:rFonts w:ascii="Times New Roman" w:hAnsi="Times New Roman"/>
                <w:sz w:val="18"/>
                <w:szCs w:val="18"/>
                <w:lang w:val="sr-Cyrl-CS"/>
              </w:rPr>
              <w:t>жишног надзора</w:t>
            </w:r>
            <w:r w:rsidRPr="00487209">
              <w:rPr>
                <w:rFonts w:ascii="Times New Roman" w:hAnsi="Times New Roman"/>
                <w:sz w:val="18"/>
                <w:szCs w:val="18"/>
              </w:rPr>
              <w:t>, на њихов захтев, у свакој активности која се предузима ради уклањања ризика који представљају грађевински производи обухваћени овлашћењем заступника.</w:t>
            </w:r>
          </w:p>
        </w:tc>
        <w:tc>
          <w:tcPr>
            <w:tcW w:w="458" w:type="pct"/>
            <w:shd w:val="clear" w:color="auto" w:fill="auto"/>
            <w:vAlign w:val="center"/>
          </w:tcPr>
          <w:p w14:paraId="2424AF6E" w14:textId="77777777" w:rsidR="00795265" w:rsidRPr="00487209" w:rsidRDefault="00795265"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2E6AE162" w14:textId="77777777" w:rsidR="00795265" w:rsidRPr="00487209" w:rsidRDefault="00795265"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5553EF2" w14:textId="77777777" w:rsidR="00795265" w:rsidRPr="00487209" w:rsidRDefault="00795265" w:rsidP="006C6323">
            <w:pPr>
              <w:spacing w:before="120" w:after="120"/>
              <w:jc w:val="center"/>
              <w:rPr>
                <w:rFonts w:ascii="Times New Roman" w:hAnsi="Times New Roman" w:cs="Times New Roman"/>
                <w:sz w:val="18"/>
                <w:szCs w:val="18"/>
                <w:lang w:val="ru-RU"/>
              </w:rPr>
            </w:pPr>
          </w:p>
        </w:tc>
      </w:tr>
      <w:tr w:rsidR="00337554" w:rsidRPr="00487209" w14:paraId="2D370DB1" w14:textId="77777777" w:rsidTr="007D5144">
        <w:trPr>
          <w:trHeight w:val="1970"/>
          <w:jc w:val="center"/>
        </w:trPr>
        <w:tc>
          <w:tcPr>
            <w:tcW w:w="435" w:type="pct"/>
            <w:shd w:val="clear" w:color="auto" w:fill="auto"/>
            <w:vAlign w:val="center"/>
          </w:tcPr>
          <w:p w14:paraId="7A97EB87" w14:textId="77777777" w:rsidR="00795265" w:rsidRPr="00487209" w:rsidRDefault="0079526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13.1.</w:t>
            </w:r>
          </w:p>
        </w:tc>
        <w:tc>
          <w:tcPr>
            <w:tcW w:w="1369" w:type="pct"/>
            <w:gridSpan w:val="2"/>
            <w:shd w:val="clear" w:color="auto" w:fill="auto"/>
            <w:vAlign w:val="center"/>
          </w:tcPr>
          <w:p w14:paraId="31338F88" w14:textId="77777777" w:rsidR="00795265" w:rsidRPr="00487209" w:rsidRDefault="00795265" w:rsidP="006C6323">
            <w:pPr>
              <w:jc w:val="both"/>
              <w:rPr>
                <w:rFonts w:ascii="Times New Roman" w:hAnsi="Times New Roman" w:cs="Times New Roman"/>
                <w:sz w:val="18"/>
                <w:szCs w:val="18"/>
              </w:rPr>
            </w:pPr>
            <w:r w:rsidRPr="00487209">
              <w:rPr>
                <w:rFonts w:ascii="Times New Roman" w:hAnsi="Times New Roman" w:cs="Times New Roman"/>
                <w:sz w:val="18"/>
                <w:szCs w:val="18"/>
              </w:rPr>
              <w:t>Importers shall place on the Union market only construction products which are compliant with the applicable requirements of this Regulation.</w:t>
            </w:r>
          </w:p>
        </w:tc>
        <w:tc>
          <w:tcPr>
            <w:tcW w:w="429" w:type="pct"/>
            <w:shd w:val="clear" w:color="auto" w:fill="auto"/>
            <w:vAlign w:val="center"/>
          </w:tcPr>
          <w:p w14:paraId="281170A3"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46E504F9" w14:textId="77777777" w:rsidR="00795265" w:rsidRPr="00487209" w:rsidRDefault="00795265"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15.1.</w:t>
            </w:r>
          </w:p>
        </w:tc>
        <w:tc>
          <w:tcPr>
            <w:tcW w:w="1231" w:type="pct"/>
            <w:gridSpan w:val="2"/>
            <w:shd w:val="clear" w:color="auto" w:fill="auto"/>
            <w:vAlign w:val="center"/>
          </w:tcPr>
          <w:p w14:paraId="5AFCA9D5" w14:textId="77777777" w:rsidR="00DC537F" w:rsidRPr="00487209" w:rsidRDefault="00DC537F" w:rsidP="006C6323">
            <w:pPr>
              <w:pStyle w:val="Style7"/>
              <w:spacing w:before="120" w:after="0" w:line="240" w:lineRule="auto"/>
              <w:ind w:right="-23"/>
              <w:jc w:val="both"/>
              <w:rPr>
                <w:sz w:val="18"/>
                <w:szCs w:val="18"/>
              </w:rPr>
            </w:pPr>
            <w:r w:rsidRPr="00487209">
              <w:rPr>
                <w:sz w:val="18"/>
                <w:szCs w:val="18"/>
              </w:rPr>
              <w:t xml:space="preserve">Увозник ставља на тржиште Републике Србије само грађевинске производе који су усклађени са захтевима утврђеним овим </w:t>
            </w:r>
            <w:r w:rsidRPr="00487209">
              <w:rPr>
                <w:sz w:val="18"/>
                <w:szCs w:val="18"/>
                <w:shd w:val="clear" w:color="auto" w:fill="D6E3BC" w:themeFill="accent3" w:themeFillTint="66"/>
              </w:rPr>
              <w:t>законом</w:t>
            </w:r>
            <w:r w:rsidRPr="00487209">
              <w:rPr>
                <w:sz w:val="18"/>
                <w:szCs w:val="18"/>
              </w:rPr>
              <w:t>.</w:t>
            </w:r>
          </w:p>
          <w:p w14:paraId="2A0C475E" w14:textId="77777777" w:rsidR="00795265" w:rsidRPr="00487209" w:rsidRDefault="00795265" w:rsidP="006C6323">
            <w:pPr>
              <w:jc w:val="center"/>
              <w:rPr>
                <w:rFonts w:ascii="Times New Roman" w:hAnsi="Times New Roman" w:cs="Times New Roman"/>
                <w:b/>
                <w:sz w:val="18"/>
                <w:szCs w:val="18"/>
                <w:lang w:val="sr-Cyrl-CS"/>
              </w:rPr>
            </w:pPr>
          </w:p>
        </w:tc>
        <w:tc>
          <w:tcPr>
            <w:tcW w:w="458" w:type="pct"/>
            <w:shd w:val="clear" w:color="auto" w:fill="auto"/>
            <w:vAlign w:val="center"/>
          </w:tcPr>
          <w:p w14:paraId="341AA5B5" w14:textId="77777777" w:rsidR="00795265" w:rsidRPr="00487209" w:rsidRDefault="00795265"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ДУ</w:t>
            </w:r>
          </w:p>
        </w:tc>
        <w:tc>
          <w:tcPr>
            <w:tcW w:w="598" w:type="pct"/>
            <w:gridSpan w:val="2"/>
            <w:shd w:val="clear" w:color="auto" w:fill="auto"/>
            <w:vAlign w:val="center"/>
          </w:tcPr>
          <w:p w14:paraId="0EA69109" w14:textId="7EBAF025" w:rsidR="00731289" w:rsidRPr="00487209" w:rsidRDefault="00084849" w:rsidP="008111AF">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795265" w:rsidRPr="00487209">
              <w:rPr>
                <w:rFonts w:ascii="Times New Roman" w:hAnsi="Times New Roman" w:cs="Times New Roman"/>
                <w:sz w:val="18"/>
                <w:szCs w:val="18"/>
                <w:lang w:val="ru-RU"/>
              </w:rPr>
              <w:t xml:space="preserve"> 15.</w:t>
            </w:r>
            <w:r>
              <w:rPr>
                <w:rFonts w:ascii="Times New Roman" w:hAnsi="Times New Roman" w:cs="Times New Roman"/>
                <w:sz w:val="18"/>
                <w:szCs w:val="18"/>
                <w:lang w:val="ru-RU"/>
              </w:rPr>
              <w:t xml:space="preserve"> став</w:t>
            </w:r>
            <w:r w:rsidR="00080F10" w:rsidRPr="00487209">
              <w:rPr>
                <w:rFonts w:ascii="Times New Roman" w:hAnsi="Times New Roman" w:cs="Times New Roman"/>
                <w:sz w:val="18"/>
                <w:szCs w:val="18"/>
                <w:lang w:val="ru-RU"/>
              </w:rPr>
              <w:t xml:space="preserve"> </w:t>
            </w:r>
            <w:r w:rsidR="00795265" w:rsidRPr="00487209">
              <w:rPr>
                <w:rFonts w:ascii="Times New Roman" w:hAnsi="Times New Roman" w:cs="Times New Roman"/>
                <w:sz w:val="18"/>
                <w:szCs w:val="18"/>
                <w:lang w:val="ru-RU"/>
              </w:rPr>
              <w:t xml:space="preserve">1.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sidR="00795265" w:rsidRPr="00487209">
              <w:rPr>
                <w:rFonts w:ascii="Times New Roman" w:hAnsi="Times New Roman" w:cs="Times New Roman"/>
                <w:sz w:val="18"/>
                <w:szCs w:val="18"/>
                <w:lang w:val="ru-RU"/>
              </w:rPr>
              <w:t xml:space="preserve"> ј</w:t>
            </w:r>
            <w:r>
              <w:rPr>
                <w:rFonts w:ascii="Times New Roman" w:hAnsi="Times New Roman" w:cs="Times New Roman"/>
                <w:sz w:val="18"/>
                <w:szCs w:val="18"/>
                <w:lang w:val="ru-RU"/>
              </w:rPr>
              <w:t>е делимично усклађен са чланом</w:t>
            </w:r>
            <w:r w:rsidR="00795265" w:rsidRPr="00487209">
              <w:rPr>
                <w:rFonts w:ascii="Times New Roman" w:hAnsi="Times New Roman" w:cs="Times New Roman"/>
                <w:sz w:val="18"/>
                <w:szCs w:val="18"/>
                <w:lang w:val="ru-RU"/>
              </w:rPr>
              <w:t xml:space="preserve"> 13.1. </w:t>
            </w:r>
            <w:r w:rsidR="00795265" w:rsidRPr="00487209">
              <w:rPr>
                <w:rFonts w:ascii="Times New Roman" w:hAnsi="Times New Roman" w:cs="Times New Roman"/>
                <w:sz w:val="18"/>
                <w:szCs w:val="18"/>
                <w:lang w:val="sr-Cyrl-CS"/>
              </w:rPr>
              <w:t>Уредбе 305/2011 (ЕУ), због статуса нечланице.  Потпуно усклађивање биће могуће након приступања ЕУ.</w:t>
            </w:r>
          </w:p>
        </w:tc>
        <w:tc>
          <w:tcPr>
            <w:tcW w:w="480" w:type="pct"/>
            <w:shd w:val="clear" w:color="auto" w:fill="auto"/>
            <w:vAlign w:val="center"/>
          </w:tcPr>
          <w:p w14:paraId="2716B554" w14:textId="77777777" w:rsidR="00795265" w:rsidRPr="00487209" w:rsidRDefault="00795265" w:rsidP="006C6323">
            <w:pPr>
              <w:spacing w:before="120" w:after="120"/>
              <w:jc w:val="center"/>
              <w:rPr>
                <w:rFonts w:ascii="Times New Roman" w:hAnsi="Times New Roman" w:cs="Times New Roman"/>
                <w:sz w:val="18"/>
                <w:szCs w:val="18"/>
                <w:lang w:val="ru-RU"/>
              </w:rPr>
            </w:pPr>
          </w:p>
        </w:tc>
      </w:tr>
      <w:tr w:rsidR="00337554" w:rsidRPr="00487209" w14:paraId="5B49EF3B" w14:textId="77777777" w:rsidTr="007D5144">
        <w:trPr>
          <w:trHeight w:val="1970"/>
          <w:jc w:val="center"/>
        </w:trPr>
        <w:tc>
          <w:tcPr>
            <w:tcW w:w="435" w:type="pct"/>
            <w:shd w:val="clear" w:color="auto" w:fill="auto"/>
            <w:vAlign w:val="center"/>
          </w:tcPr>
          <w:p w14:paraId="3414FF4A" w14:textId="77777777" w:rsidR="000174C1" w:rsidRPr="00487209" w:rsidRDefault="000174C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13.2.</w:t>
            </w:r>
          </w:p>
        </w:tc>
        <w:tc>
          <w:tcPr>
            <w:tcW w:w="1369" w:type="pct"/>
            <w:gridSpan w:val="2"/>
            <w:shd w:val="clear" w:color="auto" w:fill="auto"/>
            <w:vAlign w:val="center"/>
          </w:tcPr>
          <w:p w14:paraId="2492985F" w14:textId="77777777" w:rsidR="000174C1" w:rsidRPr="00487209" w:rsidRDefault="000174C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Before placing a construction product on the market, importers shall ensure that the assessment and the verification of constancy of performance has been carried out by the manufacturer. They shall ensure that the manufacturer has drawn up the technical documentation referred to in the second subparagraph of Article 11(1) and the declaration of performance in accordance with Articles 4 and 6. They shall also ensure that the product, where required, bears the CE marking, that the product is accompanied by the required documents and that the manufacturer has complied with the requirements set out in Article 11(4) and (5).</w:t>
            </w:r>
          </w:p>
          <w:p w14:paraId="26EC29DD" w14:textId="77777777" w:rsidR="000174C1" w:rsidRPr="00487209" w:rsidRDefault="000174C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Where an importer considers or has reason to believe that the construction product is not in conformity with the declaration of performance or not in compliance with other applicable requirements in this Regulation, the importer shall not place the construction product on the market until it conforms to the accompanying declaration of performance and it complies with the other applicable requirements in this Regulation or until the declaration of performance is corrected. Furthermore, where the construction product presents a risk, the importer shall inform the manufacturer </w:t>
            </w:r>
            <w:r w:rsidRPr="00487209">
              <w:rPr>
                <w:rFonts w:ascii="Times New Roman" w:hAnsi="Times New Roman" w:cs="Times New Roman"/>
                <w:sz w:val="18"/>
                <w:szCs w:val="18"/>
              </w:rPr>
              <w:t>and</w:t>
            </w:r>
            <w:r w:rsidRPr="00487209">
              <w:rPr>
                <w:rFonts w:ascii="Times New Roman" w:hAnsi="Times New Roman" w:cs="Times New Roman"/>
                <w:sz w:val="18"/>
                <w:szCs w:val="18"/>
                <w:lang w:val="sr-Cyrl-CS"/>
              </w:rPr>
              <w:t xml:space="preserve"> the market surveillance authorities thereof.</w:t>
            </w:r>
          </w:p>
          <w:p w14:paraId="4D0EC359" w14:textId="77777777" w:rsidR="000174C1" w:rsidRPr="00487209" w:rsidRDefault="000174C1" w:rsidP="006C6323">
            <w:pPr>
              <w:jc w:val="both"/>
              <w:rPr>
                <w:rFonts w:ascii="Times New Roman" w:hAnsi="Times New Roman" w:cs="Times New Roman"/>
                <w:sz w:val="18"/>
                <w:szCs w:val="18"/>
                <w:lang w:val="sr-Cyrl-CS"/>
              </w:rPr>
            </w:pPr>
          </w:p>
        </w:tc>
        <w:tc>
          <w:tcPr>
            <w:tcW w:w="429" w:type="pct"/>
            <w:shd w:val="clear" w:color="auto" w:fill="auto"/>
            <w:vAlign w:val="center"/>
          </w:tcPr>
          <w:p w14:paraId="3C02809C" w14:textId="77777777" w:rsidR="00440B6E" w:rsidRPr="00487209" w:rsidRDefault="00440B6E" w:rsidP="006C6323">
            <w:pPr>
              <w:spacing w:before="120" w:after="120"/>
              <w:ind w:firstLine="5"/>
              <w:jc w:val="center"/>
              <w:rPr>
                <w:rFonts w:ascii="Times New Roman" w:hAnsi="Times New Roman" w:cs="Times New Roman"/>
                <w:sz w:val="18"/>
                <w:szCs w:val="18"/>
              </w:rPr>
            </w:pPr>
          </w:p>
          <w:p w14:paraId="401ADEED" w14:textId="77777777" w:rsidR="00A170B1" w:rsidRPr="002E2BE1" w:rsidRDefault="00A170B1" w:rsidP="006C6323">
            <w:pPr>
              <w:spacing w:before="120" w:after="120"/>
              <w:jc w:val="center"/>
              <w:rPr>
                <w:rFonts w:ascii="Times New Roman" w:hAnsi="Times New Roman" w:cs="Times New Roman"/>
                <w:sz w:val="18"/>
                <w:szCs w:val="18"/>
              </w:rPr>
            </w:pPr>
            <w:r w:rsidRPr="002E2BE1">
              <w:rPr>
                <w:rFonts w:ascii="Times New Roman" w:hAnsi="Times New Roman" w:cs="Times New Roman"/>
                <w:sz w:val="18"/>
                <w:szCs w:val="18"/>
              </w:rPr>
              <w:t>01</w:t>
            </w:r>
          </w:p>
          <w:p w14:paraId="11A1C300" w14:textId="1C51D3CD" w:rsidR="000174C1" w:rsidRPr="005E557E" w:rsidRDefault="000174C1" w:rsidP="006C6323">
            <w:pPr>
              <w:spacing w:before="120" w:after="120"/>
              <w:ind w:firstLine="5"/>
              <w:jc w:val="center"/>
              <w:rPr>
                <w:rFonts w:ascii="Times New Roman" w:hAnsi="Times New Roman" w:cs="Times New Roman"/>
                <w:sz w:val="18"/>
                <w:szCs w:val="18"/>
                <w:lang w:val="ru-RU"/>
              </w:rPr>
            </w:pPr>
            <w:r w:rsidRPr="005E557E">
              <w:rPr>
                <w:rFonts w:ascii="Times New Roman" w:hAnsi="Times New Roman" w:cs="Times New Roman"/>
                <w:sz w:val="18"/>
                <w:szCs w:val="18"/>
                <w:lang w:val="ru-RU"/>
              </w:rPr>
              <w:t>15.2.</w:t>
            </w:r>
          </w:p>
          <w:p w14:paraId="390E2532" w14:textId="77777777" w:rsidR="002E2BE1" w:rsidRPr="00B50024" w:rsidRDefault="002E2BE1" w:rsidP="002E2BE1">
            <w:pPr>
              <w:jc w:val="center"/>
              <w:rPr>
                <w:rFonts w:ascii="Times New Roman" w:hAnsi="Times New Roman" w:cs="Times New Roman"/>
                <w:sz w:val="18"/>
                <w:szCs w:val="18"/>
              </w:rPr>
            </w:pPr>
            <w:r w:rsidRPr="00B50024">
              <w:rPr>
                <w:rFonts w:ascii="Times New Roman" w:hAnsi="Times New Roman" w:cs="Times New Roman"/>
                <w:sz w:val="18"/>
                <w:szCs w:val="18"/>
              </w:rPr>
              <w:t>15.2.1)</w:t>
            </w:r>
          </w:p>
          <w:p w14:paraId="6EB5AF3A" w14:textId="77777777" w:rsidR="002E2BE1" w:rsidRPr="00B50024" w:rsidRDefault="002E2BE1" w:rsidP="002E2BE1">
            <w:pPr>
              <w:jc w:val="center"/>
              <w:rPr>
                <w:rFonts w:ascii="Times New Roman" w:hAnsi="Times New Roman" w:cs="Times New Roman"/>
                <w:sz w:val="18"/>
                <w:szCs w:val="18"/>
              </w:rPr>
            </w:pPr>
          </w:p>
          <w:p w14:paraId="4B102986" w14:textId="77777777" w:rsidR="002E2BE1" w:rsidRPr="00B50024" w:rsidRDefault="002E2BE1" w:rsidP="002E2BE1">
            <w:pPr>
              <w:jc w:val="center"/>
              <w:rPr>
                <w:rFonts w:ascii="Times New Roman" w:hAnsi="Times New Roman" w:cs="Times New Roman"/>
                <w:sz w:val="18"/>
                <w:szCs w:val="18"/>
              </w:rPr>
            </w:pPr>
          </w:p>
          <w:p w14:paraId="4615D16C" w14:textId="77777777" w:rsidR="002E2BE1" w:rsidRPr="00B50024" w:rsidRDefault="002E2BE1" w:rsidP="002E2BE1">
            <w:pPr>
              <w:jc w:val="center"/>
              <w:rPr>
                <w:rFonts w:ascii="Times New Roman" w:hAnsi="Times New Roman" w:cs="Times New Roman"/>
                <w:sz w:val="18"/>
                <w:szCs w:val="18"/>
              </w:rPr>
            </w:pPr>
          </w:p>
          <w:p w14:paraId="4E0FEA9C" w14:textId="77777777" w:rsidR="002E2BE1" w:rsidRPr="00B50024" w:rsidRDefault="002E2BE1" w:rsidP="002E2BE1">
            <w:pPr>
              <w:jc w:val="center"/>
              <w:rPr>
                <w:rFonts w:ascii="Times New Roman" w:hAnsi="Times New Roman" w:cs="Times New Roman"/>
                <w:sz w:val="18"/>
                <w:szCs w:val="18"/>
              </w:rPr>
            </w:pPr>
          </w:p>
          <w:p w14:paraId="53A83C5C" w14:textId="77777777" w:rsidR="002E2BE1" w:rsidRPr="00B50024" w:rsidRDefault="002E2BE1" w:rsidP="002E2BE1">
            <w:pPr>
              <w:jc w:val="center"/>
              <w:rPr>
                <w:rFonts w:ascii="Times New Roman" w:hAnsi="Times New Roman" w:cs="Times New Roman"/>
                <w:sz w:val="18"/>
                <w:szCs w:val="18"/>
              </w:rPr>
            </w:pPr>
          </w:p>
          <w:p w14:paraId="78207F84" w14:textId="77777777" w:rsidR="002E2BE1" w:rsidRPr="00B50024" w:rsidRDefault="002E2BE1" w:rsidP="002E2BE1">
            <w:pPr>
              <w:jc w:val="center"/>
              <w:rPr>
                <w:rFonts w:ascii="Times New Roman" w:hAnsi="Times New Roman" w:cs="Times New Roman"/>
                <w:sz w:val="18"/>
                <w:szCs w:val="18"/>
              </w:rPr>
            </w:pPr>
            <w:r w:rsidRPr="00B50024">
              <w:rPr>
                <w:rFonts w:ascii="Times New Roman" w:hAnsi="Times New Roman" w:cs="Times New Roman"/>
                <w:sz w:val="18"/>
                <w:szCs w:val="18"/>
              </w:rPr>
              <w:t>15.2.2)</w:t>
            </w:r>
          </w:p>
          <w:p w14:paraId="11C8F2F3" w14:textId="77777777" w:rsidR="002E2BE1" w:rsidRPr="00B50024" w:rsidRDefault="002E2BE1" w:rsidP="002E2BE1">
            <w:pPr>
              <w:jc w:val="center"/>
              <w:rPr>
                <w:rFonts w:ascii="Times New Roman" w:hAnsi="Times New Roman" w:cs="Times New Roman"/>
                <w:sz w:val="18"/>
                <w:szCs w:val="18"/>
              </w:rPr>
            </w:pPr>
          </w:p>
          <w:p w14:paraId="651D21D4" w14:textId="77777777" w:rsidR="002E2BE1" w:rsidRPr="00B50024" w:rsidRDefault="002E2BE1" w:rsidP="002E2BE1">
            <w:pPr>
              <w:jc w:val="center"/>
              <w:rPr>
                <w:rFonts w:ascii="Times New Roman" w:hAnsi="Times New Roman" w:cs="Times New Roman"/>
                <w:sz w:val="18"/>
                <w:szCs w:val="18"/>
              </w:rPr>
            </w:pPr>
          </w:p>
          <w:p w14:paraId="29A79BC8" w14:textId="77777777" w:rsidR="002E2BE1" w:rsidRPr="00B50024" w:rsidRDefault="002E2BE1" w:rsidP="002E2BE1">
            <w:pPr>
              <w:jc w:val="center"/>
              <w:rPr>
                <w:rFonts w:ascii="Times New Roman" w:hAnsi="Times New Roman" w:cs="Times New Roman"/>
                <w:sz w:val="18"/>
                <w:szCs w:val="18"/>
              </w:rPr>
            </w:pPr>
          </w:p>
          <w:p w14:paraId="1E10125D" w14:textId="77777777" w:rsidR="002E2BE1" w:rsidRPr="00B50024" w:rsidRDefault="002E2BE1" w:rsidP="002E2BE1">
            <w:pPr>
              <w:jc w:val="center"/>
              <w:rPr>
                <w:rFonts w:ascii="Times New Roman" w:hAnsi="Times New Roman" w:cs="Times New Roman"/>
                <w:sz w:val="18"/>
                <w:szCs w:val="18"/>
              </w:rPr>
            </w:pPr>
            <w:r w:rsidRPr="00B50024">
              <w:rPr>
                <w:rFonts w:ascii="Times New Roman" w:hAnsi="Times New Roman" w:cs="Times New Roman"/>
                <w:sz w:val="18"/>
                <w:szCs w:val="18"/>
              </w:rPr>
              <w:t>15.2.3)</w:t>
            </w:r>
          </w:p>
          <w:p w14:paraId="699D30EE" w14:textId="77777777" w:rsidR="002E2BE1" w:rsidRPr="00B50024" w:rsidRDefault="002E2BE1" w:rsidP="002E2BE1">
            <w:pPr>
              <w:jc w:val="center"/>
              <w:rPr>
                <w:rFonts w:ascii="Times New Roman" w:hAnsi="Times New Roman" w:cs="Times New Roman"/>
                <w:sz w:val="18"/>
                <w:szCs w:val="18"/>
              </w:rPr>
            </w:pPr>
          </w:p>
          <w:p w14:paraId="4E6B0EAD" w14:textId="77777777" w:rsidR="002E2BE1" w:rsidRPr="00B50024" w:rsidRDefault="002E2BE1" w:rsidP="002E2BE1">
            <w:pPr>
              <w:jc w:val="center"/>
              <w:rPr>
                <w:rFonts w:ascii="Times New Roman" w:hAnsi="Times New Roman" w:cs="Times New Roman"/>
                <w:sz w:val="18"/>
                <w:szCs w:val="18"/>
              </w:rPr>
            </w:pPr>
          </w:p>
          <w:p w14:paraId="7C1ED21E" w14:textId="77777777" w:rsidR="002E2BE1" w:rsidRPr="00B50024" w:rsidRDefault="002E2BE1" w:rsidP="002E2BE1">
            <w:pPr>
              <w:jc w:val="center"/>
              <w:rPr>
                <w:rFonts w:ascii="Times New Roman" w:hAnsi="Times New Roman" w:cs="Times New Roman"/>
                <w:sz w:val="18"/>
                <w:szCs w:val="18"/>
              </w:rPr>
            </w:pPr>
          </w:p>
          <w:p w14:paraId="456FCFD8" w14:textId="77777777" w:rsidR="002E2BE1" w:rsidRPr="00B50024" w:rsidRDefault="002E2BE1" w:rsidP="002E2BE1">
            <w:pPr>
              <w:jc w:val="center"/>
              <w:rPr>
                <w:rFonts w:ascii="Times New Roman" w:hAnsi="Times New Roman" w:cs="Times New Roman"/>
                <w:sz w:val="18"/>
                <w:szCs w:val="18"/>
              </w:rPr>
            </w:pPr>
          </w:p>
          <w:p w14:paraId="6D85708D" w14:textId="77777777" w:rsidR="002E2BE1" w:rsidRPr="00B50024" w:rsidRDefault="002E2BE1" w:rsidP="002E2BE1">
            <w:pPr>
              <w:jc w:val="center"/>
              <w:rPr>
                <w:rFonts w:ascii="Times New Roman" w:hAnsi="Times New Roman" w:cs="Times New Roman"/>
                <w:sz w:val="18"/>
                <w:szCs w:val="18"/>
              </w:rPr>
            </w:pPr>
            <w:r w:rsidRPr="00B50024">
              <w:rPr>
                <w:rFonts w:ascii="Times New Roman" w:hAnsi="Times New Roman" w:cs="Times New Roman"/>
                <w:sz w:val="18"/>
                <w:szCs w:val="18"/>
              </w:rPr>
              <w:t>15.2.4)</w:t>
            </w:r>
          </w:p>
          <w:p w14:paraId="333BBE52" w14:textId="77777777" w:rsidR="002E2BE1" w:rsidRPr="00B50024" w:rsidRDefault="002E2BE1" w:rsidP="002E2BE1">
            <w:pPr>
              <w:jc w:val="center"/>
              <w:rPr>
                <w:rFonts w:ascii="Times New Roman" w:hAnsi="Times New Roman" w:cs="Times New Roman"/>
                <w:sz w:val="18"/>
                <w:szCs w:val="18"/>
              </w:rPr>
            </w:pPr>
          </w:p>
          <w:p w14:paraId="16011540" w14:textId="77777777" w:rsidR="002E2BE1" w:rsidRPr="00B50024" w:rsidRDefault="002E2BE1" w:rsidP="002E2BE1">
            <w:pPr>
              <w:jc w:val="center"/>
              <w:rPr>
                <w:rFonts w:ascii="Times New Roman" w:hAnsi="Times New Roman" w:cs="Times New Roman"/>
                <w:sz w:val="18"/>
                <w:szCs w:val="18"/>
              </w:rPr>
            </w:pPr>
          </w:p>
          <w:p w14:paraId="4298FA56" w14:textId="77777777" w:rsidR="002E2BE1" w:rsidRPr="00B50024" w:rsidRDefault="002E2BE1" w:rsidP="002E2BE1">
            <w:pPr>
              <w:jc w:val="center"/>
              <w:rPr>
                <w:rFonts w:ascii="Times New Roman" w:hAnsi="Times New Roman" w:cs="Times New Roman"/>
                <w:sz w:val="18"/>
                <w:szCs w:val="18"/>
              </w:rPr>
            </w:pPr>
          </w:p>
          <w:p w14:paraId="01C89707" w14:textId="77777777" w:rsidR="002E2BE1" w:rsidRPr="00B50024" w:rsidRDefault="002E2BE1" w:rsidP="002E2BE1">
            <w:pPr>
              <w:jc w:val="center"/>
              <w:rPr>
                <w:rFonts w:ascii="Times New Roman" w:hAnsi="Times New Roman" w:cs="Times New Roman"/>
                <w:sz w:val="18"/>
                <w:szCs w:val="18"/>
              </w:rPr>
            </w:pPr>
            <w:r w:rsidRPr="00B50024">
              <w:rPr>
                <w:rFonts w:ascii="Times New Roman" w:hAnsi="Times New Roman" w:cs="Times New Roman"/>
                <w:sz w:val="18"/>
                <w:szCs w:val="18"/>
              </w:rPr>
              <w:t>15.2.5)</w:t>
            </w:r>
          </w:p>
          <w:p w14:paraId="07569C99" w14:textId="77777777" w:rsidR="002E2BE1" w:rsidRPr="00B50024" w:rsidRDefault="002E2BE1" w:rsidP="002E2BE1">
            <w:pPr>
              <w:jc w:val="center"/>
              <w:rPr>
                <w:rFonts w:ascii="Times New Roman" w:hAnsi="Times New Roman" w:cs="Times New Roman"/>
                <w:sz w:val="18"/>
                <w:szCs w:val="18"/>
              </w:rPr>
            </w:pPr>
          </w:p>
          <w:p w14:paraId="20C23DC7" w14:textId="77777777" w:rsidR="002E2BE1" w:rsidRPr="00B50024" w:rsidRDefault="002E2BE1" w:rsidP="002E2BE1">
            <w:pPr>
              <w:jc w:val="center"/>
              <w:rPr>
                <w:rFonts w:ascii="Times New Roman" w:hAnsi="Times New Roman" w:cs="Times New Roman"/>
                <w:sz w:val="18"/>
                <w:szCs w:val="18"/>
              </w:rPr>
            </w:pPr>
          </w:p>
          <w:p w14:paraId="56C8BB7F" w14:textId="77777777" w:rsidR="002E2BE1" w:rsidRPr="00B50024" w:rsidRDefault="002E2BE1" w:rsidP="002E2BE1">
            <w:pPr>
              <w:jc w:val="center"/>
              <w:rPr>
                <w:rFonts w:ascii="Times New Roman" w:hAnsi="Times New Roman" w:cs="Times New Roman"/>
                <w:sz w:val="18"/>
                <w:szCs w:val="18"/>
              </w:rPr>
            </w:pPr>
          </w:p>
          <w:p w14:paraId="6DCDDB47" w14:textId="77777777" w:rsidR="002E2BE1" w:rsidRPr="00B50024" w:rsidRDefault="002E2BE1" w:rsidP="002E2BE1">
            <w:pPr>
              <w:jc w:val="center"/>
              <w:rPr>
                <w:rFonts w:ascii="Times New Roman" w:hAnsi="Times New Roman" w:cs="Times New Roman"/>
                <w:sz w:val="18"/>
                <w:szCs w:val="18"/>
              </w:rPr>
            </w:pPr>
          </w:p>
          <w:p w14:paraId="0D6216C0" w14:textId="77777777" w:rsidR="002E2BE1" w:rsidRPr="00B50024" w:rsidRDefault="002E2BE1" w:rsidP="002E2BE1">
            <w:pPr>
              <w:jc w:val="center"/>
              <w:rPr>
                <w:rFonts w:ascii="Times New Roman" w:hAnsi="Times New Roman" w:cs="Times New Roman"/>
                <w:sz w:val="18"/>
                <w:szCs w:val="18"/>
              </w:rPr>
            </w:pPr>
          </w:p>
          <w:p w14:paraId="070F8338" w14:textId="77777777" w:rsidR="002E2BE1" w:rsidRPr="00B50024" w:rsidRDefault="002E2BE1" w:rsidP="002E2BE1">
            <w:pPr>
              <w:jc w:val="center"/>
              <w:rPr>
                <w:rFonts w:ascii="Times New Roman" w:hAnsi="Times New Roman" w:cs="Times New Roman"/>
                <w:sz w:val="18"/>
                <w:szCs w:val="18"/>
              </w:rPr>
            </w:pPr>
            <w:r w:rsidRPr="00B50024">
              <w:rPr>
                <w:rFonts w:ascii="Times New Roman" w:hAnsi="Times New Roman" w:cs="Times New Roman"/>
                <w:sz w:val="18"/>
                <w:szCs w:val="18"/>
              </w:rPr>
              <w:t>15.2.6)</w:t>
            </w:r>
          </w:p>
          <w:p w14:paraId="520D1B31" w14:textId="77777777" w:rsidR="00440B6E" w:rsidRPr="005E557E" w:rsidRDefault="00440B6E" w:rsidP="006C6323">
            <w:pPr>
              <w:spacing w:before="120" w:after="120"/>
              <w:ind w:firstLine="5"/>
              <w:jc w:val="center"/>
              <w:rPr>
                <w:rFonts w:ascii="Times New Roman" w:hAnsi="Times New Roman" w:cs="Times New Roman"/>
                <w:sz w:val="18"/>
                <w:szCs w:val="18"/>
              </w:rPr>
            </w:pPr>
          </w:p>
          <w:p w14:paraId="5BD9018A" w14:textId="77777777" w:rsidR="000174C1" w:rsidRPr="00487209" w:rsidRDefault="000174C1" w:rsidP="006C6323">
            <w:pPr>
              <w:spacing w:before="120" w:after="120"/>
              <w:ind w:firstLine="5"/>
              <w:jc w:val="center"/>
              <w:rPr>
                <w:rFonts w:ascii="Times New Roman" w:hAnsi="Times New Roman" w:cs="Times New Roman"/>
                <w:sz w:val="18"/>
                <w:szCs w:val="18"/>
                <w:lang w:val="ru-RU"/>
              </w:rPr>
            </w:pPr>
            <w:r w:rsidRPr="005E557E">
              <w:rPr>
                <w:rFonts w:ascii="Times New Roman" w:hAnsi="Times New Roman" w:cs="Times New Roman"/>
                <w:sz w:val="18"/>
                <w:szCs w:val="18"/>
                <w:lang w:val="ru-RU"/>
              </w:rPr>
              <w:t>15.3.</w:t>
            </w:r>
          </w:p>
        </w:tc>
        <w:tc>
          <w:tcPr>
            <w:tcW w:w="1231" w:type="pct"/>
            <w:gridSpan w:val="2"/>
            <w:shd w:val="clear" w:color="auto" w:fill="auto"/>
            <w:vAlign w:val="center"/>
          </w:tcPr>
          <w:p w14:paraId="7F7C366C" w14:textId="77777777" w:rsidR="002E2BE1" w:rsidRPr="002E2BE1" w:rsidRDefault="002E2BE1" w:rsidP="00B50024">
            <w:pPr>
              <w:pStyle w:val="Style7"/>
              <w:spacing w:after="0" w:line="240" w:lineRule="auto"/>
              <w:ind w:right="-23"/>
              <w:jc w:val="both"/>
              <w:rPr>
                <w:sz w:val="18"/>
                <w:szCs w:val="18"/>
              </w:rPr>
            </w:pPr>
            <w:r w:rsidRPr="002E2BE1">
              <w:rPr>
                <w:sz w:val="18"/>
                <w:szCs w:val="18"/>
              </w:rPr>
              <w:t>Увозник је дужан да пре стављања грађевинског производа на тржиште Републике Србије, обезбеди да је:</w:t>
            </w:r>
          </w:p>
          <w:p w14:paraId="5B40BE26" w14:textId="77777777" w:rsidR="002E2BE1" w:rsidRPr="002E2BE1" w:rsidRDefault="002E2BE1" w:rsidP="00B50024">
            <w:pPr>
              <w:pStyle w:val="Style7"/>
              <w:numPr>
                <w:ilvl w:val="0"/>
                <w:numId w:val="94"/>
              </w:numPr>
              <w:spacing w:after="0" w:line="240" w:lineRule="auto"/>
              <w:ind w:right="-23"/>
              <w:jc w:val="both"/>
              <w:rPr>
                <w:sz w:val="18"/>
                <w:szCs w:val="18"/>
              </w:rPr>
            </w:pPr>
            <w:r w:rsidRPr="002E2BE1">
              <w:rPr>
                <w:sz w:val="18"/>
                <w:szCs w:val="18"/>
              </w:rPr>
              <w:t>произвођач спровео оцењивање и верификацију сталности перформанси;</w:t>
            </w:r>
          </w:p>
          <w:p w14:paraId="5DCBADD1" w14:textId="77777777" w:rsidR="002E2BE1" w:rsidRPr="002E2BE1" w:rsidRDefault="002E2BE1" w:rsidP="00B50024">
            <w:pPr>
              <w:pStyle w:val="Style7"/>
              <w:numPr>
                <w:ilvl w:val="0"/>
                <w:numId w:val="94"/>
              </w:numPr>
              <w:spacing w:after="0" w:line="240" w:lineRule="auto"/>
              <w:ind w:right="-23"/>
              <w:jc w:val="both"/>
              <w:rPr>
                <w:sz w:val="18"/>
                <w:szCs w:val="18"/>
              </w:rPr>
            </w:pPr>
            <w:r w:rsidRPr="002E2BE1">
              <w:rPr>
                <w:sz w:val="18"/>
                <w:szCs w:val="18"/>
              </w:rPr>
              <w:t>произвођач израдио техничку документацију утврђену чланом 13. став 2. овог закона;</w:t>
            </w:r>
          </w:p>
          <w:p w14:paraId="69D807FC" w14:textId="77777777" w:rsidR="002E2BE1" w:rsidRPr="002E2BE1" w:rsidRDefault="002E2BE1" w:rsidP="00B50024">
            <w:pPr>
              <w:pStyle w:val="Style7"/>
              <w:numPr>
                <w:ilvl w:val="0"/>
                <w:numId w:val="94"/>
              </w:numPr>
              <w:spacing w:after="0" w:line="240" w:lineRule="auto"/>
              <w:ind w:right="-23"/>
              <w:jc w:val="both"/>
              <w:rPr>
                <w:sz w:val="18"/>
                <w:szCs w:val="18"/>
              </w:rPr>
            </w:pPr>
            <w:r w:rsidRPr="002E2BE1">
              <w:rPr>
                <w:sz w:val="18"/>
                <w:szCs w:val="18"/>
              </w:rPr>
              <w:t>произвођач израдио декларацију о перформансама у складу са чл. 6. и 8. овог закона;</w:t>
            </w:r>
          </w:p>
          <w:p w14:paraId="1FB73F51" w14:textId="77777777" w:rsidR="002E2BE1" w:rsidRPr="002E2BE1" w:rsidRDefault="002E2BE1" w:rsidP="00B50024">
            <w:pPr>
              <w:pStyle w:val="Style7"/>
              <w:numPr>
                <w:ilvl w:val="0"/>
                <w:numId w:val="94"/>
              </w:numPr>
              <w:spacing w:after="0" w:line="240" w:lineRule="auto"/>
              <w:ind w:right="-23"/>
              <w:jc w:val="both"/>
              <w:rPr>
                <w:sz w:val="18"/>
                <w:szCs w:val="18"/>
              </w:rPr>
            </w:pPr>
            <w:r w:rsidRPr="002E2BE1">
              <w:rPr>
                <w:sz w:val="18"/>
                <w:szCs w:val="18"/>
              </w:rPr>
              <w:t>на грађевински производ, када је прописано, стављен српски знак усаглашености;</w:t>
            </w:r>
          </w:p>
          <w:p w14:paraId="5404C810" w14:textId="77777777" w:rsidR="002E2BE1" w:rsidRPr="002E2BE1" w:rsidRDefault="002E2BE1" w:rsidP="00B50024">
            <w:pPr>
              <w:pStyle w:val="Style7"/>
              <w:numPr>
                <w:ilvl w:val="0"/>
                <w:numId w:val="94"/>
              </w:numPr>
              <w:spacing w:after="0" w:line="240" w:lineRule="auto"/>
              <w:ind w:right="-23"/>
              <w:jc w:val="both"/>
              <w:rPr>
                <w:sz w:val="18"/>
                <w:szCs w:val="18"/>
              </w:rPr>
            </w:pPr>
            <w:r w:rsidRPr="002E2BE1">
              <w:rPr>
                <w:sz w:val="18"/>
                <w:szCs w:val="18"/>
              </w:rPr>
              <w:t>грађевински производ праћен документацијом и техничким упутствима на српском језику, који су прописани овим законом и</w:t>
            </w:r>
          </w:p>
          <w:p w14:paraId="567BEC25" w14:textId="77777777" w:rsidR="002E2BE1" w:rsidRPr="002E2BE1" w:rsidRDefault="002E2BE1" w:rsidP="00B50024">
            <w:pPr>
              <w:pStyle w:val="Style7"/>
              <w:numPr>
                <w:ilvl w:val="0"/>
                <w:numId w:val="94"/>
              </w:numPr>
              <w:spacing w:after="0" w:line="240" w:lineRule="auto"/>
              <w:ind w:right="-23"/>
              <w:jc w:val="both"/>
              <w:rPr>
                <w:sz w:val="18"/>
                <w:szCs w:val="18"/>
              </w:rPr>
            </w:pPr>
            <w:r w:rsidRPr="002E2BE1">
              <w:rPr>
                <w:sz w:val="18"/>
                <w:szCs w:val="18"/>
              </w:rPr>
              <w:t>произвођач испунио захтеве утврђене чланом 13. став 7. и 8. овог закона.</w:t>
            </w:r>
          </w:p>
          <w:p w14:paraId="6B1F3B94" w14:textId="77777777" w:rsidR="002E2BE1" w:rsidRPr="002E2BE1" w:rsidRDefault="002E2BE1" w:rsidP="00B50024">
            <w:pPr>
              <w:pStyle w:val="Style7"/>
              <w:spacing w:after="0" w:line="240" w:lineRule="auto"/>
              <w:ind w:right="-23"/>
              <w:jc w:val="both"/>
              <w:rPr>
                <w:sz w:val="18"/>
                <w:szCs w:val="18"/>
              </w:rPr>
            </w:pPr>
            <w:r w:rsidRPr="002E2BE1">
              <w:rPr>
                <w:sz w:val="18"/>
                <w:szCs w:val="18"/>
              </w:rPr>
              <w:t xml:space="preserve">Увозник који има разлога да сумња да је грађевински производ усаглашен са декларацијом о перформансама или усклађен са другим захтевима из овог закона, не сме тај грађевински производ да стави на тржиште, све док исти не буде усаглашен са пратећом декларацијом о перформансама и усклађен са другим захтевима утврђеним овим законом или док декларација о перформансама не буде исправљена. </w:t>
            </w:r>
          </w:p>
          <w:p w14:paraId="72168F7D" w14:textId="0217EF83" w:rsidR="00DC537F" w:rsidRPr="00487209" w:rsidRDefault="00DC537F" w:rsidP="00B50024">
            <w:pPr>
              <w:pStyle w:val="Style7"/>
              <w:spacing w:after="0" w:line="240" w:lineRule="auto"/>
              <w:ind w:right="-23"/>
              <w:jc w:val="both"/>
              <w:rPr>
                <w:sz w:val="18"/>
                <w:szCs w:val="18"/>
              </w:rPr>
            </w:pPr>
            <w:r w:rsidRPr="00487209">
              <w:rPr>
                <w:sz w:val="18"/>
                <w:szCs w:val="18"/>
              </w:rPr>
              <w:t xml:space="preserve"> </w:t>
            </w:r>
          </w:p>
        </w:tc>
        <w:tc>
          <w:tcPr>
            <w:tcW w:w="458" w:type="pct"/>
            <w:shd w:val="clear" w:color="auto" w:fill="auto"/>
            <w:vAlign w:val="center"/>
          </w:tcPr>
          <w:p w14:paraId="668B925D" w14:textId="77777777" w:rsidR="000174C1" w:rsidRPr="00487209" w:rsidRDefault="000174C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ДУ</w:t>
            </w:r>
          </w:p>
        </w:tc>
        <w:tc>
          <w:tcPr>
            <w:tcW w:w="598" w:type="pct"/>
            <w:gridSpan w:val="2"/>
            <w:shd w:val="clear" w:color="auto" w:fill="auto"/>
            <w:vAlign w:val="center"/>
          </w:tcPr>
          <w:p w14:paraId="137ADF9E" w14:textId="77777777" w:rsidR="00731289" w:rsidRPr="00487209" w:rsidRDefault="00731289" w:rsidP="006C6323">
            <w:pPr>
              <w:spacing w:before="120" w:after="120"/>
              <w:ind w:firstLine="21"/>
              <w:jc w:val="both"/>
              <w:rPr>
                <w:rFonts w:ascii="Times New Roman" w:hAnsi="Times New Roman" w:cs="Times New Roman"/>
                <w:sz w:val="18"/>
                <w:szCs w:val="18"/>
                <w:lang w:val="ru-RU"/>
              </w:rPr>
            </w:pPr>
          </w:p>
          <w:p w14:paraId="6BE15E1A" w14:textId="02B5B942" w:rsidR="000174C1" w:rsidRPr="00487209" w:rsidRDefault="00084849" w:rsidP="006C6323">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0174C1" w:rsidRPr="00487209">
              <w:rPr>
                <w:rFonts w:ascii="Times New Roman" w:hAnsi="Times New Roman" w:cs="Times New Roman"/>
                <w:sz w:val="18"/>
                <w:szCs w:val="18"/>
                <w:lang w:val="ru-RU"/>
              </w:rPr>
              <w:t xml:space="preserve"> 15.</w:t>
            </w:r>
            <w:r w:rsidR="00080F10" w:rsidRPr="00487209">
              <w:rPr>
                <w:rFonts w:ascii="Times New Roman" w:hAnsi="Times New Roman" w:cs="Times New Roman"/>
                <w:sz w:val="18"/>
                <w:szCs w:val="18"/>
                <w:lang w:val="ru-RU"/>
              </w:rPr>
              <w:t xml:space="preserve"> ст. 2</w:t>
            </w:r>
            <w:r w:rsidR="000174C1" w:rsidRPr="00487209">
              <w:rPr>
                <w:rFonts w:ascii="Times New Roman" w:hAnsi="Times New Roman" w:cs="Times New Roman"/>
                <w:sz w:val="18"/>
                <w:szCs w:val="18"/>
                <w:lang w:val="ru-RU"/>
              </w:rPr>
              <w:t xml:space="preserve">. </w:t>
            </w:r>
            <w:r w:rsidR="00080F10" w:rsidRPr="00487209">
              <w:rPr>
                <w:rFonts w:ascii="Times New Roman" w:hAnsi="Times New Roman" w:cs="Times New Roman"/>
                <w:sz w:val="18"/>
                <w:szCs w:val="18"/>
                <w:lang w:val="ru-RU"/>
              </w:rPr>
              <w:t xml:space="preserve">и 3.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sidR="000174C1" w:rsidRPr="00487209">
              <w:rPr>
                <w:rFonts w:ascii="Times New Roman" w:hAnsi="Times New Roman" w:cs="Times New Roman"/>
                <w:sz w:val="18"/>
                <w:szCs w:val="18"/>
                <w:lang w:val="ru-RU"/>
              </w:rPr>
              <w:t xml:space="preserve"> је делимично</w:t>
            </w:r>
            <w:r w:rsidR="00DF2BFF">
              <w:rPr>
                <w:rFonts w:ascii="Times New Roman" w:hAnsi="Times New Roman" w:cs="Times New Roman"/>
                <w:sz w:val="18"/>
                <w:szCs w:val="18"/>
                <w:lang w:val="ru-RU"/>
              </w:rPr>
              <w:t xml:space="preserve"> усклађен са чланом</w:t>
            </w:r>
            <w:r w:rsidR="000174C1" w:rsidRPr="00487209">
              <w:rPr>
                <w:rFonts w:ascii="Times New Roman" w:hAnsi="Times New Roman" w:cs="Times New Roman"/>
                <w:sz w:val="18"/>
                <w:szCs w:val="18"/>
                <w:lang w:val="ru-RU"/>
              </w:rPr>
              <w:t xml:space="preserve"> 13.</w:t>
            </w:r>
            <w:r w:rsidR="006275F8" w:rsidRPr="00487209">
              <w:rPr>
                <w:rFonts w:ascii="Times New Roman" w:hAnsi="Times New Roman" w:cs="Times New Roman"/>
                <w:sz w:val="18"/>
                <w:szCs w:val="18"/>
                <w:lang w:val="ru-RU"/>
              </w:rPr>
              <w:t>2</w:t>
            </w:r>
            <w:r w:rsidR="000174C1" w:rsidRPr="00487209">
              <w:rPr>
                <w:rFonts w:ascii="Times New Roman" w:hAnsi="Times New Roman" w:cs="Times New Roman"/>
                <w:sz w:val="18"/>
                <w:szCs w:val="18"/>
                <w:lang w:val="ru-RU"/>
              </w:rPr>
              <w:t xml:space="preserve">. </w:t>
            </w:r>
            <w:r w:rsidR="006275F8" w:rsidRPr="00487209">
              <w:rPr>
                <w:rFonts w:ascii="Times New Roman" w:hAnsi="Times New Roman" w:cs="Times New Roman"/>
                <w:sz w:val="18"/>
                <w:szCs w:val="18"/>
                <w:lang w:val="sr-Cyrl-CS"/>
              </w:rPr>
              <w:t>Уредбе 305/2011 (ЕУ),</w:t>
            </w:r>
            <w:r w:rsidR="000174C1" w:rsidRPr="00487209">
              <w:rPr>
                <w:rFonts w:ascii="Times New Roman" w:hAnsi="Times New Roman" w:cs="Times New Roman"/>
                <w:sz w:val="18"/>
                <w:szCs w:val="18"/>
                <w:lang w:val="sr-Cyrl-CS"/>
              </w:rPr>
              <w:t xml:space="preserve"> </w:t>
            </w:r>
            <w:r w:rsidR="004D0D95" w:rsidRPr="00487209">
              <w:rPr>
                <w:rFonts w:ascii="Times New Roman" w:hAnsi="Times New Roman" w:cs="Times New Roman"/>
                <w:sz w:val="18"/>
                <w:szCs w:val="18"/>
                <w:lang w:val="sr-Cyrl-CS"/>
              </w:rPr>
              <w:t xml:space="preserve">у делу који се односи на стављање знака СЕ </w:t>
            </w:r>
            <w:r w:rsidR="000174C1" w:rsidRPr="00487209">
              <w:rPr>
                <w:rFonts w:ascii="Times New Roman" w:hAnsi="Times New Roman" w:cs="Times New Roman"/>
                <w:sz w:val="18"/>
                <w:szCs w:val="18"/>
                <w:lang w:val="sr-Cyrl-CS"/>
              </w:rPr>
              <w:t xml:space="preserve">због статуса нечланице. </w:t>
            </w:r>
            <w:r w:rsidR="00440B6E" w:rsidRPr="00487209">
              <w:rPr>
                <w:rFonts w:ascii="Times New Roman" w:hAnsi="Times New Roman" w:cs="Times New Roman"/>
                <w:sz w:val="18"/>
                <w:szCs w:val="18"/>
              </w:rPr>
              <w:t>П</w:t>
            </w:r>
            <w:r w:rsidR="000174C1" w:rsidRPr="00487209">
              <w:rPr>
                <w:rFonts w:ascii="Times New Roman" w:hAnsi="Times New Roman" w:cs="Times New Roman"/>
                <w:sz w:val="18"/>
                <w:szCs w:val="18"/>
                <w:lang w:val="sr-Cyrl-CS"/>
              </w:rPr>
              <w:t>отпуно усклађивање биће могуће након приступања ЕУ.</w:t>
            </w:r>
          </w:p>
          <w:p w14:paraId="3FE40401" w14:textId="77777777" w:rsidR="00731289" w:rsidRPr="00487209" w:rsidRDefault="00731289"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297A7E3F" w14:textId="77777777" w:rsidR="000174C1" w:rsidRPr="00487209" w:rsidRDefault="000174C1" w:rsidP="006C6323">
            <w:pPr>
              <w:spacing w:before="120" w:after="120"/>
              <w:jc w:val="center"/>
              <w:rPr>
                <w:rFonts w:ascii="Times New Roman" w:hAnsi="Times New Roman" w:cs="Times New Roman"/>
                <w:sz w:val="18"/>
                <w:szCs w:val="18"/>
                <w:lang w:val="sr-Cyrl-CS"/>
              </w:rPr>
            </w:pPr>
          </w:p>
        </w:tc>
      </w:tr>
      <w:tr w:rsidR="00337554" w:rsidRPr="00487209" w14:paraId="2877BAC5" w14:textId="77777777" w:rsidTr="007D5144">
        <w:trPr>
          <w:trHeight w:val="1970"/>
          <w:jc w:val="center"/>
        </w:trPr>
        <w:tc>
          <w:tcPr>
            <w:tcW w:w="435" w:type="pct"/>
            <w:shd w:val="clear" w:color="auto" w:fill="auto"/>
            <w:vAlign w:val="center"/>
          </w:tcPr>
          <w:p w14:paraId="3E6B9B0D" w14:textId="77777777" w:rsidR="000174C1" w:rsidRPr="00487209" w:rsidRDefault="000174C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13.3.</w:t>
            </w:r>
          </w:p>
        </w:tc>
        <w:tc>
          <w:tcPr>
            <w:tcW w:w="1369" w:type="pct"/>
            <w:gridSpan w:val="2"/>
            <w:shd w:val="clear" w:color="auto" w:fill="auto"/>
            <w:vAlign w:val="center"/>
          </w:tcPr>
          <w:p w14:paraId="41281BC9"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Importers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shall</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indicate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on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construction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product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or</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where that is not possible, on its packaging or in a document accompanying the product their name, registered trade name or registered trade mark and their contact address.</w:t>
            </w:r>
          </w:p>
        </w:tc>
        <w:tc>
          <w:tcPr>
            <w:tcW w:w="429" w:type="pct"/>
            <w:shd w:val="clear" w:color="auto" w:fill="auto"/>
            <w:vAlign w:val="center"/>
          </w:tcPr>
          <w:p w14:paraId="61E70F66"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45EEBE9C" w14:textId="77777777" w:rsidR="000174C1" w:rsidRPr="00487209" w:rsidRDefault="000174C1"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15.</w:t>
            </w:r>
            <w:r w:rsidR="00DC537F" w:rsidRPr="00487209">
              <w:rPr>
                <w:rFonts w:ascii="Times New Roman" w:hAnsi="Times New Roman" w:cs="Times New Roman"/>
                <w:sz w:val="18"/>
                <w:szCs w:val="18"/>
                <w:lang w:val="sr-Latn-CS"/>
              </w:rPr>
              <w:t>5</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73133605" w14:textId="77777777" w:rsidR="00DC537F" w:rsidRPr="00487209" w:rsidRDefault="00DC537F" w:rsidP="006C6323">
            <w:pPr>
              <w:pStyle w:val="Style7"/>
              <w:spacing w:before="120" w:after="0" w:line="240" w:lineRule="auto"/>
              <w:ind w:right="-23"/>
              <w:jc w:val="both"/>
              <w:rPr>
                <w:sz w:val="18"/>
                <w:szCs w:val="18"/>
              </w:rPr>
            </w:pPr>
            <w:r w:rsidRPr="00487209">
              <w:rPr>
                <w:rStyle w:val="FontStyle41"/>
                <w:rFonts w:ascii="Times New Roman" w:hAnsi="Times New Roman" w:cs="Times New Roman"/>
                <w:sz w:val="18"/>
                <w:szCs w:val="18"/>
              </w:rPr>
              <w:t>Увозник је дужан да назначи своје име, регистрован трговачки назив или регистровани жиг и своју адресу за контакт на грађевинском производу или, ако то није могуће, на његовој амбалажи или у документацији која прати грађевински производ.</w:t>
            </w:r>
          </w:p>
        </w:tc>
        <w:tc>
          <w:tcPr>
            <w:tcW w:w="458" w:type="pct"/>
            <w:shd w:val="clear" w:color="auto" w:fill="auto"/>
            <w:vAlign w:val="center"/>
          </w:tcPr>
          <w:p w14:paraId="430C455E" w14:textId="77777777" w:rsidR="000174C1" w:rsidRPr="00487209" w:rsidRDefault="000174C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48CE0230" w14:textId="77777777" w:rsidR="000174C1" w:rsidRPr="00487209" w:rsidRDefault="000174C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2236B984" w14:textId="77777777" w:rsidR="000174C1" w:rsidRPr="00487209" w:rsidRDefault="000174C1" w:rsidP="006C6323">
            <w:pPr>
              <w:spacing w:before="120" w:after="120"/>
              <w:jc w:val="center"/>
              <w:rPr>
                <w:rFonts w:ascii="Times New Roman" w:hAnsi="Times New Roman" w:cs="Times New Roman"/>
                <w:sz w:val="18"/>
                <w:szCs w:val="18"/>
                <w:lang w:val="ru-RU"/>
              </w:rPr>
            </w:pPr>
          </w:p>
        </w:tc>
      </w:tr>
      <w:tr w:rsidR="00337554" w:rsidRPr="00487209" w14:paraId="133FF619" w14:textId="77777777" w:rsidTr="007D5144">
        <w:trPr>
          <w:trHeight w:val="547"/>
          <w:jc w:val="center"/>
        </w:trPr>
        <w:tc>
          <w:tcPr>
            <w:tcW w:w="435" w:type="pct"/>
            <w:shd w:val="clear" w:color="auto" w:fill="auto"/>
            <w:vAlign w:val="center"/>
          </w:tcPr>
          <w:p w14:paraId="1444EBCA"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13.4.</w:t>
            </w:r>
          </w:p>
        </w:tc>
        <w:tc>
          <w:tcPr>
            <w:tcW w:w="1369" w:type="pct"/>
            <w:gridSpan w:val="2"/>
            <w:shd w:val="clear" w:color="auto" w:fill="auto"/>
            <w:vAlign w:val="center"/>
          </w:tcPr>
          <w:p w14:paraId="33165E27"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Importers shall ensure that, when making a construction product available on the market, the product is accompanied by instructions and safety information in a language determined by the Member State concerned which can be easily understood by users.</w:t>
            </w:r>
          </w:p>
        </w:tc>
        <w:tc>
          <w:tcPr>
            <w:tcW w:w="429" w:type="pct"/>
            <w:shd w:val="clear" w:color="auto" w:fill="auto"/>
            <w:vAlign w:val="center"/>
          </w:tcPr>
          <w:p w14:paraId="7846AC12"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797BB36C" w14:textId="77777777" w:rsidR="000174C1" w:rsidRPr="00487209" w:rsidRDefault="000174C1"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15.</w:t>
            </w:r>
            <w:r w:rsidR="00DC537F" w:rsidRPr="00487209">
              <w:rPr>
                <w:rFonts w:ascii="Times New Roman" w:hAnsi="Times New Roman" w:cs="Times New Roman"/>
                <w:sz w:val="18"/>
                <w:szCs w:val="18"/>
                <w:lang w:val="sr-Latn-CS"/>
              </w:rPr>
              <w:t>6</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68C83559" w14:textId="77777777" w:rsidR="00D20195" w:rsidRPr="00487209" w:rsidRDefault="00D20195" w:rsidP="00D20195">
            <w:pPr>
              <w:spacing w:before="120"/>
              <w:ind w:right="-23"/>
              <w:jc w:val="both"/>
              <w:outlineLvl w:val="0"/>
              <w:rPr>
                <w:rFonts w:ascii="Times New Roman" w:eastAsia="Batang" w:hAnsi="Times New Roman" w:cs="Times New Roman"/>
                <w:b/>
                <w:sz w:val="18"/>
                <w:szCs w:val="18"/>
                <w:lang w:val="sr-Cyrl-CS" w:eastAsia="ko-KR"/>
              </w:rPr>
            </w:pPr>
            <w:r w:rsidRPr="00487209">
              <w:rPr>
                <w:rFonts w:ascii="Times New Roman" w:eastAsia="Batang" w:hAnsi="Times New Roman" w:cs="Times New Roman"/>
                <w:sz w:val="18"/>
                <w:szCs w:val="18"/>
                <w:lang w:val="sr-Cyrl-CS" w:eastAsia="ko-KR"/>
              </w:rPr>
              <w:t>Када грађевински производ чини доступним</w:t>
            </w:r>
            <w:r w:rsidRPr="00487209">
              <w:rPr>
                <w:rFonts w:ascii="Times New Roman" w:eastAsia="Batang" w:hAnsi="Times New Roman" w:cs="Times New Roman"/>
                <w:b/>
                <w:sz w:val="18"/>
                <w:szCs w:val="18"/>
                <w:lang w:val="sr-Cyrl-CS" w:eastAsia="ko-KR"/>
              </w:rPr>
              <w:t xml:space="preserve"> </w:t>
            </w:r>
            <w:r w:rsidRPr="00487209">
              <w:rPr>
                <w:rFonts w:ascii="Times New Roman" w:eastAsia="Batang" w:hAnsi="Times New Roman" w:cs="Times New Roman"/>
                <w:sz w:val="18"/>
                <w:szCs w:val="18"/>
                <w:lang w:val="sr-Cyrl-CS" w:eastAsia="ko-KR"/>
              </w:rPr>
              <w:t>на тржишту, увозник је дужан да обезбеди да грађевински производ прате техничка упутства на српском језику.</w:t>
            </w:r>
          </w:p>
          <w:p w14:paraId="09351841" w14:textId="77777777" w:rsidR="000174C1" w:rsidRPr="00487209" w:rsidRDefault="000174C1" w:rsidP="006C6323">
            <w:pPr>
              <w:jc w:val="center"/>
              <w:rPr>
                <w:rFonts w:ascii="Times New Roman" w:hAnsi="Times New Roman" w:cs="Times New Roman"/>
                <w:sz w:val="18"/>
                <w:szCs w:val="18"/>
                <w:lang w:val="sr-Cyrl-CS"/>
              </w:rPr>
            </w:pPr>
          </w:p>
        </w:tc>
        <w:tc>
          <w:tcPr>
            <w:tcW w:w="458" w:type="pct"/>
            <w:shd w:val="clear" w:color="auto" w:fill="auto"/>
            <w:vAlign w:val="center"/>
          </w:tcPr>
          <w:p w14:paraId="54F01994" w14:textId="77777777" w:rsidR="000174C1" w:rsidRPr="00487209" w:rsidRDefault="000174C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ДУ</w:t>
            </w:r>
          </w:p>
        </w:tc>
        <w:tc>
          <w:tcPr>
            <w:tcW w:w="598" w:type="pct"/>
            <w:gridSpan w:val="2"/>
            <w:shd w:val="clear" w:color="auto" w:fill="auto"/>
            <w:vAlign w:val="center"/>
          </w:tcPr>
          <w:p w14:paraId="44F42B91" w14:textId="2B09F79E" w:rsidR="000174C1" w:rsidRPr="00487209" w:rsidRDefault="00DF2BFF" w:rsidP="008111AF">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 15. став</w:t>
            </w:r>
            <w:r w:rsidR="00EF2C0E" w:rsidRPr="00487209">
              <w:rPr>
                <w:rFonts w:ascii="Times New Roman" w:hAnsi="Times New Roman" w:cs="Times New Roman"/>
                <w:sz w:val="18"/>
                <w:szCs w:val="18"/>
                <w:lang w:val="ru-RU"/>
              </w:rPr>
              <w:t xml:space="preserve"> </w:t>
            </w:r>
            <w:r w:rsidR="008111AF" w:rsidRPr="00487209">
              <w:rPr>
                <w:rFonts w:ascii="Times New Roman" w:hAnsi="Times New Roman" w:cs="Times New Roman"/>
                <w:sz w:val="18"/>
                <w:szCs w:val="18"/>
                <w:lang w:val="ru-RU"/>
              </w:rPr>
              <w:t>6</w:t>
            </w:r>
            <w:r w:rsidR="00EF2C0E" w:rsidRPr="00487209">
              <w:rPr>
                <w:rFonts w:ascii="Times New Roman" w:hAnsi="Times New Roman" w:cs="Times New Roman"/>
                <w:sz w:val="18"/>
                <w:szCs w:val="18"/>
                <w:lang w:val="ru-RU"/>
              </w:rPr>
              <w:t xml:space="preserve">.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Pr>
                <w:rFonts w:ascii="Times New Roman" w:hAnsi="Times New Roman" w:cs="Times New Roman"/>
                <w:sz w:val="18"/>
                <w:szCs w:val="18"/>
                <w:lang w:val="ru-RU"/>
              </w:rPr>
              <w:t xml:space="preserve"> је делимично усклађен са чланом </w:t>
            </w:r>
            <w:r w:rsidR="00EF2C0E" w:rsidRPr="00487209">
              <w:rPr>
                <w:rFonts w:ascii="Times New Roman" w:hAnsi="Times New Roman" w:cs="Times New Roman"/>
                <w:sz w:val="18"/>
                <w:szCs w:val="18"/>
                <w:lang w:val="ru-RU"/>
              </w:rPr>
              <w:t xml:space="preserve">13.4. Уредбе 305/2011 (ЕУ), осим у делу који </w:t>
            </w:r>
            <w:r w:rsidR="00C667F4" w:rsidRPr="00487209">
              <w:rPr>
                <w:rFonts w:ascii="Times New Roman" w:hAnsi="Times New Roman" w:cs="Times New Roman"/>
                <w:sz w:val="18"/>
                <w:szCs w:val="18"/>
                <w:lang w:val="ru-RU"/>
              </w:rPr>
              <w:t>прописује</w:t>
            </w:r>
            <w:r w:rsidR="00EF2C0E" w:rsidRPr="00487209">
              <w:rPr>
                <w:rFonts w:ascii="Times New Roman" w:hAnsi="Times New Roman" w:cs="Times New Roman"/>
                <w:sz w:val="18"/>
                <w:szCs w:val="18"/>
                <w:lang w:val="ru-RU"/>
              </w:rPr>
              <w:t xml:space="preserve"> употреб</w:t>
            </w:r>
            <w:r w:rsidR="00C667F4" w:rsidRPr="00487209">
              <w:rPr>
                <w:rFonts w:ascii="Times New Roman" w:hAnsi="Times New Roman" w:cs="Times New Roman"/>
                <w:sz w:val="18"/>
                <w:szCs w:val="18"/>
                <w:lang w:val="ru-RU"/>
              </w:rPr>
              <w:t>у</w:t>
            </w:r>
            <w:r w:rsidR="00EF2C0E" w:rsidRPr="00487209">
              <w:rPr>
                <w:rFonts w:ascii="Times New Roman" w:hAnsi="Times New Roman" w:cs="Times New Roman"/>
                <w:sz w:val="18"/>
                <w:szCs w:val="18"/>
                <w:lang w:val="ru-RU"/>
              </w:rPr>
              <w:t xml:space="preserve"> српског језика</w:t>
            </w:r>
            <w:r w:rsidR="00C667F4" w:rsidRPr="00487209">
              <w:rPr>
                <w:rFonts w:ascii="Times New Roman" w:hAnsi="Times New Roman" w:cs="Times New Roman"/>
                <w:sz w:val="18"/>
                <w:szCs w:val="18"/>
                <w:lang w:val="ru-RU"/>
              </w:rPr>
              <w:t>,</w:t>
            </w:r>
            <w:r w:rsidR="00EF2C0E" w:rsidRPr="00487209">
              <w:rPr>
                <w:rFonts w:ascii="Times New Roman" w:hAnsi="Times New Roman" w:cs="Times New Roman"/>
                <w:sz w:val="18"/>
                <w:szCs w:val="18"/>
                <w:lang w:val="ru-RU"/>
              </w:rPr>
              <w:t xml:space="preserve"> због статуса нечланице. </w:t>
            </w:r>
            <w:r w:rsidR="0026547C" w:rsidRPr="00487209">
              <w:rPr>
                <w:rFonts w:ascii="Times New Roman" w:hAnsi="Times New Roman" w:cs="Times New Roman"/>
                <w:sz w:val="18"/>
                <w:szCs w:val="18"/>
                <w:lang w:val="sr-Cyrl-CS"/>
              </w:rPr>
              <w:t>Потпуно усклађивање биће могуће након приступања ЕУ.</w:t>
            </w:r>
          </w:p>
        </w:tc>
        <w:tc>
          <w:tcPr>
            <w:tcW w:w="480" w:type="pct"/>
            <w:shd w:val="clear" w:color="auto" w:fill="auto"/>
            <w:vAlign w:val="center"/>
          </w:tcPr>
          <w:p w14:paraId="66382713" w14:textId="77777777" w:rsidR="000174C1" w:rsidRPr="00487209" w:rsidRDefault="000174C1" w:rsidP="006C6323">
            <w:pPr>
              <w:spacing w:before="120" w:after="120"/>
              <w:jc w:val="center"/>
              <w:rPr>
                <w:rFonts w:ascii="Times New Roman" w:hAnsi="Times New Roman" w:cs="Times New Roman"/>
                <w:sz w:val="18"/>
                <w:szCs w:val="18"/>
                <w:lang w:val="ru-RU"/>
              </w:rPr>
            </w:pPr>
          </w:p>
        </w:tc>
      </w:tr>
      <w:tr w:rsidR="00337554" w:rsidRPr="00487209" w14:paraId="26E9373F" w14:textId="77777777" w:rsidTr="007D5144">
        <w:trPr>
          <w:trHeight w:val="1970"/>
          <w:jc w:val="center"/>
        </w:trPr>
        <w:tc>
          <w:tcPr>
            <w:tcW w:w="435" w:type="pct"/>
            <w:shd w:val="clear" w:color="auto" w:fill="auto"/>
            <w:vAlign w:val="center"/>
          </w:tcPr>
          <w:p w14:paraId="17D0C9AB"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13.5.</w:t>
            </w:r>
          </w:p>
        </w:tc>
        <w:tc>
          <w:tcPr>
            <w:tcW w:w="1369" w:type="pct"/>
            <w:gridSpan w:val="2"/>
            <w:shd w:val="clear" w:color="auto" w:fill="auto"/>
            <w:vAlign w:val="center"/>
          </w:tcPr>
          <w:p w14:paraId="3FD55B85"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Importers shall ensure that, while a construction product is under their responsibility, storage or transport conditions do not jeopardise its conformity with the declaration of performance and compliance with other applicable requirements in this Regulation.</w:t>
            </w:r>
          </w:p>
        </w:tc>
        <w:tc>
          <w:tcPr>
            <w:tcW w:w="429" w:type="pct"/>
            <w:shd w:val="clear" w:color="auto" w:fill="auto"/>
            <w:vAlign w:val="center"/>
          </w:tcPr>
          <w:p w14:paraId="4A441D95"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5AA133BD" w14:textId="77777777" w:rsidR="000174C1" w:rsidRPr="00487209" w:rsidRDefault="000174C1"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15.</w:t>
            </w:r>
            <w:r w:rsidR="00DC537F" w:rsidRPr="00487209">
              <w:rPr>
                <w:rFonts w:ascii="Times New Roman" w:hAnsi="Times New Roman" w:cs="Times New Roman"/>
                <w:sz w:val="18"/>
                <w:szCs w:val="18"/>
                <w:lang w:val="sr-Latn-CS"/>
              </w:rPr>
              <w:t>7</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4E480200" w14:textId="6717486E" w:rsidR="000174C1" w:rsidRPr="00487209" w:rsidRDefault="002E2BE1" w:rsidP="00C40885">
            <w:pPr>
              <w:jc w:val="both"/>
              <w:rPr>
                <w:rFonts w:ascii="Times New Roman" w:hAnsi="Times New Roman" w:cs="Times New Roman"/>
                <w:sz w:val="18"/>
                <w:szCs w:val="18"/>
                <w:lang w:val="sr-Cyrl-CS"/>
              </w:rPr>
            </w:pPr>
            <w:r w:rsidRPr="007D5144">
              <w:rPr>
                <w:rFonts w:ascii="Times New Roman" w:hAnsi="Times New Roman" w:cs="Times New Roman"/>
                <w:sz w:val="18"/>
                <w:szCs w:val="18"/>
              </w:rPr>
              <w:t>У периоду у ком је увозник одговоран за грађевински производ, он обезбеђује да услови складиштења или превоза грађевинског производа не угрожавају његову усаглашеност са декларацијом о перформансама и усклађеност са другим захтевима из овог закона.</w:t>
            </w:r>
          </w:p>
        </w:tc>
        <w:tc>
          <w:tcPr>
            <w:tcW w:w="458" w:type="pct"/>
            <w:shd w:val="clear" w:color="auto" w:fill="auto"/>
            <w:vAlign w:val="center"/>
          </w:tcPr>
          <w:p w14:paraId="3B818827" w14:textId="77777777" w:rsidR="000174C1" w:rsidRPr="00487209" w:rsidRDefault="000174C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735104F3" w14:textId="77777777" w:rsidR="000174C1" w:rsidRPr="00487209" w:rsidRDefault="000174C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0637D4BE" w14:textId="77777777" w:rsidR="000174C1" w:rsidRPr="00487209" w:rsidRDefault="000174C1" w:rsidP="006C6323">
            <w:pPr>
              <w:spacing w:before="120" w:after="120"/>
              <w:jc w:val="center"/>
              <w:rPr>
                <w:rFonts w:ascii="Times New Roman" w:hAnsi="Times New Roman" w:cs="Times New Roman"/>
                <w:sz w:val="18"/>
                <w:szCs w:val="18"/>
                <w:lang w:val="ru-RU"/>
              </w:rPr>
            </w:pPr>
          </w:p>
        </w:tc>
      </w:tr>
      <w:tr w:rsidR="00337554" w:rsidRPr="00487209" w14:paraId="44596BC7" w14:textId="77777777" w:rsidTr="007D5144">
        <w:trPr>
          <w:trHeight w:val="1970"/>
          <w:jc w:val="center"/>
        </w:trPr>
        <w:tc>
          <w:tcPr>
            <w:tcW w:w="435" w:type="pct"/>
            <w:shd w:val="clear" w:color="auto" w:fill="auto"/>
            <w:vAlign w:val="center"/>
          </w:tcPr>
          <w:p w14:paraId="5BF92488"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13.6.</w:t>
            </w:r>
          </w:p>
        </w:tc>
        <w:tc>
          <w:tcPr>
            <w:tcW w:w="1369" w:type="pct"/>
            <w:gridSpan w:val="2"/>
            <w:shd w:val="clear" w:color="auto" w:fill="auto"/>
            <w:vAlign w:val="center"/>
          </w:tcPr>
          <w:p w14:paraId="7FFB5B88"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Importers shall, when deemed appropriate with regard to ensuring the accuracy, reliability and stability of the declared performance of a construction product, carry out sample testing of construction products placed or made available on the market, investigate, and, if necessary, keep a register of complaints, of non-conforming products and of product recalls, and shall keep distributors informed of any such monitoring.</w:t>
            </w:r>
          </w:p>
        </w:tc>
        <w:tc>
          <w:tcPr>
            <w:tcW w:w="429" w:type="pct"/>
            <w:shd w:val="clear" w:color="auto" w:fill="auto"/>
            <w:vAlign w:val="center"/>
          </w:tcPr>
          <w:p w14:paraId="322FBE76"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5BC41E8E" w14:textId="77777777" w:rsidR="000174C1" w:rsidRPr="00487209" w:rsidRDefault="00DC537F"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15.8</w:t>
            </w:r>
            <w:r w:rsidR="000174C1" w:rsidRPr="00487209">
              <w:rPr>
                <w:rFonts w:ascii="Times New Roman" w:hAnsi="Times New Roman" w:cs="Times New Roman"/>
                <w:sz w:val="18"/>
                <w:szCs w:val="18"/>
                <w:lang w:val="ru-RU"/>
              </w:rPr>
              <w:t>.</w:t>
            </w:r>
          </w:p>
        </w:tc>
        <w:tc>
          <w:tcPr>
            <w:tcW w:w="1231" w:type="pct"/>
            <w:gridSpan w:val="2"/>
            <w:shd w:val="clear" w:color="auto" w:fill="auto"/>
            <w:vAlign w:val="center"/>
          </w:tcPr>
          <w:p w14:paraId="4BC68A0C" w14:textId="64A35882" w:rsidR="000174C1" w:rsidRDefault="002E2BE1" w:rsidP="006C6323">
            <w:pPr>
              <w:pStyle w:val="Style7"/>
              <w:spacing w:before="120" w:after="0" w:line="240" w:lineRule="auto"/>
              <w:ind w:right="-23"/>
              <w:jc w:val="both"/>
              <w:rPr>
                <w:b/>
                <w:sz w:val="18"/>
                <w:szCs w:val="18"/>
              </w:rPr>
            </w:pPr>
            <w:r w:rsidRPr="002E2BE1">
              <w:rPr>
                <w:sz w:val="18"/>
                <w:szCs w:val="18"/>
              </w:rPr>
              <w:t>У циљу обезбеђивања тачности, поузданости и постојаности перформанси грађевинског производа наведених у декларацији о перформансама, увозник обавља испитивање узорака грађевинског производа који је стављен на тржиште или учињен доступним на тржишту, проверава да ли има  рекламација, неусаглашених и опозваних грађевинских производа, и ако их има води евиденцију рекламација, неусаглашених производа и опозваних производа и о томе обавештава дистрибутере.</w:t>
            </w:r>
          </w:p>
          <w:p w14:paraId="0DD520D4" w14:textId="265952B4" w:rsidR="002E2BE1" w:rsidRPr="00487209" w:rsidRDefault="002E2BE1" w:rsidP="006C6323">
            <w:pPr>
              <w:pStyle w:val="Style7"/>
              <w:spacing w:before="120" w:after="0" w:line="240" w:lineRule="auto"/>
              <w:ind w:right="-23"/>
              <w:jc w:val="both"/>
              <w:rPr>
                <w:b/>
                <w:sz w:val="18"/>
                <w:szCs w:val="18"/>
              </w:rPr>
            </w:pPr>
          </w:p>
        </w:tc>
        <w:tc>
          <w:tcPr>
            <w:tcW w:w="458" w:type="pct"/>
            <w:shd w:val="clear" w:color="auto" w:fill="auto"/>
            <w:vAlign w:val="center"/>
          </w:tcPr>
          <w:p w14:paraId="4459266E" w14:textId="77777777" w:rsidR="000174C1" w:rsidRPr="00487209" w:rsidRDefault="000174C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2B241364" w14:textId="77777777" w:rsidR="000174C1" w:rsidRPr="00487209" w:rsidRDefault="000174C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2208BD78" w14:textId="77777777" w:rsidR="000174C1" w:rsidRPr="00487209" w:rsidRDefault="000174C1" w:rsidP="006C6323">
            <w:pPr>
              <w:spacing w:before="120" w:after="120"/>
              <w:jc w:val="center"/>
              <w:rPr>
                <w:rFonts w:ascii="Times New Roman" w:hAnsi="Times New Roman" w:cs="Times New Roman"/>
                <w:sz w:val="18"/>
                <w:szCs w:val="18"/>
                <w:lang w:val="ru-RU"/>
              </w:rPr>
            </w:pPr>
          </w:p>
        </w:tc>
      </w:tr>
      <w:tr w:rsidR="00337554" w:rsidRPr="00487209" w14:paraId="3F8FF8E9" w14:textId="77777777" w:rsidTr="007D5144">
        <w:trPr>
          <w:trHeight w:val="1970"/>
          <w:jc w:val="center"/>
        </w:trPr>
        <w:tc>
          <w:tcPr>
            <w:tcW w:w="435" w:type="pct"/>
            <w:shd w:val="clear" w:color="auto" w:fill="auto"/>
            <w:vAlign w:val="center"/>
          </w:tcPr>
          <w:p w14:paraId="35887A33"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13.7.</w:t>
            </w:r>
          </w:p>
        </w:tc>
        <w:tc>
          <w:tcPr>
            <w:tcW w:w="1369" w:type="pct"/>
            <w:gridSpan w:val="2"/>
            <w:shd w:val="clear" w:color="auto" w:fill="auto"/>
            <w:vAlign w:val="center"/>
          </w:tcPr>
          <w:p w14:paraId="4FC4C640"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Importers who consider or have reason to believe that a construction product which they have placed on the market is not in conformity with the declaration of performance or not in compliance with other applicable requirements in this Regulation, shall immediately take the necessary corrective measures to bring that construction product into conformity, or, where appropriate, to withdraw or recall it. Furthermore, where the product presents a risk, importers shall immediately inform the competent national authorities of the Member States in which they made the construction product available thereof, giving details, in particular, of the non-compliance and of any corrective measures taken.</w:t>
            </w:r>
          </w:p>
        </w:tc>
        <w:tc>
          <w:tcPr>
            <w:tcW w:w="429" w:type="pct"/>
            <w:shd w:val="clear" w:color="auto" w:fill="auto"/>
            <w:vAlign w:val="center"/>
          </w:tcPr>
          <w:p w14:paraId="4AF66947" w14:textId="77777777" w:rsidR="00D84CD7" w:rsidRPr="00487209" w:rsidRDefault="00D84CD7" w:rsidP="006C6323">
            <w:pPr>
              <w:spacing w:before="120" w:after="120"/>
              <w:ind w:firstLine="5"/>
              <w:jc w:val="center"/>
              <w:rPr>
                <w:rFonts w:ascii="Times New Roman" w:hAnsi="Times New Roman" w:cs="Times New Roman"/>
                <w:sz w:val="18"/>
                <w:szCs w:val="18"/>
                <w:lang w:val="ru-RU"/>
              </w:rPr>
            </w:pPr>
          </w:p>
          <w:p w14:paraId="6A31B570" w14:textId="77777777" w:rsidR="00D84CD7" w:rsidRPr="00487209" w:rsidRDefault="00D84CD7" w:rsidP="006C6323">
            <w:pPr>
              <w:spacing w:before="120" w:after="120"/>
              <w:ind w:firstLine="5"/>
              <w:jc w:val="center"/>
              <w:rPr>
                <w:rFonts w:ascii="Times New Roman" w:hAnsi="Times New Roman" w:cs="Times New Roman"/>
                <w:sz w:val="18"/>
                <w:szCs w:val="18"/>
                <w:lang w:val="ru-RU"/>
              </w:rPr>
            </w:pPr>
          </w:p>
          <w:p w14:paraId="100A7211" w14:textId="77777777" w:rsidR="00D84CD7" w:rsidRPr="00487209" w:rsidRDefault="00D84CD7" w:rsidP="006C6323">
            <w:pPr>
              <w:spacing w:before="120" w:after="120"/>
              <w:ind w:firstLine="5"/>
              <w:jc w:val="center"/>
              <w:rPr>
                <w:rFonts w:ascii="Times New Roman" w:hAnsi="Times New Roman" w:cs="Times New Roman"/>
                <w:sz w:val="18"/>
                <w:szCs w:val="18"/>
                <w:lang w:val="ru-RU"/>
              </w:rPr>
            </w:pPr>
          </w:p>
          <w:p w14:paraId="7BC6AA9F" w14:textId="77777777" w:rsidR="00D84CD7" w:rsidRPr="00487209" w:rsidRDefault="00D84CD7" w:rsidP="006C6323">
            <w:pPr>
              <w:spacing w:before="120" w:after="120"/>
              <w:ind w:firstLine="5"/>
              <w:jc w:val="center"/>
              <w:rPr>
                <w:rFonts w:ascii="Times New Roman" w:hAnsi="Times New Roman" w:cs="Times New Roman"/>
                <w:sz w:val="18"/>
                <w:szCs w:val="18"/>
                <w:lang w:val="ru-RU"/>
              </w:rPr>
            </w:pPr>
          </w:p>
          <w:p w14:paraId="6CAA8CD5" w14:textId="77777777" w:rsidR="00A170B1" w:rsidRPr="00487209" w:rsidRDefault="00A170B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203C6CA7" w14:textId="77777777" w:rsidR="000174C1" w:rsidRPr="00487209" w:rsidRDefault="000174C1"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15.</w:t>
            </w:r>
            <w:r w:rsidR="00DC537F" w:rsidRPr="00487209">
              <w:rPr>
                <w:rFonts w:ascii="Times New Roman" w:hAnsi="Times New Roman" w:cs="Times New Roman"/>
                <w:sz w:val="18"/>
                <w:szCs w:val="18"/>
                <w:lang w:val="sr-Latn-CS"/>
              </w:rPr>
              <w:t>9</w:t>
            </w:r>
            <w:r w:rsidRPr="00487209">
              <w:rPr>
                <w:rFonts w:ascii="Times New Roman" w:hAnsi="Times New Roman" w:cs="Times New Roman"/>
                <w:sz w:val="18"/>
                <w:szCs w:val="18"/>
                <w:lang w:val="ru-RU"/>
              </w:rPr>
              <w:t>.</w:t>
            </w:r>
          </w:p>
          <w:p w14:paraId="4920F65E" w14:textId="77777777" w:rsidR="00DC537F" w:rsidRPr="00487209" w:rsidRDefault="00DC537F" w:rsidP="006C6323">
            <w:pPr>
              <w:spacing w:before="120" w:after="120"/>
              <w:ind w:firstLine="5"/>
              <w:jc w:val="center"/>
              <w:rPr>
                <w:rFonts w:ascii="Times New Roman" w:hAnsi="Times New Roman" w:cs="Times New Roman"/>
                <w:sz w:val="18"/>
                <w:szCs w:val="18"/>
                <w:lang w:val="ru-RU"/>
              </w:rPr>
            </w:pPr>
          </w:p>
          <w:p w14:paraId="10985ABA" w14:textId="77777777" w:rsidR="00DC537F" w:rsidRPr="00487209" w:rsidRDefault="00DC537F" w:rsidP="006C6323">
            <w:pPr>
              <w:spacing w:before="120" w:after="120"/>
              <w:ind w:firstLine="5"/>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t>15.10</w:t>
            </w:r>
          </w:p>
          <w:p w14:paraId="3FDD5E99" w14:textId="77777777" w:rsidR="00712455" w:rsidRPr="00487209" w:rsidRDefault="00712455" w:rsidP="006C6323">
            <w:pPr>
              <w:spacing w:before="120" w:after="120"/>
              <w:ind w:firstLine="5"/>
              <w:jc w:val="center"/>
              <w:rPr>
                <w:rFonts w:ascii="Times New Roman" w:hAnsi="Times New Roman" w:cs="Times New Roman"/>
                <w:sz w:val="18"/>
                <w:szCs w:val="18"/>
                <w:lang w:val="ru-RU"/>
              </w:rPr>
            </w:pPr>
          </w:p>
          <w:p w14:paraId="2A82E2EF" w14:textId="77777777" w:rsidR="00712455" w:rsidRPr="00487209" w:rsidRDefault="00712455" w:rsidP="006C6323">
            <w:pPr>
              <w:spacing w:before="120" w:after="120"/>
              <w:ind w:firstLine="5"/>
              <w:jc w:val="center"/>
              <w:rPr>
                <w:rFonts w:ascii="Times New Roman" w:hAnsi="Times New Roman" w:cs="Times New Roman"/>
                <w:sz w:val="18"/>
                <w:szCs w:val="18"/>
                <w:lang w:val="ru-RU"/>
              </w:rPr>
            </w:pPr>
          </w:p>
          <w:p w14:paraId="7A48AC02" w14:textId="77777777" w:rsidR="00712455" w:rsidRPr="00487209" w:rsidRDefault="00712455" w:rsidP="006C6323">
            <w:pPr>
              <w:spacing w:before="120" w:after="120"/>
              <w:ind w:firstLine="5"/>
              <w:jc w:val="center"/>
              <w:rPr>
                <w:rFonts w:ascii="Times New Roman" w:hAnsi="Times New Roman" w:cs="Times New Roman"/>
                <w:sz w:val="18"/>
                <w:szCs w:val="18"/>
                <w:lang w:val="ru-RU"/>
              </w:rPr>
            </w:pPr>
          </w:p>
          <w:p w14:paraId="00AEE4FB" w14:textId="77777777" w:rsidR="00712455" w:rsidRPr="00487209" w:rsidRDefault="00712455" w:rsidP="006C6323">
            <w:pPr>
              <w:spacing w:before="120" w:after="120"/>
              <w:ind w:firstLine="5"/>
              <w:jc w:val="center"/>
              <w:rPr>
                <w:rFonts w:ascii="Times New Roman" w:hAnsi="Times New Roman" w:cs="Times New Roman"/>
                <w:sz w:val="18"/>
                <w:szCs w:val="18"/>
                <w:lang w:val="ru-RU"/>
              </w:rPr>
            </w:pPr>
          </w:p>
          <w:p w14:paraId="5093325F" w14:textId="77777777" w:rsidR="00712455" w:rsidRPr="00487209" w:rsidRDefault="00712455" w:rsidP="006C6323">
            <w:pPr>
              <w:spacing w:before="120" w:after="120"/>
              <w:ind w:firstLine="5"/>
              <w:jc w:val="center"/>
              <w:rPr>
                <w:rFonts w:ascii="Times New Roman" w:hAnsi="Times New Roman" w:cs="Times New Roman"/>
                <w:sz w:val="18"/>
                <w:szCs w:val="18"/>
                <w:lang w:val="ru-RU"/>
              </w:rPr>
            </w:pPr>
          </w:p>
          <w:p w14:paraId="3A004167" w14:textId="77777777" w:rsidR="00712455" w:rsidRPr="00487209" w:rsidRDefault="00712455" w:rsidP="006C6323">
            <w:pPr>
              <w:spacing w:before="120" w:after="120"/>
              <w:ind w:firstLine="5"/>
              <w:jc w:val="center"/>
              <w:rPr>
                <w:rFonts w:ascii="Times New Roman" w:hAnsi="Times New Roman" w:cs="Times New Roman"/>
                <w:sz w:val="18"/>
                <w:szCs w:val="18"/>
                <w:lang w:val="ru-RU"/>
              </w:rPr>
            </w:pPr>
          </w:p>
          <w:p w14:paraId="36D9D806" w14:textId="655F6AE5" w:rsidR="00712455" w:rsidRPr="00487209" w:rsidRDefault="002E2BE1"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0</w:t>
            </w:r>
            <w:r>
              <w:rPr>
                <w:rFonts w:ascii="Times New Roman" w:hAnsi="Times New Roman" w:cs="Times New Roman"/>
                <w:sz w:val="18"/>
                <w:szCs w:val="18"/>
                <w:lang w:val="sr-Cyrl-CS"/>
              </w:rPr>
              <w:t>2</w:t>
            </w:r>
            <w:r w:rsidR="00712455" w:rsidRPr="00487209">
              <w:rPr>
                <w:rFonts w:ascii="Times New Roman" w:hAnsi="Times New Roman" w:cs="Times New Roman"/>
                <w:sz w:val="18"/>
                <w:szCs w:val="18"/>
                <w:lang w:val="ru-RU"/>
              </w:rPr>
              <w:t>.</w:t>
            </w:r>
          </w:p>
          <w:p w14:paraId="5E411C38" w14:textId="77777777" w:rsidR="00712455" w:rsidRPr="00487209" w:rsidRDefault="00712455"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17.2.</w:t>
            </w:r>
          </w:p>
        </w:tc>
        <w:tc>
          <w:tcPr>
            <w:tcW w:w="1231" w:type="pct"/>
            <w:gridSpan w:val="2"/>
            <w:shd w:val="clear" w:color="auto" w:fill="auto"/>
            <w:vAlign w:val="center"/>
          </w:tcPr>
          <w:p w14:paraId="004DD918" w14:textId="77777777" w:rsidR="002E2BE1" w:rsidRPr="002E2BE1" w:rsidRDefault="002E2BE1" w:rsidP="002E2BE1">
            <w:pPr>
              <w:spacing w:before="120"/>
              <w:ind w:right="-23"/>
              <w:jc w:val="both"/>
              <w:outlineLvl w:val="0"/>
              <w:rPr>
                <w:rFonts w:ascii="Times New Roman" w:eastAsia="Batang" w:hAnsi="Times New Roman" w:cs="Times New Roman"/>
                <w:sz w:val="18"/>
                <w:szCs w:val="18"/>
                <w:lang w:val="sr-Cyrl-CS" w:eastAsia="ko-KR"/>
              </w:rPr>
            </w:pPr>
            <w:r w:rsidRPr="002E2BE1">
              <w:rPr>
                <w:rFonts w:ascii="Times New Roman" w:eastAsia="Batang" w:hAnsi="Times New Roman" w:cs="Times New Roman"/>
                <w:sz w:val="18"/>
                <w:szCs w:val="18"/>
                <w:lang w:val="sr-Cyrl-CS" w:eastAsia="ko-KR"/>
              </w:rPr>
              <w:lastRenderedPageBreak/>
              <w:t xml:space="preserve">Увозник који има разлога да сумња да је грађевински производ који је ставио на тржиште усаглашен са декларацијом о перформансама или усклађен са другим захтевима утврђеним овим законом, дужан је да одмах предузме неопходне корективне радње како би усагласио тај грађевински производ са декларацијом о перформансама, односно тај грађевински производ повукао са тржишта или опозвао. </w:t>
            </w:r>
          </w:p>
          <w:p w14:paraId="41BE0079" w14:textId="5A5BFC8E" w:rsidR="00DC537F" w:rsidRPr="00487209" w:rsidRDefault="002E2BE1" w:rsidP="00D20195">
            <w:pPr>
              <w:spacing w:before="120"/>
              <w:ind w:right="-23"/>
              <w:jc w:val="both"/>
              <w:outlineLvl w:val="0"/>
              <w:rPr>
                <w:rStyle w:val="FontStyle41"/>
                <w:rFonts w:ascii="Times New Roman" w:eastAsia="Batang" w:hAnsi="Times New Roman" w:cs="Times New Roman"/>
                <w:b/>
                <w:sz w:val="18"/>
                <w:szCs w:val="18"/>
                <w:lang w:val="sr-Cyrl-CS" w:eastAsia="ko-KR"/>
              </w:rPr>
            </w:pPr>
            <w:r w:rsidRPr="002E2BE1">
              <w:rPr>
                <w:rFonts w:ascii="Times New Roman" w:eastAsia="Batang" w:hAnsi="Times New Roman" w:cs="Times New Roman"/>
                <w:sz w:val="18"/>
                <w:szCs w:val="18"/>
                <w:lang w:val="sr-Cyrl-CS" w:eastAsia="ko-KR"/>
              </w:rPr>
              <w:t>Када грађевински производ из става 9. овог члана представља ризик, увозник је дужан да одмах о томе обавести надлежне органе тржишног надзора, пружајући потребне информације, нарочито у погледу неусклађености и предузетих корективних радњи.</w:t>
            </w:r>
          </w:p>
          <w:p w14:paraId="312506E3" w14:textId="77777777" w:rsidR="00712455" w:rsidRPr="00487209" w:rsidRDefault="00712455" w:rsidP="006C6323">
            <w:pPr>
              <w:pStyle w:val="Style7"/>
              <w:spacing w:before="240" w:after="0" w:line="240" w:lineRule="auto"/>
              <w:ind w:right="-23"/>
              <w:jc w:val="both"/>
              <w:outlineLvl w:val="3"/>
              <w:rPr>
                <w:rStyle w:val="FontStyle41"/>
                <w:rFonts w:ascii="Times New Roman" w:hAnsi="Times New Roman" w:cs="Times New Roman"/>
                <w:sz w:val="18"/>
                <w:szCs w:val="18"/>
                <w:lang w:val="ru-RU"/>
              </w:rPr>
            </w:pPr>
            <w:r w:rsidRPr="00487209">
              <w:rPr>
                <w:rStyle w:val="FontStyle41"/>
                <w:rFonts w:ascii="Times New Roman" w:hAnsi="Times New Roman" w:cs="Times New Roman"/>
                <w:sz w:val="18"/>
                <w:szCs w:val="18"/>
                <w:lang w:val="ru-RU"/>
              </w:rPr>
              <w:t xml:space="preserve">У циљу ефикасније сарадње и размене информације из става 1. овог члана, органи тржишног надзора пружају </w:t>
            </w:r>
            <w:r w:rsidRPr="00487209">
              <w:rPr>
                <w:rStyle w:val="FontStyle41"/>
                <w:rFonts w:ascii="Times New Roman" w:hAnsi="Times New Roman" w:cs="Times New Roman"/>
                <w:sz w:val="18"/>
                <w:szCs w:val="18"/>
                <w:lang w:val="ru-RU"/>
              </w:rPr>
              <w:lastRenderedPageBreak/>
              <w:t>помоћ органима тржишног надзора држава чланица Европске уније, у одговарајућем обиму достављајући информације и документацију, спроводећи одговарајуће провере или друге одговарајуће радње или учествовањем у проверама које су покренуле те државе.</w:t>
            </w:r>
          </w:p>
          <w:p w14:paraId="7485FFA3" w14:textId="77777777" w:rsidR="00723BD9" w:rsidRPr="00487209" w:rsidRDefault="00723BD9" w:rsidP="006C6323">
            <w:pPr>
              <w:pStyle w:val="Style7"/>
              <w:spacing w:before="240" w:after="0" w:line="240" w:lineRule="auto"/>
              <w:ind w:right="-23"/>
              <w:jc w:val="both"/>
              <w:outlineLvl w:val="3"/>
              <w:rPr>
                <w:sz w:val="18"/>
                <w:szCs w:val="18"/>
                <w:lang w:val="ru-RU"/>
              </w:rPr>
            </w:pPr>
          </w:p>
        </w:tc>
        <w:tc>
          <w:tcPr>
            <w:tcW w:w="458" w:type="pct"/>
            <w:shd w:val="clear" w:color="auto" w:fill="auto"/>
            <w:vAlign w:val="center"/>
          </w:tcPr>
          <w:p w14:paraId="53AD13DD" w14:textId="77777777" w:rsidR="000174C1" w:rsidRPr="00487209" w:rsidRDefault="00EF05AD"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П</w:t>
            </w:r>
            <w:r w:rsidR="000174C1" w:rsidRPr="00487209">
              <w:rPr>
                <w:rFonts w:ascii="Times New Roman" w:hAnsi="Times New Roman" w:cs="Times New Roman"/>
                <w:sz w:val="18"/>
                <w:szCs w:val="18"/>
                <w:lang w:val="ru-RU"/>
              </w:rPr>
              <w:t>У</w:t>
            </w:r>
          </w:p>
        </w:tc>
        <w:tc>
          <w:tcPr>
            <w:tcW w:w="598" w:type="pct"/>
            <w:gridSpan w:val="2"/>
            <w:shd w:val="clear" w:color="auto" w:fill="auto"/>
            <w:vAlign w:val="center"/>
          </w:tcPr>
          <w:p w14:paraId="31DFE4AC" w14:textId="77777777" w:rsidR="000174C1" w:rsidRPr="00487209" w:rsidRDefault="000174C1"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755456B9" w14:textId="77777777" w:rsidR="000174C1" w:rsidRPr="00487209" w:rsidRDefault="000174C1" w:rsidP="006C6323">
            <w:pPr>
              <w:spacing w:before="120" w:after="120"/>
              <w:jc w:val="center"/>
              <w:rPr>
                <w:rFonts w:ascii="Times New Roman" w:hAnsi="Times New Roman" w:cs="Times New Roman"/>
                <w:sz w:val="18"/>
                <w:szCs w:val="18"/>
                <w:lang w:val="ru-RU"/>
              </w:rPr>
            </w:pPr>
          </w:p>
        </w:tc>
      </w:tr>
      <w:tr w:rsidR="00337554" w:rsidRPr="00487209" w14:paraId="37F2C1F7" w14:textId="77777777" w:rsidTr="007D5144">
        <w:trPr>
          <w:trHeight w:val="1970"/>
          <w:jc w:val="center"/>
        </w:trPr>
        <w:tc>
          <w:tcPr>
            <w:tcW w:w="435" w:type="pct"/>
            <w:shd w:val="clear" w:color="auto" w:fill="auto"/>
            <w:vAlign w:val="center"/>
          </w:tcPr>
          <w:p w14:paraId="114CC64F"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13.8.</w:t>
            </w:r>
          </w:p>
        </w:tc>
        <w:tc>
          <w:tcPr>
            <w:tcW w:w="1369" w:type="pct"/>
            <w:gridSpan w:val="2"/>
            <w:shd w:val="clear" w:color="auto" w:fill="auto"/>
            <w:vAlign w:val="center"/>
          </w:tcPr>
          <w:p w14:paraId="49607900"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Importers shall, for the period referred to in Article 11(2), keep a copy of the declaration of performance at the disposal of the market surveillance authorities and ensure that the technical documentation is made available to those authorities, upon request.</w:t>
            </w:r>
          </w:p>
        </w:tc>
        <w:tc>
          <w:tcPr>
            <w:tcW w:w="429" w:type="pct"/>
            <w:shd w:val="clear" w:color="auto" w:fill="auto"/>
            <w:vAlign w:val="center"/>
          </w:tcPr>
          <w:p w14:paraId="1FF7328A" w14:textId="77777777" w:rsidR="00F249E1" w:rsidRPr="00487209" w:rsidRDefault="00F249E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72E5AE00" w14:textId="3E80777F" w:rsidR="000174C1" w:rsidRPr="00487209" w:rsidRDefault="000174C1" w:rsidP="005E557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15.</w:t>
            </w:r>
            <w:r w:rsidR="005E557E">
              <w:rPr>
                <w:rFonts w:ascii="Times New Roman" w:hAnsi="Times New Roman" w:cs="Times New Roman"/>
                <w:sz w:val="18"/>
                <w:szCs w:val="18"/>
                <w:lang w:val="ru-RU"/>
              </w:rPr>
              <w:t>11</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7579C791" w14:textId="39A5BF5B" w:rsidR="000174C1" w:rsidRPr="00487209" w:rsidRDefault="005E557E" w:rsidP="00FE5E20">
            <w:pPr>
              <w:jc w:val="both"/>
              <w:rPr>
                <w:rFonts w:ascii="Times New Roman" w:hAnsi="Times New Roman" w:cs="Times New Roman"/>
                <w:sz w:val="18"/>
                <w:szCs w:val="18"/>
                <w:lang w:val="sr-Cyrl-CS"/>
              </w:rPr>
            </w:pPr>
            <w:r w:rsidRPr="00FE5E20">
              <w:rPr>
                <w:rFonts w:ascii="Times New Roman" w:hAnsi="Times New Roman" w:cs="Times New Roman"/>
                <w:sz w:val="18"/>
                <w:szCs w:val="18"/>
              </w:rPr>
              <w:t>Увозник је дужан да у периоду наведеном у члану 13. ст. 3. и 4. овог закона, ставља на располагање примерак декларације о перформансама надлежном органу тржишног надзора и обезбеђује да техничка документација буде доступна тим органима на њихов захтев.</w:t>
            </w:r>
          </w:p>
        </w:tc>
        <w:tc>
          <w:tcPr>
            <w:tcW w:w="458" w:type="pct"/>
            <w:shd w:val="clear" w:color="auto" w:fill="auto"/>
            <w:vAlign w:val="center"/>
          </w:tcPr>
          <w:p w14:paraId="5BEA0294" w14:textId="77777777" w:rsidR="000174C1" w:rsidRPr="00487209" w:rsidRDefault="000174C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3B71E02D" w14:textId="77777777" w:rsidR="000174C1" w:rsidRPr="00487209" w:rsidRDefault="000174C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1AB1F438" w14:textId="77777777" w:rsidR="000174C1" w:rsidRPr="00487209" w:rsidRDefault="000174C1" w:rsidP="006C6323">
            <w:pPr>
              <w:spacing w:before="120" w:after="120"/>
              <w:jc w:val="center"/>
              <w:rPr>
                <w:rFonts w:ascii="Times New Roman" w:hAnsi="Times New Roman" w:cs="Times New Roman"/>
                <w:sz w:val="18"/>
                <w:szCs w:val="18"/>
                <w:lang w:val="ru-RU"/>
              </w:rPr>
            </w:pPr>
          </w:p>
        </w:tc>
      </w:tr>
      <w:tr w:rsidR="00337554" w:rsidRPr="00487209" w14:paraId="65A9B44C" w14:textId="77777777" w:rsidTr="007D5144">
        <w:trPr>
          <w:trHeight w:val="771"/>
          <w:jc w:val="center"/>
        </w:trPr>
        <w:tc>
          <w:tcPr>
            <w:tcW w:w="435" w:type="pct"/>
            <w:shd w:val="clear" w:color="auto" w:fill="auto"/>
            <w:vAlign w:val="center"/>
          </w:tcPr>
          <w:p w14:paraId="7707EE5A"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13.9.</w:t>
            </w:r>
          </w:p>
        </w:tc>
        <w:tc>
          <w:tcPr>
            <w:tcW w:w="1369" w:type="pct"/>
            <w:gridSpan w:val="2"/>
            <w:shd w:val="clear" w:color="auto" w:fill="auto"/>
            <w:vAlign w:val="center"/>
          </w:tcPr>
          <w:p w14:paraId="064FF9CB"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 Importers shall, further to a reasoned request from a competent national authority, provide it with all the information and documentation necessary to demonstrate the conformity of the construction product with the declaration of performance and compliance with other applicable requirements in this Regulation, in a language which can be easily understood by that authority. They shall cooperate with that authority, at its request, on any action taken to eliminate the risks posed by construction products which they have placed on the market.</w:t>
            </w:r>
          </w:p>
        </w:tc>
        <w:tc>
          <w:tcPr>
            <w:tcW w:w="429" w:type="pct"/>
            <w:shd w:val="clear" w:color="auto" w:fill="auto"/>
            <w:vAlign w:val="center"/>
          </w:tcPr>
          <w:p w14:paraId="695A8C5B" w14:textId="77777777" w:rsidR="00F249E1" w:rsidRPr="00487209" w:rsidRDefault="00F249E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4023B532" w14:textId="7B8C9F61" w:rsidR="000174C1" w:rsidRDefault="000174C1" w:rsidP="005E557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15.</w:t>
            </w:r>
            <w:r w:rsidR="005E557E">
              <w:rPr>
                <w:rFonts w:ascii="Times New Roman" w:hAnsi="Times New Roman" w:cs="Times New Roman"/>
                <w:sz w:val="18"/>
                <w:szCs w:val="18"/>
                <w:lang w:val="ru-RU"/>
              </w:rPr>
              <w:t>12</w:t>
            </w:r>
            <w:r w:rsidRPr="00487209">
              <w:rPr>
                <w:rFonts w:ascii="Times New Roman" w:hAnsi="Times New Roman" w:cs="Times New Roman"/>
                <w:sz w:val="18"/>
                <w:szCs w:val="18"/>
                <w:lang w:val="ru-RU"/>
              </w:rPr>
              <w:t>.</w:t>
            </w:r>
          </w:p>
          <w:p w14:paraId="29D8FF46" w14:textId="2B2022A8" w:rsidR="005E557E" w:rsidRPr="00487209" w:rsidRDefault="005E557E" w:rsidP="005E557E">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15.13.</w:t>
            </w:r>
          </w:p>
        </w:tc>
        <w:tc>
          <w:tcPr>
            <w:tcW w:w="1231" w:type="pct"/>
            <w:gridSpan w:val="2"/>
            <w:shd w:val="clear" w:color="auto" w:fill="auto"/>
            <w:vAlign w:val="center"/>
          </w:tcPr>
          <w:p w14:paraId="6CFE6C85" w14:textId="77777777" w:rsidR="005E557E" w:rsidRPr="005E557E" w:rsidRDefault="005E557E" w:rsidP="00FE5E20">
            <w:pPr>
              <w:pStyle w:val="Style7"/>
              <w:spacing w:before="120" w:after="0" w:line="240" w:lineRule="auto"/>
              <w:ind w:right="-23"/>
              <w:jc w:val="both"/>
              <w:rPr>
                <w:sz w:val="18"/>
                <w:szCs w:val="18"/>
                <w:lang w:val="sr-Latn-BA"/>
              </w:rPr>
            </w:pPr>
            <w:r w:rsidRPr="005E557E">
              <w:rPr>
                <w:sz w:val="18"/>
                <w:szCs w:val="18"/>
                <w:lang w:val="sr-Latn-BA"/>
              </w:rPr>
              <w:t xml:space="preserve">На образложени захтев надлежног органа тржишног надзора увозник је дужан да пружи све информације и документацију неопходну за доказивање усаглашености грађевинског производа са декларацијом о перформансама и усклађености са другим захтевима из овог закона, на српском језику. </w:t>
            </w:r>
          </w:p>
          <w:p w14:paraId="04C5E6A4" w14:textId="3CF468A5" w:rsidR="000174C1" w:rsidRPr="00487209" w:rsidRDefault="005E557E" w:rsidP="005E557E">
            <w:pPr>
              <w:pStyle w:val="Style7"/>
              <w:spacing w:before="120" w:after="0" w:line="240" w:lineRule="auto"/>
              <w:ind w:right="-23"/>
              <w:jc w:val="both"/>
              <w:rPr>
                <w:b/>
                <w:sz w:val="18"/>
                <w:szCs w:val="18"/>
              </w:rPr>
            </w:pPr>
            <w:r w:rsidRPr="005E557E">
              <w:rPr>
                <w:sz w:val="18"/>
                <w:szCs w:val="18"/>
                <w:lang w:val="sr-Latn-BA"/>
              </w:rPr>
              <w:t>Увозник је дужан да, на захтев надлежног органа тржишног надзора,  сарађује са тим органом, у свакој активности која се предузима ради отклањања ризика који представља грађевински производ који је ставио на тржиште.</w:t>
            </w:r>
          </w:p>
        </w:tc>
        <w:tc>
          <w:tcPr>
            <w:tcW w:w="458" w:type="pct"/>
            <w:shd w:val="clear" w:color="auto" w:fill="auto"/>
            <w:vAlign w:val="center"/>
          </w:tcPr>
          <w:p w14:paraId="372DDC9F" w14:textId="77777777" w:rsidR="000174C1" w:rsidRPr="00487209" w:rsidRDefault="00723BD9"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Д</w:t>
            </w:r>
            <w:r w:rsidR="000174C1" w:rsidRPr="00487209">
              <w:rPr>
                <w:rFonts w:ascii="Times New Roman" w:hAnsi="Times New Roman" w:cs="Times New Roman"/>
                <w:sz w:val="18"/>
                <w:szCs w:val="18"/>
              </w:rPr>
              <w:t>У</w:t>
            </w:r>
          </w:p>
        </w:tc>
        <w:tc>
          <w:tcPr>
            <w:tcW w:w="598" w:type="pct"/>
            <w:gridSpan w:val="2"/>
            <w:shd w:val="clear" w:color="auto" w:fill="auto"/>
            <w:vAlign w:val="center"/>
          </w:tcPr>
          <w:p w14:paraId="75759EB1" w14:textId="77777777" w:rsidR="00731289" w:rsidRPr="00487209" w:rsidRDefault="00731289" w:rsidP="006C6323">
            <w:pPr>
              <w:spacing w:before="120" w:after="120"/>
              <w:ind w:firstLine="21"/>
              <w:jc w:val="both"/>
              <w:rPr>
                <w:rFonts w:ascii="Times New Roman" w:hAnsi="Times New Roman" w:cs="Times New Roman"/>
                <w:sz w:val="18"/>
                <w:szCs w:val="18"/>
                <w:lang w:val="ru-RU"/>
              </w:rPr>
            </w:pPr>
          </w:p>
          <w:p w14:paraId="482AF981" w14:textId="085528A5" w:rsidR="000174C1" w:rsidRPr="00487209" w:rsidRDefault="00DF2BFF" w:rsidP="00BC1032">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 15. ст.</w:t>
            </w:r>
            <w:r w:rsidR="006778B1" w:rsidRPr="00487209">
              <w:rPr>
                <w:rFonts w:ascii="Times New Roman" w:hAnsi="Times New Roman" w:cs="Times New Roman"/>
                <w:sz w:val="18"/>
                <w:szCs w:val="18"/>
                <w:lang w:val="ru-RU"/>
              </w:rPr>
              <w:t xml:space="preserve"> </w:t>
            </w:r>
            <w:r w:rsidR="00FE5E20">
              <w:rPr>
                <w:rFonts w:ascii="Times New Roman" w:hAnsi="Times New Roman" w:cs="Times New Roman"/>
                <w:sz w:val="18"/>
                <w:szCs w:val="18"/>
                <w:lang w:val="ru-RU"/>
              </w:rPr>
              <w:t>12</w:t>
            </w:r>
            <w:r w:rsidR="006778B1" w:rsidRPr="00487209">
              <w:rPr>
                <w:rFonts w:ascii="Times New Roman" w:hAnsi="Times New Roman" w:cs="Times New Roman"/>
                <w:sz w:val="18"/>
                <w:szCs w:val="18"/>
                <w:lang w:val="ru-RU"/>
              </w:rPr>
              <w:t>.</w:t>
            </w:r>
            <w:r w:rsidR="00FE5E20">
              <w:rPr>
                <w:rFonts w:ascii="Times New Roman" w:hAnsi="Times New Roman" w:cs="Times New Roman"/>
                <w:sz w:val="18"/>
                <w:szCs w:val="18"/>
                <w:lang w:val="ru-RU"/>
              </w:rPr>
              <w:t xml:space="preserve"> и 13.</w:t>
            </w:r>
            <w:r w:rsidR="006778B1" w:rsidRPr="00487209">
              <w:rPr>
                <w:rFonts w:ascii="Times New Roman" w:hAnsi="Times New Roman" w:cs="Times New Roman"/>
                <w:sz w:val="18"/>
                <w:szCs w:val="18"/>
                <w:lang w:val="ru-RU"/>
              </w:rPr>
              <w:t xml:space="preserve">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sidR="00BC1032">
              <w:rPr>
                <w:rFonts w:ascii="Times New Roman" w:hAnsi="Times New Roman" w:cs="Times New Roman"/>
                <w:sz w:val="18"/>
                <w:szCs w:val="18"/>
                <w:lang w:val="ru-RU"/>
              </w:rPr>
              <w:t xml:space="preserve"> је делимично усклађен са чланом</w:t>
            </w:r>
            <w:r w:rsidR="006778B1" w:rsidRPr="00487209">
              <w:rPr>
                <w:rFonts w:ascii="Times New Roman" w:hAnsi="Times New Roman" w:cs="Times New Roman"/>
                <w:sz w:val="18"/>
                <w:szCs w:val="18"/>
                <w:lang w:val="ru-RU"/>
              </w:rPr>
              <w:t xml:space="preserve"> 13.9. Уредбе 305/2011 (ЕУ), осим у делу који се тиче употребе српског језика због статуса нечланице. </w:t>
            </w:r>
            <w:r w:rsidR="006778B1" w:rsidRPr="00487209">
              <w:rPr>
                <w:rFonts w:ascii="Times New Roman" w:hAnsi="Times New Roman" w:cs="Times New Roman"/>
                <w:sz w:val="18"/>
                <w:szCs w:val="18"/>
                <w:lang w:val="sr-Cyrl-CS"/>
              </w:rPr>
              <w:t xml:space="preserve">Потпуно усклађивање није могуће због важења </w:t>
            </w:r>
            <w:r w:rsidR="006778B1" w:rsidRPr="00487209">
              <w:rPr>
                <w:rFonts w:ascii="Times New Roman" w:hAnsi="Times New Roman" w:cs="Times New Roman"/>
                <w:sz w:val="18"/>
                <w:szCs w:val="18"/>
                <w:lang w:val="ru-RU"/>
              </w:rPr>
              <w:t xml:space="preserve">Закона о </w:t>
            </w:r>
            <w:r w:rsidR="006778B1" w:rsidRPr="00487209">
              <w:rPr>
                <w:rFonts w:ascii="Times New Roman" w:hAnsi="Times New Roman" w:cs="Times New Roman"/>
                <w:sz w:val="18"/>
                <w:szCs w:val="18"/>
                <w:lang w:val="ru-RU"/>
              </w:rPr>
              <w:lastRenderedPageBreak/>
              <w:t>службеној употреби језика и писама („Службени гласник РС”, бр. 45/91, 53/93, 67/93, 48/94, 101/0</w:t>
            </w:r>
            <w:r w:rsidR="00BC1032">
              <w:rPr>
                <w:rFonts w:ascii="Times New Roman" w:hAnsi="Times New Roman" w:cs="Times New Roman"/>
                <w:sz w:val="18"/>
                <w:szCs w:val="18"/>
                <w:lang w:val="ru-RU"/>
              </w:rPr>
              <w:t>5 - др. закон и 30/10) чијим чланом</w:t>
            </w:r>
            <w:r w:rsidR="006778B1" w:rsidRPr="00487209">
              <w:rPr>
                <w:rFonts w:ascii="Times New Roman" w:hAnsi="Times New Roman" w:cs="Times New Roman"/>
                <w:sz w:val="18"/>
                <w:szCs w:val="18"/>
                <w:lang w:val="ru-RU"/>
              </w:rPr>
              <w:t xml:space="preserve"> 1. ст</w:t>
            </w:r>
            <w:r w:rsidR="00BC1032">
              <w:rPr>
                <w:rFonts w:ascii="Times New Roman" w:hAnsi="Times New Roman" w:cs="Times New Roman"/>
                <w:sz w:val="18"/>
                <w:szCs w:val="18"/>
                <w:lang w:val="ru-RU"/>
              </w:rPr>
              <w:t>ав</w:t>
            </w:r>
            <w:r w:rsidR="006778B1" w:rsidRPr="00487209">
              <w:rPr>
                <w:rFonts w:ascii="Times New Roman" w:hAnsi="Times New Roman" w:cs="Times New Roman"/>
                <w:sz w:val="18"/>
                <w:szCs w:val="18"/>
                <w:lang w:val="ru-RU"/>
              </w:rPr>
              <w:t xml:space="preserve"> 1</w:t>
            </w:r>
            <w:r w:rsidR="00BC1032">
              <w:rPr>
                <w:rFonts w:ascii="Times New Roman" w:hAnsi="Times New Roman" w:cs="Times New Roman"/>
                <w:sz w:val="18"/>
                <w:szCs w:val="18"/>
                <w:lang w:val="ru-RU"/>
              </w:rPr>
              <w:t>.</w:t>
            </w:r>
            <w:r w:rsidR="006778B1" w:rsidRPr="00487209">
              <w:rPr>
                <w:rFonts w:ascii="Times New Roman" w:hAnsi="Times New Roman" w:cs="Times New Roman"/>
                <w:sz w:val="18"/>
                <w:szCs w:val="18"/>
                <w:lang w:val="ru-RU"/>
              </w:rPr>
              <w:t xml:space="preserve"> је прописано да је </w:t>
            </w:r>
            <w:r w:rsidR="006778B1" w:rsidRPr="00487209">
              <w:rPr>
                <w:rFonts w:ascii="Times New Roman" w:hAnsi="Times New Roman" w:cs="Times New Roman"/>
                <w:sz w:val="18"/>
                <w:szCs w:val="18"/>
                <w:lang w:val="sr-Cyrl-CS"/>
              </w:rPr>
              <w:t>у</w:t>
            </w:r>
            <w:r w:rsidR="006778B1" w:rsidRPr="00487209">
              <w:rPr>
                <w:rFonts w:ascii="Times New Roman" w:hAnsi="Times New Roman" w:cs="Times New Roman"/>
                <w:sz w:val="18"/>
                <w:szCs w:val="18"/>
                <w:lang w:val="ru-RU"/>
              </w:rPr>
              <w:t xml:space="preserve"> Републици Србији у слу</w:t>
            </w:r>
            <w:r w:rsidR="00BC1032">
              <w:rPr>
                <w:rFonts w:ascii="Times New Roman" w:hAnsi="Times New Roman" w:cs="Times New Roman"/>
                <w:sz w:val="18"/>
                <w:szCs w:val="18"/>
                <w:lang w:val="ru-RU"/>
              </w:rPr>
              <w:t>жбеној је употреби српски језик, а чланом 2 став</w:t>
            </w:r>
            <w:r w:rsidR="006778B1" w:rsidRPr="00487209">
              <w:rPr>
                <w:rFonts w:ascii="Times New Roman" w:hAnsi="Times New Roman" w:cs="Times New Roman"/>
                <w:sz w:val="18"/>
                <w:szCs w:val="18"/>
                <w:lang w:val="ru-RU"/>
              </w:rPr>
              <w:t xml:space="preserve"> 2. да се службеном употребом језика и писама, између осталог, у смислу тог закона, сматра се употреба језика и писама у раду државних органа.</w:t>
            </w:r>
          </w:p>
        </w:tc>
        <w:tc>
          <w:tcPr>
            <w:tcW w:w="480" w:type="pct"/>
            <w:shd w:val="clear" w:color="auto" w:fill="auto"/>
            <w:vAlign w:val="center"/>
          </w:tcPr>
          <w:p w14:paraId="33B29923" w14:textId="77777777" w:rsidR="000174C1" w:rsidRPr="00487209" w:rsidRDefault="000174C1" w:rsidP="006C6323">
            <w:pPr>
              <w:spacing w:before="120" w:after="120"/>
              <w:jc w:val="center"/>
              <w:rPr>
                <w:rFonts w:ascii="Times New Roman" w:hAnsi="Times New Roman" w:cs="Times New Roman"/>
                <w:sz w:val="18"/>
                <w:szCs w:val="18"/>
                <w:lang w:val="sr-Latn-BA"/>
              </w:rPr>
            </w:pPr>
          </w:p>
        </w:tc>
      </w:tr>
      <w:tr w:rsidR="00337554" w:rsidRPr="00487209" w14:paraId="4E4D86F3" w14:textId="77777777" w:rsidTr="007D5144">
        <w:trPr>
          <w:trHeight w:val="1970"/>
          <w:jc w:val="center"/>
        </w:trPr>
        <w:tc>
          <w:tcPr>
            <w:tcW w:w="435" w:type="pct"/>
            <w:shd w:val="clear" w:color="auto" w:fill="auto"/>
            <w:vAlign w:val="center"/>
          </w:tcPr>
          <w:p w14:paraId="3A76A69E"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14.1.</w:t>
            </w:r>
          </w:p>
        </w:tc>
        <w:tc>
          <w:tcPr>
            <w:tcW w:w="1369" w:type="pct"/>
            <w:gridSpan w:val="2"/>
            <w:shd w:val="clear" w:color="auto" w:fill="auto"/>
            <w:vAlign w:val="center"/>
          </w:tcPr>
          <w:p w14:paraId="74E2E186"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When making a construction product available on the market, distributors shall act with due care in relation to the requirements of this Regulation.</w:t>
            </w:r>
          </w:p>
        </w:tc>
        <w:tc>
          <w:tcPr>
            <w:tcW w:w="429" w:type="pct"/>
            <w:shd w:val="clear" w:color="auto" w:fill="auto"/>
            <w:vAlign w:val="center"/>
          </w:tcPr>
          <w:p w14:paraId="3EF2C19F" w14:textId="663AA767" w:rsidR="000174C1" w:rsidRPr="00487209" w:rsidRDefault="0047769D" w:rsidP="006C6323">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16.1.</w:t>
            </w:r>
          </w:p>
        </w:tc>
        <w:tc>
          <w:tcPr>
            <w:tcW w:w="1231" w:type="pct"/>
            <w:gridSpan w:val="2"/>
            <w:shd w:val="clear" w:color="auto" w:fill="auto"/>
            <w:vAlign w:val="center"/>
          </w:tcPr>
          <w:p w14:paraId="01FAD8FE" w14:textId="0EF3707F" w:rsidR="000174C1" w:rsidRPr="00487209" w:rsidRDefault="0047769D" w:rsidP="007D5144">
            <w:pPr>
              <w:jc w:val="both"/>
              <w:rPr>
                <w:rFonts w:ascii="Times New Roman" w:hAnsi="Times New Roman" w:cs="Times New Roman"/>
                <w:sz w:val="18"/>
                <w:szCs w:val="18"/>
                <w:lang w:val="sr-Cyrl-CS"/>
              </w:rPr>
            </w:pPr>
            <w:r w:rsidRPr="0047769D">
              <w:rPr>
                <w:rFonts w:ascii="Times New Roman" w:hAnsi="Times New Roman" w:cs="Times New Roman"/>
                <w:sz w:val="18"/>
                <w:szCs w:val="18"/>
                <w:lang w:val="sr-Cyrl-CS"/>
              </w:rPr>
              <w:t>Дистрибутер чини доступним на тржиште Републике Србије само грађевинске производе који су усклађени са захтевима утврђеним овим законом.</w:t>
            </w:r>
          </w:p>
        </w:tc>
        <w:tc>
          <w:tcPr>
            <w:tcW w:w="458" w:type="pct"/>
            <w:shd w:val="clear" w:color="auto" w:fill="auto"/>
            <w:vAlign w:val="center"/>
          </w:tcPr>
          <w:p w14:paraId="0F632ECA" w14:textId="7DA8006B" w:rsidR="000174C1" w:rsidRPr="00487209" w:rsidRDefault="0047769D" w:rsidP="0047769D">
            <w:pPr>
              <w:spacing w:before="120" w:after="120"/>
              <w:jc w:val="center"/>
              <w:rPr>
                <w:rFonts w:ascii="Times New Roman" w:hAnsi="Times New Roman" w:cs="Times New Roman"/>
                <w:sz w:val="18"/>
                <w:szCs w:val="18"/>
              </w:rPr>
            </w:pPr>
            <w:r>
              <w:rPr>
                <w:rFonts w:ascii="Times New Roman" w:hAnsi="Times New Roman" w:cs="Times New Roman"/>
                <w:sz w:val="18"/>
                <w:szCs w:val="18"/>
                <w:lang w:val="sr-Cyrl-CS"/>
              </w:rPr>
              <w:t>ПУ</w:t>
            </w:r>
          </w:p>
        </w:tc>
        <w:tc>
          <w:tcPr>
            <w:tcW w:w="598" w:type="pct"/>
            <w:gridSpan w:val="2"/>
            <w:shd w:val="clear" w:color="auto" w:fill="auto"/>
            <w:vAlign w:val="center"/>
          </w:tcPr>
          <w:p w14:paraId="31EBABA5" w14:textId="1BFD9704" w:rsidR="00723BD9" w:rsidRPr="00487209" w:rsidRDefault="00723BD9" w:rsidP="006C6323">
            <w:pPr>
              <w:spacing w:before="120" w:after="120"/>
              <w:jc w:val="both"/>
              <w:rPr>
                <w:rFonts w:ascii="Times New Roman" w:hAnsi="Times New Roman" w:cs="Times New Roman"/>
                <w:sz w:val="18"/>
                <w:szCs w:val="18"/>
                <w:lang w:val="sr-Cyrl-CS"/>
              </w:rPr>
            </w:pPr>
          </w:p>
        </w:tc>
        <w:tc>
          <w:tcPr>
            <w:tcW w:w="480" w:type="pct"/>
            <w:shd w:val="clear" w:color="auto" w:fill="auto"/>
            <w:vAlign w:val="center"/>
          </w:tcPr>
          <w:p w14:paraId="3924A7FE" w14:textId="77777777" w:rsidR="000174C1" w:rsidRPr="00487209" w:rsidRDefault="000174C1" w:rsidP="006C6323">
            <w:pPr>
              <w:spacing w:before="120" w:after="120"/>
              <w:jc w:val="center"/>
              <w:rPr>
                <w:rFonts w:ascii="Times New Roman" w:hAnsi="Times New Roman" w:cs="Times New Roman"/>
                <w:sz w:val="18"/>
                <w:szCs w:val="18"/>
                <w:lang w:val="ru-RU"/>
              </w:rPr>
            </w:pPr>
          </w:p>
        </w:tc>
      </w:tr>
      <w:tr w:rsidR="00337554" w:rsidRPr="00487209" w14:paraId="3C1822D5" w14:textId="77777777" w:rsidTr="007D5144">
        <w:trPr>
          <w:trHeight w:val="1970"/>
          <w:jc w:val="center"/>
        </w:trPr>
        <w:tc>
          <w:tcPr>
            <w:tcW w:w="435" w:type="pct"/>
            <w:shd w:val="clear" w:color="auto" w:fill="auto"/>
            <w:vAlign w:val="center"/>
          </w:tcPr>
          <w:p w14:paraId="0F3F03A7"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14.2.</w:t>
            </w:r>
          </w:p>
        </w:tc>
        <w:tc>
          <w:tcPr>
            <w:tcW w:w="1369" w:type="pct"/>
            <w:gridSpan w:val="2"/>
            <w:shd w:val="clear" w:color="auto" w:fill="auto"/>
            <w:vAlign w:val="center"/>
          </w:tcPr>
          <w:p w14:paraId="7F7BDC4E" w14:textId="77777777" w:rsidR="000174C1" w:rsidRPr="00487209" w:rsidRDefault="000174C1" w:rsidP="006C6323">
            <w:pPr>
              <w:jc w:val="both"/>
              <w:rPr>
                <w:rFonts w:ascii="Times New Roman" w:hAnsi="Times New Roman" w:cs="Times New Roman"/>
                <w:sz w:val="18"/>
                <w:szCs w:val="18"/>
                <w:lang w:val="sr-Cyrl-CS"/>
              </w:rPr>
            </w:pPr>
          </w:p>
          <w:p w14:paraId="4DBF96D8" w14:textId="77777777" w:rsidR="000174C1" w:rsidRPr="00487209" w:rsidRDefault="000174C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Before making a construction product available on the market distributors shall ensure that the product, where required, bears the CE marking and is accompanied by the documents required under this Regulation and by instructions and safety information in a language determined by the Member State concerned which can be easily understood by users. Distributors shall also ensure that the manufacturer and the importer have complied with the requirements set out in Article 11(4) and (5) and Article 13(3) respectively.</w:t>
            </w:r>
          </w:p>
          <w:p w14:paraId="4A0AB5B5" w14:textId="77777777" w:rsidR="000174C1" w:rsidRPr="00487209" w:rsidRDefault="000174C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Where a distributor considers or has reason to believe that a construction product is not in conformity with the declaration of performance or not in compliance with other applicable requirements in this Regulation, the distributor shall not make the product available on the market until it conforms to the accompanying declaration of performance and it complies with the other applicable requirements in this Regulation or until the declaration of performance is corrected. Furthermore, where the product presents a risk, the distributor shall inform the manufacturer or the importer thereof, and the market surveillance authorities.</w:t>
            </w:r>
          </w:p>
          <w:p w14:paraId="17E9C769" w14:textId="77777777" w:rsidR="000174C1" w:rsidRPr="00487209" w:rsidRDefault="000174C1" w:rsidP="006C6323">
            <w:pPr>
              <w:jc w:val="both"/>
              <w:rPr>
                <w:rFonts w:ascii="Times New Roman" w:hAnsi="Times New Roman" w:cs="Times New Roman"/>
                <w:sz w:val="18"/>
                <w:szCs w:val="18"/>
                <w:lang w:val="sr-Cyrl-CS"/>
              </w:rPr>
            </w:pPr>
          </w:p>
        </w:tc>
        <w:tc>
          <w:tcPr>
            <w:tcW w:w="429" w:type="pct"/>
            <w:shd w:val="clear" w:color="auto" w:fill="auto"/>
            <w:vAlign w:val="center"/>
          </w:tcPr>
          <w:p w14:paraId="51C7700D" w14:textId="77777777" w:rsidR="00F249E1" w:rsidRPr="00487209" w:rsidRDefault="00F249E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038B0186" w14:textId="748F94EB" w:rsidR="000174C1" w:rsidRPr="00487209" w:rsidRDefault="000174C1"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16.</w:t>
            </w:r>
            <w:r w:rsidR="0047769D">
              <w:rPr>
                <w:rFonts w:ascii="Times New Roman" w:hAnsi="Times New Roman" w:cs="Times New Roman"/>
                <w:sz w:val="18"/>
                <w:szCs w:val="18"/>
                <w:lang w:val="ru-RU"/>
              </w:rPr>
              <w:t>2</w:t>
            </w:r>
            <w:r w:rsidRPr="00487209">
              <w:rPr>
                <w:rFonts w:ascii="Times New Roman" w:hAnsi="Times New Roman" w:cs="Times New Roman"/>
                <w:sz w:val="18"/>
                <w:szCs w:val="18"/>
                <w:lang w:val="ru-RU"/>
              </w:rPr>
              <w:t>.</w:t>
            </w:r>
          </w:p>
          <w:p w14:paraId="06C6333F" w14:textId="77777777" w:rsidR="00222DDC" w:rsidRPr="00487209" w:rsidRDefault="00222DDC" w:rsidP="006C6323">
            <w:pPr>
              <w:spacing w:before="120" w:after="120"/>
              <w:ind w:firstLine="5"/>
              <w:jc w:val="center"/>
              <w:rPr>
                <w:rFonts w:ascii="Times New Roman" w:hAnsi="Times New Roman" w:cs="Times New Roman"/>
                <w:sz w:val="18"/>
                <w:szCs w:val="18"/>
                <w:lang w:val="ru-RU"/>
              </w:rPr>
            </w:pPr>
          </w:p>
          <w:p w14:paraId="7CA8A8E3" w14:textId="77777777" w:rsidR="00222DDC" w:rsidRPr="00487209" w:rsidRDefault="00222DDC" w:rsidP="006C6323">
            <w:pPr>
              <w:spacing w:before="120" w:after="120"/>
              <w:ind w:firstLine="5"/>
              <w:jc w:val="center"/>
              <w:rPr>
                <w:rFonts w:ascii="Times New Roman" w:hAnsi="Times New Roman" w:cs="Times New Roman"/>
                <w:sz w:val="18"/>
                <w:szCs w:val="18"/>
                <w:lang w:val="ru-RU"/>
              </w:rPr>
            </w:pPr>
          </w:p>
          <w:p w14:paraId="31161B94" w14:textId="77E2B948" w:rsidR="00222DDC" w:rsidRDefault="00222DDC" w:rsidP="006C6323">
            <w:pPr>
              <w:spacing w:before="120" w:after="120"/>
              <w:ind w:firstLine="5"/>
              <w:jc w:val="center"/>
              <w:rPr>
                <w:rFonts w:ascii="Times New Roman" w:hAnsi="Times New Roman" w:cs="Times New Roman"/>
                <w:sz w:val="18"/>
                <w:szCs w:val="18"/>
                <w:lang w:val="ru-RU"/>
              </w:rPr>
            </w:pPr>
          </w:p>
          <w:p w14:paraId="4FEAFBD6" w14:textId="112D3B5C" w:rsidR="007D5144" w:rsidRDefault="007D5144" w:rsidP="006C6323">
            <w:pPr>
              <w:spacing w:before="120" w:after="120"/>
              <w:ind w:firstLine="5"/>
              <w:jc w:val="center"/>
              <w:rPr>
                <w:rFonts w:ascii="Times New Roman" w:hAnsi="Times New Roman" w:cs="Times New Roman"/>
                <w:sz w:val="18"/>
                <w:szCs w:val="18"/>
                <w:lang w:val="ru-RU"/>
              </w:rPr>
            </w:pPr>
          </w:p>
          <w:p w14:paraId="0F4AFFAF" w14:textId="285D622D" w:rsidR="007D5144" w:rsidRDefault="007D5144" w:rsidP="006C6323">
            <w:pPr>
              <w:spacing w:before="120" w:after="120"/>
              <w:ind w:firstLine="5"/>
              <w:jc w:val="center"/>
              <w:rPr>
                <w:rFonts w:ascii="Times New Roman" w:hAnsi="Times New Roman" w:cs="Times New Roman"/>
                <w:sz w:val="18"/>
                <w:szCs w:val="18"/>
                <w:lang w:val="ru-RU"/>
              </w:rPr>
            </w:pPr>
          </w:p>
          <w:p w14:paraId="218C2467" w14:textId="77777777" w:rsidR="007D5144" w:rsidRPr="00487209" w:rsidRDefault="007D5144" w:rsidP="006C6323">
            <w:pPr>
              <w:spacing w:before="120" w:after="120"/>
              <w:ind w:firstLine="5"/>
              <w:jc w:val="center"/>
              <w:rPr>
                <w:rFonts w:ascii="Times New Roman" w:hAnsi="Times New Roman" w:cs="Times New Roman"/>
                <w:sz w:val="18"/>
                <w:szCs w:val="18"/>
                <w:lang w:val="ru-RU"/>
              </w:rPr>
            </w:pPr>
          </w:p>
          <w:p w14:paraId="69EF872B" w14:textId="2526402A" w:rsidR="000174C1" w:rsidRDefault="000174C1" w:rsidP="0047769D">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16.</w:t>
            </w:r>
            <w:r w:rsidR="0047769D">
              <w:rPr>
                <w:rFonts w:ascii="Times New Roman" w:hAnsi="Times New Roman" w:cs="Times New Roman"/>
                <w:sz w:val="18"/>
                <w:szCs w:val="18"/>
                <w:lang w:val="ru-RU"/>
              </w:rPr>
              <w:t>3</w:t>
            </w:r>
            <w:r w:rsidRPr="00487209">
              <w:rPr>
                <w:rFonts w:ascii="Times New Roman" w:hAnsi="Times New Roman" w:cs="Times New Roman"/>
                <w:sz w:val="18"/>
                <w:szCs w:val="18"/>
                <w:lang w:val="ru-RU"/>
              </w:rPr>
              <w:t>.</w:t>
            </w:r>
          </w:p>
          <w:p w14:paraId="7DB03940" w14:textId="75EFF431" w:rsidR="0047769D" w:rsidRDefault="0047769D" w:rsidP="0047769D">
            <w:pPr>
              <w:spacing w:before="120" w:after="120"/>
              <w:ind w:firstLine="5"/>
              <w:jc w:val="center"/>
              <w:rPr>
                <w:rFonts w:ascii="Times New Roman" w:hAnsi="Times New Roman" w:cs="Times New Roman"/>
                <w:sz w:val="18"/>
                <w:szCs w:val="18"/>
                <w:lang w:val="ru-RU"/>
              </w:rPr>
            </w:pPr>
          </w:p>
          <w:p w14:paraId="1177E202" w14:textId="783C6592" w:rsidR="007D5144" w:rsidRDefault="007D5144" w:rsidP="0047769D">
            <w:pPr>
              <w:spacing w:before="120" w:after="120"/>
              <w:ind w:firstLine="5"/>
              <w:jc w:val="center"/>
              <w:rPr>
                <w:rFonts w:ascii="Times New Roman" w:hAnsi="Times New Roman" w:cs="Times New Roman"/>
                <w:sz w:val="18"/>
                <w:szCs w:val="18"/>
                <w:lang w:val="ru-RU"/>
              </w:rPr>
            </w:pPr>
          </w:p>
          <w:p w14:paraId="401193F7" w14:textId="0F6FB210" w:rsidR="007D5144" w:rsidRDefault="007D5144" w:rsidP="0047769D">
            <w:pPr>
              <w:spacing w:before="120" w:after="120"/>
              <w:ind w:firstLine="5"/>
              <w:jc w:val="center"/>
              <w:rPr>
                <w:rFonts w:ascii="Times New Roman" w:hAnsi="Times New Roman" w:cs="Times New Roman"/>
                <w:sz w:val="18"/>
                <w:szCs w:val="18"/>
                <w:lang w:val="ru-RU"/>
              </w:rPr>
            </w:pPr>
          </w:p>
          <w:p w14:paraId="4B0ECDC7" w14:textId="55E4C0D1" w:rsidR="007D5144" w:rsidRDefault="007D5144" w:rsidP="0047769D">
            <w:pPr>
              <w:spacing w:before="120" w:after="120"/>
              <w:ind w:firstLine="5"/>
              <w:jc w:val="center"/>
              <w:rPr>
                <w:rFonts w:ascii="Times New Roman" w:hAnsi="Times New Roman" w:cs="Times New Roman"/>
                <w:sz w:val="18"/>
                <w:szCs w:val="18"/>
                <w:lang w:val="ru-RU"/>
              </w:rPr>
            </w:pPr>
          </w:p>
          <w:p w14:paraId="43C5FB46" w14:textId="77777777" w:rsidR="007D5144" w:rsidRDefault="007D5144" w:rsidP="0047769D">
            <w:pPr>
              <w:spacing w:before="120" w:after="120"/>
              <w:ind w:firstLine="5"/>
              <w:jc w:val="center"/>
              <w:rPr>
                <w:rFonts w:ascii="Times New Roman" w:hAnsi="Times New Roman" w:cs="Times New Roman"/>
                <w:sz w:val="18"/>
                <w:szCs w:val="18"/>
                <w:lang w:val="ru-RU"/>
              </w:rPr>
            </w:pPr>
          </w:p>
          <w:p w14:paraId="2880F480" w14:textId="7EAD1F95" w:rsidR="0047769D" w:rsidRPr="00487209" w:rsidRDefault="0047769D" w:rsidP="0047769D">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16.4.</w:t>
            </w:r>
          </w:p>
        </w:tc>
        <w:tc>
          <w:tcPr>
            <w:tcW w:w="1231" w:type="pct"/>
            <w:gridSpan w:val="2"/>
            <w:shd w:val="clear" w:color="auto" w:fill="auto"/>
            <w:vAlign w:val="center"/>
          </w:tcPr>
          <w:p w14:paraId="5DEF0BC7" w14:textId="77777777" w:rsidR="0047769D" w:rsidRPr="0047769D" w:rsidRDefault="0047769D" w:rsidP="0047769D">
            <w:pPr>
              <w:spacing w:before="120"/>
              <w:ind w:right="-23"/>
              <w:jc w:val="both"/>
              <w:rPr>
                <w:rFonts w:ascii="Times New Roman" w:eastAsia="Batang" w:hAnsi="Times New Roman" w:cs="Times New Roman"/>
                <w:sz w:val="18"/>
                <w:szCs w:val="18"/>
                <w:lang w:val="sr-Cyrl-CS" w:eastAsia="ko-KR"/>
              </w:rPr>
            </w:pPr>
            <w:r w:rsidRPr="0047769D">
              <w:rPr>
                <w:rFonts w:ascii="Times New Roman" w:eastAsia="Batang" w:hAnsi="Times New Roman" w:cs="Times New Roman"/>
                <w:sz w:val="18"/>
                <w:szCs w:val="18"/>
                <w:lang w:val="sr-Cyrl-CS" w:eastAsia="ko-KR"/>
              </w:rPr>
              <w:t>Дистрибутер је дужан да пре него што учини доступним грађевински производ на тржишту Републике Србије, обезбеди да је:</w:t>
            </w:r>
          </w:p>
          <w:p w14:paraId="36A3B4B9" w14:textId="77777777" w:rsidR="0047769D" w:rsidRPr="007D5144" w:rsidRDefault="0047769D" w:rsidP="007D5144">
            <w:pPr>
              <w:pStyle w:val="ListParagraph"/>
              <w:numPr>
                <w:ilvl w:val="0"/>
                <w:numId w:val="97"/>
              </w:numPr>
              <w:spacing w:before="120"/>
              <w:ind w:left="471" w:right="-23" w:hanging="283"/>
              <w:jc w:val="both"/>
              <w:rPr>
                <w:rFonts w:eastAsia="Batang"/>
                <w:sz w:val="18"/>
                <w:szCs w:val="18"/>
                <w:lang w:eastAsia="ko-KR"/>
              </w:rPr>
            </w:pPr>
            <w:r w:rsidRPr="007D5144">
              <w:rPr>
                <w:rFonts w:eastAsia="Batang"/>
                <w:sz w:val="18"/>
                <w:szCs w:val="18"/>
                <w:lang w:eastAsia="ko-KR"/>
              </w:rPr>
              <w:t>на грађевински производ, када је прописано, стављен српски знак усаглашености;</w:t>
            </w:r>
          </w:p>
          <w:p w14:paraId="4158F878" w14:textId="77777777" w:rsidR="0047769D" w:rsidRPr="007D5144" w:rsidRDefault="0047769D" w:rsidP="007D5144">
            <w:pPr>
              <w:pStyle w:val="ListParagraph"/>
              <w:numPr>
                <w:ilvl w:val="0"/>
                <w:numId w:val="97"/>
              </w:numPr>
              <w:spacing w:before="120"/>
              <w:ind w:left="471" w:right="-23" w:hanging="283"/>
              <w:jc w:val="both"/>
              <w:rPr>
                <w:rFonts w:eastAsia="Batang"/>
                <w:sz w:val="18"/>
                <w:szCs w:val="18"/>
                <w:lang w:eastAsia="ko-KR"/>
              </w:rPr>
            </w:pPr>
            <w:r w:rsidRPr="007D5144">
              <w:rPr>
                <w:rFonts w:eastAsia="Batang"/>
                <w:sz w:val="18"/>
                <w:szCs w:val="18"/>
                <w:lang w:eastAsia="ko-KR"/>
              </w:rPr>
              <w:t>грађевински производ праћен документацијом и техничким упутствима на српском језику, који су прописани овим законом ;</w:t>
            </w:r>
          </w:p>
          <w:p w14:paraId="0D40F694" w14:textId="77777777" w:rsidR="0047769D" w:rsidRPr="007D5144" w:rsidRDefault="0047769D" w:rsidP="007D5144">
            <w:pPr>
              <w:pStyle w:val="ListParagraph"/>
              <w:numPr>
                <w:ilvl w:val="0"/>
                <w:numId w:val="97"/>
              </w:numPr>
              <w:spacing w:before="120"/>
              <w:ind w:left="471" w:right="-23" w:hanging="283"/>
              <w:jc w:val="both"/>
              <w:rPr>
                <w:rFonts w:eastAsia="Batang"/>
                <w:sz w:val="18"/>
                <w:szCs w:val="18"/>
                <w:lang w:eastAsia="ko-KR"/>
              </w:rPr>
            </w:pPr>
            <w:r w:rsidRPr="007D5144">
              <w:rPr>
                <w:rFonts w:eastAsia="Batang"/>
                <w:sz w:val="18"/>
                <w:szCs w:val="18"/>
                <w:lang w:eastAsia="ko-KR"/>
              </w:rPr>
              <w:t>произвођач и увозник испунио захтеве прописане чланом 13. ст. 7. и 8. односно чланом 15. став 5. овог закона;</w:t>
            </w:r>
          </w:p>
          <w:p w14:paraId="10403D39" w14:textId="77777777" w:rsidR="0047769D" w:rsidRPr="007D5144" w:rsidRDefault="0047769D" w:rsidP="007D5144">
            <w:pPr>
              <w:pStyle w:val="ListParagraph"/>
              <w:numPr>
                <w:ilvl w:val="0"/>
                <w:numId w:val="97"/>
              </w:numPr>
              <w:spacing w:before="120"/>
              <w:ind w:left="471" w:right="-23" w:hanging="283"/>
              <w:jc w:val="both"/>
              <w:rPr>
                <w:rFonts w:eastAsia="Batang"/>
                <w:sz w:val="18"/>
                <w:szCs w:val="18"/>
                <w:lang w:eastAsia="ko-KR"/>
              </w:rPr>
            </w:pPr>
            <w:r w:rsidRPr="007D5144">
              <w:rPr>
                <w:rFonts w:eastAsia="Batang"/>
                <w:sz w:val="18"/>
                <w:szCs w:val="18"/>
                <w:lang w:eastAsia="ko-KR"/>
              </w:rPr>
              <w:t>поступљено у складу са чланом 9. став 5. овог закона.</w:t>
            </w:r>
          </w:p>
          <w:p w14:paraId="0B7962B1" w14:textId="77777777" w:rsidR="0047769D" w:rsidRPr="0047769D" w:rsidRDefault="0047769D" w:rsidP="0047769D">
            <w:pPr>
              <w:spacing w:before="120"/>
              <w:ind w:right="-23"/>
              <w:jc w:val="both"/>
              <w:rPr>
                <w:rFonts w:ascii="Times New Roman" w:eastAsia="Batang" w:hAnsi="Times New Roman" w:cs="Times New Roman"/>
                <w:sz w:val="18"/>
                <w:szCs w:val="18"/>
                <w:lang w:val="sr-Cyrl-CS" w:eastAsia="ko-KR"/>
              </w:rPr>
            </w:pPr>
            <w:r w:rsidRPr="0047769D">
              <w:rPr>
                <w:rFonts w:ascii="Times New Roman" w:eastAsia="Batang" w:hAnsi="Times New Roman" w:cs="Times New Roman"/>
                <w:sz w:val="18"/>
                <w:szCs w:val="18"/>
                <w:lang w:val="sr-Cyrl-CS" w:eastAsia="ko-KR"/>
              </w:rPr>
              <w:t xml:space="preserve">Дистрибутер који има разлога да сумња да је грађевински производ усаглашен са декларацијом о перформансама или усклађен са другим захтевима из овог закона, не сме тај грађевински производ да учини доступним на тржишту, све док исти не буде усаглашен са пратећом декларацијом о перформансама и усклађен са другим захтевима утврђеним овим законом или док декларација о перформансама не буде исправљена. </w:t>
            </w:r>
          </w:p>
          <w:p w14:paraId="4ACBCF81" w14:textId="77777777" w:rsidR="0047769D" w:rsidRPr="0047769D" w:rsidRDefault="0047769D" w:rsidP="0047769D">
            <w:pPr>
              <w:spacing w:before="120"/>
              <w:ind w:right="-23"/>
              <w:jc w:val="both"/>
              <w:rPr>
                <w:rFonts w:ascii="Times New Roman" w:eastAsia="Batang" w:hAnsi="Times New Roman" w:cs="Times New Roman"/>
                <w:sz w:val="18"/>
                <w:szCs w:val="18"/>
                <w:lang w:val="sr-Cyrl-CS" w:eastAsia="ko-KR"/>
              </w:rPr>
            </w:pPr>
            <w:r w:rsidRPr="0047769D">
              <w:rPr>
                <w:rFonts w:ascii="Times New Roman" w:eastAsia="Batang" w:hAnsi="Times New Roman" w:cs="Times New Roman"/>
                <w:sz w:val="18"/>
                <w:szCs w:val="18"/>
                <w:lang w:val="sr-Cyrl-CS" w:eastAsia="ko-KR"/>
              </w:rPr>
              <w:t>Када грађевински производ из става 3. овог члана представља ризик, дистрибутер је дужан да о томе обавести произвођача или увозника и надлежни орган тржишног надзора.</w:t>
            </w:r>
          </w:p>
          <w:p w14:paraId="3A7A01AB" w14:textId="77777777" w:rsidR="00FA5C2F" w:rsidRPr="00487209" w:rsidRDefault="00FA5C2F" w:rsidP="002B2202">
            <w:pPr>
              <w:spacing w:before="120"/>
              <w:ind w:right="-23"/>
              <w:jc w:val="both"/>
              <w:outlineLvl w:val="0"/>
              <w:rPr>
                <w:rFonts w:ascii="Times New Roman" w:hAnsi="Times New Roman" w:cs="Times New Roman"/>
                <w:sz w:val="18"/>
                <w:szCs w:val="18"/>
                <w:lang w:val="sr-Cyrl-CS"/>
              </w:rPr>
            </w:pPr>
          </w:p>
        </w:tc>
        <w:tc>
          <w:tcPr>
            <w:tcW w:w="458" w:type="pct"/>
            <w:shd w:val="clear" w:color="auto" w:fill="auto"/>
            <w:vAlign w:val="center"/>
          </w:tcPr>
          <w:p w14:paraId="759EDE86" w14:textId="77777777" w:rsidR="000174C1" w:rsidRPr="00487209" w:rsidRDefault="000174C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ДУ</w:t>
            </w:r>
          </w:p>
        </w:tc>
        <w:tc>
          <w:tcPr>
            <w:tcW w:w="598" w:type="pct"/>
            <w:gridSpan w:val="2"/>
            <w:shd w:val="clear" w:color="auto" w:fill="auto"/>
            <w:vAlign w:val="center"/>
          </w:tcPr>
          <w:p w14:paraId="6ACBBFFA" w14:textId="24ED85FB" w:rsidR="000174C1" w:rsidRPr="00487209" w:rsidRDefault="00BC1032" w:rsidP="002B2202">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E44D08" w:rsidRPr="00487209">
              <w:rPr>
                <w:rFonts w:ascii="Times New Roman" w:hAnsi="Times New Roman" w:cs="Times New Roman"/>
                <w:sz w:val="18"/>
                <w:szCs w:val="18"/>
                <w:lang w:val="ru-RU"/>
              </w:rPr>
              <w:t xml:space="preserve"> 1</w:t>
            </w:r>
            <w:r w:rsidR="006F5B61" w:rsidRPr="00487209">
              <w:rPr>
                <w:rFonts w:ascii="Times New Roman" w:hAnsi="Times New Roman" w:cs="Times New Roman"/>
                <w:sz w:val="18"/>
                <w:szCs w:val="18"/>
                <w:lang w:val="ru-RU"/>
              </w:rPr>
              <w:t>6</w:t>
            </w:r>
            <w:r w:rsidR="00E44D08" w:rsidRPr="00487209">
              <w:rPr>
                <w:rFonts w:ascii="Times New Roman" w:hAnsi="Times New Roman" w:cs="Times New Roman"/>
                <w:sz w:val="18"/>
                <w:szCs w:val="18"/>
                <w:lang w:val="ru-RU"/>
              </w:rPr>
              <w:t xml:space="preserve">. ст. </w:t>
            </w:r>
            <w:r>
              <w:rPr>
                <w:rFonts w:ascii="Times New Roman" w:hAnsi="Times New Roman" w:cs="Times New Roman"/>
                <w:sz w:val="18"/>
                <w:szCs w:val="18"/>
                <w:lang w:val="ru-RU"/>
              </w:rPr>
              <w:t>2</w:t>
            </w:r>
            <w:r w:rsidR="002B2202">
              <w:rPr>
                <w:rFonts w:ascii="Times New Roman" w:hAnsi="Times New Roman" w:cs="Times New Roman"/>
                <w:sz w:val="18"/>
                <w:szCs w:val="18"/>
                <w:lang w:val="ru-RU"/>
              </w:rPr>
              <w:t>, 3.</w:t>
            </w:r>
            <w:r w:rsidR="006F5B61" w:rsidRPr="00487209">
              <w:rPr>
                <w:rFonts w:ascii="Times New Roman" w:hAnsi="Times New Roman" w:cs="Times New Roman"/>
                <w:sz w:val="18"/>
                <w:szCs w:val="18"/>
                <w:lang w:val="ru-RU"/>
              </w:rPr>
              <w:t xml:space="preserve"> и </w:t>
            </w:r>
            <w:r w:rsidR="00E44D08" w:rsidRPr="00487209">
              <w:rPr>
                <w:rFonts w:ascii="Times New Roman" w:hAnsi="Times New Roman" w:cs="Times New Roman"/>
                <w:sz w:val="18"/>
                <w:szCs w:val="18"/>
                <w:lang w:val="ru-RU"/>
              </w:rPr>
              <w:t xml:space="preserve">2.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Pr>
                <w:rFonts w:ascii="Times New Roman" w:hAnsi="Times New Roman" w:cs="Times New Roman"/>
                <w:sz w:val="18"/>
                <w:szCs w:val="18"/>
                <w:lang w:val="ru-RU"/>
              </w:rPr>
              <w:t xml:space="preserve"> је делимично усклађен са чланом </w:t>
            </w:r>
            <w:r w:rsidR="00E44D08" w:rsidRPr="00487209">
              <w:rPr>
                <w:rFonts w:ascii="Times New Roman" w:hAnsi="Times New Roman" w:cs="Times New Roman"/>
                <w:sz w:val="18"/>
                <w:szCs w:val="18"/>
                <w:lang w:val="ru-RU"/>
              </w:rPr>
              <w:t>1</w:t>
            </w:r>
            <w:r w:rsidR="006F5B61" w:rsidRPr="00487209">
              <w:rPr>
                <w:rFonts w:ascii="Times New Roman" w:hAnsi="Times New Roman" w:cs="Times New Roman"/>
                <w:sz w:val="18"/>
                <w:szCs w:val="18"/>
                <w:lang w:val="ru-RU"/>
              </w:rPr>
              <w:t>4</w:t>
            </w:r>
            <w:r w:rsidR="00E44D08" w:rsidRPr="00487209">
              <w:rPr>
                <w:rFonts w:ascii="Times New Roman" w:hAnsi="Times New Roman" w:cs="Times New Roman"/>
                <w:sz w:val="18"/>
                <w:szCs w:val="18"/>
                <w:lang w:val="ru-RU"/>
              </w:rPr>
              <w:t xml:space="preserve">.2. </w:t>
            </w:r>
            <w:r w:rsidR="00E44D08" w:rsidRPr="00487209">
              <w:rPr>
                <w:rFonts w:ascii="Times New Roman" w:hAnsi="Times New Roman" w:cs="Times New Roman"/>
                <w:sz w:val="18"/>
                <w:szCs w:val="18"/>
                <w:lang w:val="sr-Cyrl-CS"/>
              </w:rPr>
              <w:t>Уредбе 305/2011 (ЕУ), због статуса нечланице. Није усклађен са одредбом која се односи на стављање знака СЕ. Потпуно усклађивање биће могуће након приступања ЕУ.</w:t>
            </w:r>
          </w:p>
        </w:tc>
        <w:tc>
          <w:tcPr>
            <w:tcW w:w="480" w:type="pct"/>
            <w:shd w:val="clear" w:color="auto" w:fill="auto"/>
            <w:vAlign w:val="center"/>
          </w:tcPr>
          <w:p w14:paraId="2590B90E" w14:textId="77777777" w:rsidR="000174C1" w:rsidRPr="00487209" w:rsidRDefault="000174C1" w:rsidP="006C6323">
            <w:pPr>
              <w:spacing w:before="120" w:after="120"/>
              <w:jc w:val="center"/>
              <w:rPr>
                <w:rFonts w:ascii="Times New Roman" w:hAnsi="Times New Roman" w:cs="Times New Roman"/>
                <w:sz w:val="18"/>
                <w:szCs w:val="18"/>
                <w:lang w:val="sr-Cyrl-CS"/>
              </w:rPr>
            </w:pPr>
          </w:p>
        </w:tc>
      </w:tr>
      <w:tr w:rsidR="00337554" w:rsidRPr="00487209" w14:paraId="2685FDA1" w14:textId="77777777" w:rsidTr="007D5144">
        <w:trPr>
          <w:trHeight w:val="1970"/>
          <w:jc w:val="center"/>
        </w:trPr>
        <w:tc>
          <w:tcPr>
            <w:tcW w:w="435" w:type="pct"/>
            <w:shd w:val="clear" w:color="auto" w:fill="auto"/>
            <w:vAlign w:val="center"/>
          </w:tcPr>
          <w:p w14:paraId="04FD0991" w14:textId="77777777" w:rsidR="000174C1" w:rsidRPr="00487209" w:rsidRDefault="000174C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14.3.</w:t>
            </w:r>
          </w:p>
        </w:tc>
        <w:tc>
          <w:tcPr>
            <w:tcW w:w="1369" w:type="pct"/>
            <w:gridSpan w:val="2"/>
            <w:shd w:val="clear" w:color="auto" w:fill="auto"/>
            <w:vAlign w:val="center"/>
          </w:tcPr>
          <w:p w14:paraId="7A64BE63"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A</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distributor shall ensure that, while a construction product is under his responsibility, storage or transport conditions do not jeopardise its conformity with the declaration of performance and compliance with other applicable requirements in this Regulation.</w:t>
            </w:r>
          </w:p>
        </w:tc>
        <w:tc>
          <w:tcPr>
            <w:tcW w:w="429" w:type="pct"/>
            <w:shd w:val="clear" w:color="auto" w:fill="auto"/>
            <w:vAlign w:val="center"/>
          </w:tcPr>
          <w:p w14:paraId="6B227943" w14:textId="77777777" w:rsidR="00F249E1" w:rsidRPr="00487209" w:rsidRDefault="00F249E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51840D18" w14:textId="7B43E571" w:rsidR="000174C1" w:rsidRPr="00487209" w:rsidRDefault="000174C1" w:rsidP="00F679F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16.</w:t>
            </w:r>
            <w:r w:rsidR="00F679F4">
              <w:rPr>
                <w:rFonts w:ascii="Times New Roman" w:hAnsi="Times New Roman" w:cs="Times New Roman"/>
                <w:sz w:val="18"/>
                <w:szCs w:val="18"/>
                <w:lang w:val="ru-RU"/>
              </w:rPr>
              <w:t>5</w:t>
            </w:r>
            <w:r w:rsidRPr="00487209">
              <w:rPr>
                <w:rFonts w:ascii="Times New Roman" w:hAnsi="Times New Roman" w:cs="Times New Roman"/>
                <w:sz w:val="18"/>
                <w:szCs w:val="18"/>
                <w:lang w:val="ru-RU"/>
              </w:rPr>
              <w:t>.</w:t>
            </w:r>
          </w:p>
        </w:tc>
        <w:tc>
          <w:tcPr>
            <w:tcW w:w="1231" w:type="pct"/>
            <w:gridSpan w:val="2"/>
            <w:shd w:val="clear" w:color="auto" w:fill="auto"/>
            <w:vAlign w:val="center"/>
          </w:tcPr>
          <w:p w14:paraId="133D73E4" w14:textId="1CD7B618" w:rsidR="000174C1" w:rsidRPr="00487209" w:rsidRDefault="00F679F4" w:rsidP="002B2202">
            <w:pPr>
              <w:jc w:val="both"/>
              <w:rPr>
                <w:rFonts w:ascii="Times New Roman" w:hAnsi="Times New Roman" w:cs="Times New Roman"/>
                <w:sz w:val="18"/>
                <w:szCs w:val="18"/>
                <w:lang w:val="sr-Cyrl-CS"/>
              </w:rPr>
            </w:pPr>
            <w:r w:rsidRPr="00F679F4">
              <w:rPr>
                <w:rStyle w:val="FontStyle41"/>
                <w:rFonts w:ascii="Times New Roman" w:hAnsi="Times New Roman" w:cs="Times New Roman"/>
                <w:sz w:val="18"/>
                <w:szCs w:val="18"/>
              </w:rPr>
              <w:t>У периоду у ком је дистрибутер одговоран за грађевински производ, он обезбеђује да услови складиштења или превоза грађевинског</w:t>
            </w:r>
            <w:r>
              <w:rPr>
                <w:rStyle w:val="FontStyle41"/>
                <w:rFonts w:ascii="Times New Roman" w:hAnsi="Times New Roman" w:cs="Times New Roman"/>
                <w:sz w:val="18"/>
                <w:szCs w:val="18"/>
              </w:rPr>
              <w:t xml:space="preserve"> </w:t>
            </w:r>
            <w:r w:rsidRPr="00F679F4">
              <w:rPr>
                <w:rStyle w:val="FontStyle41"/>
                <w:rFonts w:ascii="Times New Roman" w:hAnsi="Times New Roman" w:cs="Times New Roman"/>
                <w:sz w:val="18"/>
                <w:szCs w:val="18"/>
              </w:rPr>
              <w:t>производа не угрожавају његову усаглашеност са декларацијом о перформансама и усклађеност са другим захтевима из овог закона.</w:t>
            </w:r>
          </w:p>
        </w:tc>
        <w:tc>
          <w:tcPr>
            <w:tcW w:w="458" w:type="pct"/>
            <w:shd w:val="clear" w:color="auto" w:fill="auto"/>
            <w:vAlign w:val="center"/>
          </w:tcPr>
          <w:p w14:paraId="3793A814" w14:textId="77777777" w:rsidR="000174C1" w:rsidRPr="00487209" w:rsidRDefault="000174C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36A3CE39" w14:textId="77777777" w:rsidR="000174C1" w:rsidRPr="00487209" w:rsidRDefault="000174C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452B3B12" w14:textId="77777777" w:rsidR="000174C1" w:rsidRPr="00487209" w:rsidRDefault="000174C1" w:rsidP="006C6323">
            <w:pPr>
              <w:spacing w:before="120" w:after="120"/>
              <w:jc w:val="center"/>
              <w:rPr>
                <w:rFonts w:ascii="Times New Roman" w:hAnsi="Times New Roman" w:cs="Times New Roman"/>
                <w:sz w:val="18"/>
                <w:szCs w:val="18"/>
                <w:lang w:val="ru-RU"/>
              </w:rPr>
            </w:pPr>
          </w:p>
        </w:tc>
      </w:tr>
      <w:tr w:rsidR="00337554" w:rsidRPr="00487209" w14:paraId="0EF04413" w14:textId="77777777" w:rsidTr="007D5144">
        <w:trPr>
          <w:trHeight w:val="1970"/>
          <w:jc w:val="center"/>
        </w:trPr>
        <w:tc>
          <w:tcPr>
            <w:tcW w:w="435" w:type="pct"/>
            <w:shd w:val="clear" w:color="auto" w:fill="auto"/>
            <w:vAlign w:val="center"/>
          </w:tcPr>
          <w:p w14:paraId="7D5FC607"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14.4.</w:t>
            </w:r>
          </w:p>
        </w:tc>
        <w:tc>
          <w:tcPr>
            <w:tcW w:w="1369" w:type="pct"/>
            <w:gridSpan w:val="2"/>
            <w:shd w:val="clear" w:color="auto" w:fill="auto"/>
            <w:vAlign w:val="center"/>
          </w:tcPr>
          <w:p w14:paraId="5E3CF1C1" w14:textId="77777777" w:rsidR="000174C1" w:rsidRPr="00487209" w:rsidRDefault="000174C1" w:rsidP="006C6323">
            <w:pPr>
              <w:jc w:val="both"/>
              <w:rPr>
                <w:rFonts w:ascii="Times New Roman" w:hAnsi="Times New Roman" w:cs="Times New Roman"/>
                <w:sz w:val="18"/>
                <w:szCs w:val="18"/>
              </w:rPr>
            </w:pPr>
          </w:p>
          <w:p w14:paraId="631352A7"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Distributors who consider or have reason to believe that a construction product which they have made available on the market is not in conformity with the declaration of performance or not in compliance with other applicable requirements in this Regulation, shall make sure that the corrective measures necessary to bring that product in conformity, to withdraw it or recall it, as appropriate, are taken. Furthermore, where the product presents a risk, distributors shall immediately inform the competent national authorities of the Member States in which they made the product available thereof, giving details, in particular, of the non-compliance and of any corrective measures taken.</w:t>
            </w:r>
          </w:p>
          <w:p w14:paraId="7756ACD4" w14:textId="77777777" w:rsidR="000174C1" w:rsidRPr="00487209" w:rsidRDefault="000174C1" w:rsidP="006C6323">
            <w:pPr>
              <w:jc w:val="both"/>
              <w:rPr>
                <w:rFonts w:ascii="Times New Roman" w:hAnsi="Times New Roman" w:cs="Times New Roman"/>
                <w:sz w:val="18"/>
                <w:szCs w:val="18"/>
              </w:rPr>
            </w:pPr>
          </w:p>
        </w:tc>
        <w:tc>
          <w:tcPr>
            <w:tcW w:w="429" w:type="pct"/>
            <w:shd w:val="clear" w:color="auto" w:fill="auto"/>
            <w:vAlign w:val="center"/>
          </w:tcPr>
          <w:p w14:paraId="2492F7AD" w14:textId="77777777" w:rsidR="00F249E1" w:rsidRPr="00487209" w:rsidRDefault="00F249E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5252B4C9" w14:textId="134976C5" w:rsidR="000174C1" w:rsidRDefault="000174C1" w:rsidP="00F679F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16.</w:t>
            </w:r>
            <w:r w:rsidR="00F679F4">
              <w:rPr>
                <w:rFonts w:ascii="Times New Roman" w:hAnsi="Times New Roman" w:cs="Times New Roman"/>
                <w:sz w:val="18"/>
                <w:szCs w:val="18"/>
                <w:lang w:val="ru-RU"/>
              </w:rPr>
              <w:t>6</w:t>
            </w:r>
            <w:r w:rsidRPr="00487209">
              <w:rPr>
                <w:rFonts w:ascii="Times New Roman" w:hAnsi="Times New Roman" w:cs="Times New Roman"/>
                <w:sz w:val="18"/>
                <w:szCs w:val="18"/>
                <w:lang w:val="ru-RU"/>
              </w:rPr>
              <w:t>.</w:t>
            </w:r>
          </w:p>
          <w:p w14:paraId="204739A2" w14:textId="273FC8F4" w:rsidR="00F679F4" w:rsidRPr="00487209" w:rsidRDefault="00F679F4" w:rsidP="00F679F4">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16.7.</w:t>
            </w:r>
          </w:p>
        </w:tc>
        <w:tc>
          <w:tcPr>
            <w:tcW w:w="1231" w:type="pct"/>
            <w:gridSpan w:val="2"/>
            <w:shd w:val="clear" w:color="auto" w:fill="auto"/>
            <w:vAlign w:val="center"/>
          </w:tcPr>
          <w:p w14:paraId="2F44B7F9" w14:textId="77777777" w:rsidR="00F679F4" w:rsidRPr="00F679F4" w:rsidRDefault="00F679F4" w:rsidP="00F679F4">
            <w:pPr>
              <w:spacing w:before="120"/>
              <w:ind w:right="-23"/>
              <w:jc w:val="both"/>
              <w:outlineLvl w:val="0"/>
              <w:rPr>
                <w:rFonts w:ascii="Times New Roman" w:eastAsia="Batang" w:hAnsi="Times New Roman" w:cs="Times New Roman"/>
                <w:sz w:val="18"/>
                <w:szCs w:val="18"/>
                <w:lang w:val="sr-Cyrl-CS" w:eastAsia="ko-KR"/>
              </w:rPr>
            </w:pPr>
            <w:r w:rsidRPr="00F679F4">
              <w:rPr>
                <w:rFonts w:ascii="Times New Roman" w:eastAsia="Batang" w:hAnsi="Times New Roman" w:cs="Times New Roman"/>
                <w:sz w:val="18"/>
                <w:szCs w:val="18"/>
                <w:lang w:val="sr-Cyrl-CS" w:eastAsia="ko-KR"/>
              </w:rPr>
              <w:t xml:space="preserve">Дистрибутер који има разлога да сумња да је грађевински производ који је учинио доступним на тржишту усаглашен са декларацијом о перформансама или усклађен са другим захтевима утврђеним овим законом, дужан је да одмах предузме неопходне корективне радње како би усагласио тај грађевински производ, односно тај грађевински производ повукао са тржишта или опозвао. </w:t>
            </w:r>
          </w:p>
          <w:p w14:paraId="69B04F28" w14:textId="227580E7" w:rsidR="000174C1" w:rsidRPr="00487209" w:rsidRDefault="00F679F4" w:rsidP="002B2202">
            <w:pPr>
              <w:spacing w:before="120"/>
              <w:jc w:val="both"/>
              <w:rPr>
                <w:rFonts w:ascii="Times New Roman" w:hAnsi="Times New Roman" w:cs="Times New Roman"/>
                <w:sz w:val="18"/>
                <w:szCs w:val="18"/>
                <w:lang w:val="sr-Cyrl-CS"/>
              </w:rPr>
            </w:pPr>
            <w:r w:rsidRPr="00F679F4">
              <w:rPr>
                <w:rFonts w:ascii="Times New Roman" w:eastAsia="Batang" w:hAnsi="Times New Roman" w:cs="Times New Roman"/>
                <w:sz w:val="18"/>
                <w:szCs w:val="18"/>
                <w:lang w:val="sr-Cyrl-CS" w:eastAsia="ko-KR"/>
              </w:rPr>
              <w:t>Када грађевински производ из става 6. овог члана представља ризик, дистрибутер одмах о томе обавештава надлежне органе тржишног надзора, пружајући потребне информације, нарочито у погледу неусклађености и свим предузетим корективним мерама.</w:t>
            </w:r>
          </w:p>
        </w:tc>
        <w:tc>
          <w:tcPr>
            <w:tcW w:w="458" w:type="pct"/>
            <w:shd w:val="clear" w:color="auto" w:fill="auto"/>
            <w:vAlign w:val="center"/>
          </w:tcPr>
          <w:p w14:paraId="2BD9B1A9" w14:textId="77777777" w:rsidR="000174C1" w:rsidRPr="00487209" w:rsidRDefault="000174C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59816B19" w14:textId="77777777" w:rsidR="000174C1" w:rsidRPr="00487209" w:rsidRDefault="000174C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4F67B97" w14:textId="77777777" w:rsidR="000174C1" w:rsidRPr="00487209" w:rsidRDefault="000174C1" w:rsidP="006C6323">
            <w:pPr>
              <w:spacing w:before="120" w:after="120"/>
              <w:jc w:val="center"/>
              <w:rPr>
                <w:rFonts w:ascii="Times New Roman" w:hAnsi="Times New Roman" w:cs="Times New Roman"/>
                <w:sz w:val="18"/>
                <w:szCs w:val="18"/>
                <w:lang w:val="sr-Cyrl-CS"/>
              </w:rPr>
            </w:pPr>
          </w:p>
        </w:tc>
      </w:tr>
      <w:tr w:rsidR="00337554" w:rsidRPr="00487209" w14:paraId="73E299FF" w14:textId="77777777" w:rsidTr="007D5144">
        <w:trPr>
          <w:trHeight w:val="1970"/>
          <w:jc w:val="center"/>
        </w:trPr>
        <w:tc>
          <w:tcPr>
            <w:tcW w:w="435" w:type="pct"/>
            <w:shd w:val="clear" w:color="auto" w:fill="auto"/>
            <w:vAlign w:val="center"/>
          </w:tcPr>
          <w:p w14:paraId="327035D0"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14.5.</w:t>
            </w:r>
          </w:p>
        </w:tc>
        <w:tc>
          <w:tcPr>
            <w:tcW w:w="1369" w:type="pct"/>
            <w:gridSpan w:val="2"/>
            <w:shd w:val="clear" w:color="auto" w:fill="auto"/>
            <w:vAlign w:val="center"/>
          </w:tcPr>
          <w:p w14:paraId="15CD4D26" w14:textId="77777777" w:rsidR="000174C1" w:rsidRPr="00487209" w:rsidRDefault="000174C1" w:rsidP="006C6323">
            <w:pPr>
              <w:jc w:val="both"/>
              <w:rPr>
                <w:rFonts w:ascii="Times New Roman" w:hAnsi="Times New Roman" w:cs="Times New Roman"/>
                <w:sz w:val="18"/>
                <w:szCs w:val="18"/>
              </w:rPr>
            </w:pPr>
          </w:p>
          <w:p w14:paraId="00156374"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 xml:space="preserve">Distributors shall, further to a reasoned request from a competent national authority, provide it with all the information and documentation necessary to demonstrate the conformity of the construction product with the declaration of performance and compliance with other applicable requirements in this Regulation in a language which can be easily understood by that authority. They shall cooperate with that authority, at its request, on any action taken to eliminate the risks posed by construction </w:t>
            </w:r>
            <w:r w:rsidRPr="00487209">
              <w:rPr>
                <w:rFonts w:ascii="Times New Roman" w:hAnsi="Times New Roman" w:cs="Times New Roman"/>
                <w:sz w:val="18"/>
                <w:szCs w:val="18"/>
              </w:rPr>
              <w:lastRenderedPageBreak/>
              <w:t>products which they have made available on the market.</w:t>
            </w:r>
          </w:p>
          <w:p w14:paraId="4F9518E7" w14:textId="77777777" w:rsidR="000174C1" w:rsidRPr="00487209" w:rsidRDefault="000174C1" w:rsidP="006C6323">
            <w:pPr>
              <w:jc w:val="both"/>
              <w:rPr>
                <w:rFonts w:ascii="Times New Roman" w:hAnsi="Times New Roman" w:cs="Times New Roman"/>
                <w:sz w:val="18"/>
                <w:szCs w:val="18"/>
              </w:rPr>
            </w:pPr>
          </w:p>
        </w:tc>
        <w:tc>
          <w:tcPr>
            <w:tcW w:w="429" w:type="pct"/>
            <w:shd w:val="clear" w:color="auto" w:fill="auto"/>
            <w:vAlign w:val="center"/>
          </w:tcPr>
          <w:p w14:paraId="353476E6" w14:textId="77777777" w:rsidR="00F249E1" w:rsidRPr="00487209" w:rsidRDefault="00F249E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01</w:t>
            </w:r>
          </w:p>
          <w:p w14:paraId="04DBB89A" w14:textId="3FE00FAD" w:rsidR="0012513C" w:rsidRDefault="000174C1" w:rsidP="00F679F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16.</w:t>
            </w:r>
            <w:r w:rsidR="00F679F4">
              <w:rPr>
                <w:rFonts w:ascii="Times New Roman" w:hAnsi="Times New Roman" w:cs="Times New Roman"/>
                <w:sz w:val="18"/>
                <w:szCs w:val="18"/>
                <w:lang w:val="ru-RU"/>
              </w:rPr>
              <w:t>8.</w:t>
            </w:r>
          </w:p>
          <w:p w14:paraId="0129FEA3" w14:textId="487F2ACC" w:rsidR="000174C1" w:rsidRPr="00487209" w:rsidRDefault="0012513C" w:rsidP="00F679F4">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16.9.</w:t>
            </w:r>
          </w:p>
        </w:tc>
        <w:tc>
          <w:tcPr>
            <w:tcW w:w="1231" w:type="pct"/>
            <w:gridSpan w:val="2"/>
            <w:shd w:val="clear" w:color="auto" w:fill="auto"/>
            <w:vAlign w:val="center"/>
          </w:tcPr>
          <w:p w14:paraId="12577656" w14:textId="77777777" w:rsidR="0012513C" w:rsidRDefault="0012513C" w:rsidP="00804D2B">
            <w:pPr>
              <w:spacing w:before="120"/>
              <w:ind w:right="-23"/>
              <w:jc w:val="both"/>
              <w:outlineLvl w:val="0"/>
              <w:rPr>
                <w:rFonts w:ascii="Times New Roman" w:eastAsia="Batang" w:hAnsi="Times New Roman" w:cs="Times New Roman"/>
                <w:sz w:val="18"/>
                <w:szCs w:val="18"/>
                <w:lang w:val="sr-Cyrl-CS" w:eastAsia="ko-KR"/>
              </w:rPr>
            </w:pPr>
            <w:r w:rsidRPr="0012513C">
              <w:rPr>
                <w:rFonts w:ascii="Times New Roman" w:eastAsia="Batang" w:hAnsi="Times New Roman" w:cs="Times New Roman"/>
                <w:sz w:val="18"/>
                <w:szCs w:val="18"/>
                <w:lang w:val="sr-Cyrl-CS" w:eastAsia="ko-KR"/>
              </w:rPr>
              <w:t>На образложени захтев надлежног органа тржишног надзора дистрибутер је дужан да, пружи све информације и документацију неопходну за доказивање усаглашености грађевинског производа са декларацијом о перформансама и усклађености са другим захтевима из овог закона, на српском језику.</w:t>
            </w:r>
          </w:p>
          <w:p w14:paraId="4DD8244E" w14:textId="4C1FD780" w:rsidR="00804D2B" w:rsidRPr="00487209" w:rsidRDefault="0012513C" w:rsidP="00804D2B">
            <w:pPr>
              <w:spacing w:before="120"/>
              <w:ind w:right="-23"/>
              <w:jc w:val="both"/>
              <w:outlineLvl w:val="0"/>
              <w:rPr>
                <w:rFonts w:ascii="Times New Roman" w:eastAsia="Batang" w:hAnsi="Times New Roman" w:cs="Times New Roman"/>
                <w:b/>
                <w:sz w:val="18"/>
                <w:szCs w:val="18"/>
                <w:lang w:val="sr-Cyrl-CS" w:eastAsia="ko-KR"/>
              </w:rPr>
            </w:pPr>
            <w:r w:rsidRPr="0012513C">
              <w:rPr>
                <w:rFonts w:ascii="Times New Roman" w:eastAsia="Batang" w:hAnsi="Times New Roman" w:cs="Times New Roman"/>
                <w:sz w:val="18"/>
                <w:szCs w:val="18"/>
                <w:lang w:val="sr-Cyrl-CS" w:eastAsia="ko-KR"/>
              </w:rPr>
              <w:t xml:space="preserve">Дистрибутер, на захтев надлежног органа тржишног надзора, сарађује са </w:t>
            </w:r>
            <w:r w:rsidRPr="0012513C">
              <w:rPr>
                <w:rFonts w:ascii="Times New Roman" w:eastAsia="Batang" w:hAnsi="Times New Roman" w:cs="Times New Roman"/>
                <w:sz w:val="18"/>
                <w:szCs w:val="18"/>
                <w:lang w:val="sr-Cyrl-CS" w:eastAsia="ko-KR"/>
              </w:rPr>
              <w:lastRenderedPageBreak/>
              <w:t>тим органом у свакој активности која се предузима ради отклањања ризика који представљају грађевински производи које је учинио доступним на тржишту.</w:t>
            </w:r>
          </w:p>
          <w:p w14:paraId="431A7467" w14:textId="0311683A" w:rsidR="000174C1" w:rsidRPr="00487209" w:rsidRDefault="000174C1" w:rsidP="006C6323">
            <w:pPr>
              <w:pStyle w:val="Style7"/>
              <w:spacing w:before="120" w:after="0" w:line="240" w:lineRule="auto"/>
              <w:ind w:right="-23"/>
              <w:jc w:val="both"/>
              <w:rPr>
                <w:b/>
                <w:sz w:val="18"/>
                <w:szCs w:val="18"/>
              </w:rPr>
            </w:pPr>
          </w:p>
        </w:tc>
        <w:tc>
          <w:tcPr>
            <w:tcW w:w="458" w:type="pct"/>
            <w:shd w:val="clear" w:color="auto" w:fill="auto"/>
            <w:vAlign w:val="center"/>
          </w:tcPr>
          <w:p w14:paraId="68F06E4E" w14:textId="77777777" w:rsidR="000174C1" w:rsidRPr="00487209" w:rsidRDefault="000174C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ПУ</w:t>
            </w:r>
          </w:p>
        </w:tc>
        <w:tc>
          <w:tcPr>
            <w:tcW w:w="598" w:type="pct"/>
            <w:gridSpan w:val="2"/>
            <w:shd w:val="clear" w:color="auto" w:fill="auto"/>
            <w:vAlign w:val="center"/>
          </w:tcPr>
          <w:p w14:paraId="6AC4984D" w14:textId="77777777" w:rsidR="000174C1" w:rsidRPr="00487209" w:rsidRDefault="000174C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1313A661" w14:textId="77777777" w:rsidR="000174C1" w:rsidRPr="00487209" w:rsidRDefault="000174C1" w:rsidP="006C6323">
            <w:pPr>
              <w:spacing w:before="120" w:after="120"/>
              <w:jc w:val="center"/>
              <w:rPr>
                <w:rFonts w:ascii="Times New Roman" w:hAnsi="Times New Roman" w:cs="Times New Roman"/>
                <w:sz w:val="18"/>
                <w:szCs w:val="18"/>
                <w:lang w:val="sr-Cyrl-CS"/>
              </w:rPr>
            </w:pPr>
          </w:p>
        </w:tc>
      </w:tr>
      <w:tr w:rsidR="00337554" w:rsidRPr="00487209" w14:paraId="0CD2EDF3" w14:textId="77777777" w:rsidTr="007D5144">
        <w:trPr>
          <w:trHeight w:val="1970"/>
          <w:jc w:val="center"/>
        </w:trPr>
        <w:tc>
          <w:tcPr>
            <w:tcW w:w="435" w:type="pct"/>
            <w:shd w:val="clear" w:color="auto" w:fill="auto"/>
            <w:vAlign w:val="center"/>
          </w:tcPr>
          <w:p w14:paraId="573AC5C5"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15.</w:t>
            </w:r>
          </w:p>
        </w:tc>
        <w:tc>
          <w:tcPr>
            <w:tcW w:w="1369" w:type="pct"/>
            <w:gridSpan w:val="2"/>
            <w:shd w:val="clear" w:color="auto" w:fill="auto"/>
            <w:vAlign w:val="center"/>
          </w:tcPr>
          <w:p w14:paraId="04C1F368"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An importer or distributor shall be considered a manufacturer for the purposes of this Regulation and shall be subject to the obligations of a manufacturer pursuant to Article 11, where he places a product on the market under his name or trademark or modifies a construction product already placed on the market in such a way that conformity with the declaration of performance may be affected.</w:t>
            </w:r>
          </w:p>
        </w:tc>
        <w:tc>
          <w:tcPr>
            <w:tcW w:w="429" w:type="pct"/>
            <w:shd w:val="clear" w:color="auto" w:fill="auto"/>
            <w:vAlign w:val="center"/>
          </w:tcPr>
          <w:p w14:paraId="38C2213C" w14:textId="77777777" w:rsidR="00F249E1" w:rsidRPr="00487209" w:rsidRDefault="00F249E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612FA228" w14:textId="77777777" w:rsidR="000174C1" w:rsidRPr="00487209" w:rsidRDefault="000174C1"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17</w:t>
            </w:r>
          </w:p>
        </w:tc>
        <w:tc>
          <w:tcPr>
            <w:tcW w:w="1231" w:type="pct"/>
            <w:gridSpan w:val="2"/>
            <w:shd w:val="clear" w:color="auto" w:fill="auto"/>
            <w:vAlign w:val="center"/>
          </w:tcPr>
          <w:p w14:paraId="1485125E" w14:textId="2C0B2522" w:rsidR="000174C1" w:rsidRPr="00487209" w:rsidRDefault="00B3235D" w:rsidP="002B2202">
            <w:pPr>
              <w:jc w:val="both"/>
              <w:rPr>
                <w:rFonts w:ascii="Times New Roman" w:hAnsi="Times New Roman" w:cs="Times New Roman"/>
                <w:sz w:val="18"/>
                <w:szCs w:val="18"/>
                <w:lang w:val="sr-Cyrl-CS"/>
              </w:rPr>
            </w:pPr>
            <w:r w:rsidRPr="00B3235D">
              <w:rPr>
                <w:rFonts w:ascii="Times New Roman" w:eastAsia="Batang" w:hAnsi="Times New Roman" w:cs="Times New Roman"/>
                <w:sz w:val="18"/>
                <w:szCs w:val="18"/>
                <w:lang w:val="sr-Latn-BA" w:eastAsia="ko-KR"/>
              </w:rPr>
              <w:t xml:space="preserve">Увозник или дистрибутер има права и обавезе произвођача прописане чланом 13. овог закона ако ставља грађевински производ на тржиште под својим именом или жигом или мења грађевински производ који је већ стављен на тржиште на начин који може утицати на његову усаглашеност са декларацијом о перформансама. </w:t>
            </w:r>
          </w:p>
        </w:tc>
        <w:tc>
          <w:tcPr>
            <w:tcW w:w="458" w:type="pct"/>
            <w:shd w:val="clear" w:color="auto" w:fill="auto"/>
            <w:vAlign w:val="center"/>
          </w:tcPr>
          <w:p w14:paraId="501E599E" w14:textId="77777777" w:rsidR="000174C1" w:rsidRPr="00487209" w:rsidRDefault="000174C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3760E874" w14:textId="77777777" w:rsidR="000174C1" w:rsidRPr="00487209" w:rsidRDefault="000174C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1BC26CC1" w14:textId="77777777" w:rsidR="000174C1" w:rsidRPr="00487209" w:rsidRDefault="000174C1" w:rsidP="006C6323">
            <w:pPr>
              <w:spacing w:before="120" w:after="120"/>
              <w:jc w:val="center"/>
              <w:rPr>
                <w:rFonts w:ascii="Times New Roman" w:hAnsi="Times New Roman" w:cs="Times New Roman"/>
                <w:sz w:val="18"/>
                <w:szCs w:val="18"/>
                <w:lang w:val="ru-RU"/>
              </w:rPr>
            </w:pPr>
          </w:p>
        </w:tc>
      </w:tr>
      <w:tr w:rsidR="00337554" w:rsidRPr="00487209" w14:paraId="11B3695E" w14:textId="77777777" w:rsidTr="007D5144">
        <w:trPr>
          <w:trHeight w:val="1266"/>
          <w:jc w:val="center"/>
        </w:trPr>
        <w:tc>
          <w:tcPr>
            <w:tcW w:w="435" w:type="pct"/>
            <w:vMerge w:val="restart"/>
            <w:shd w:val="clear" w:color="auto" w:fill="auto"/>
            <w:vAlign w:val="center"/>
          </w:tcPr>
          <w:p w14:paraId="12FF41D8" w14:textId="77777777" w:rsidR="0001022B" w:rsidRPr="00487209" w:rsidRDefault="0001022B"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16.(a)</w:t>
            </w:r>
          </w:p>
          <w:p w14:paraId="658DC8A5" w14:textId="77777777" w:rsidR="0001022B" w:rsidRPr="00487209" w:rsidRDefault="0001022B"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16.(b)</w:t>
            </w:r>
          </w:p>
        </w:tc>
        <w:tc>
          <w:tcPr>
            <w:tcW w:w="1369" w:type="pct"/>
            <w:gridSpan w:val="2"/>
            <w:vMerge w:val="restart"/>
            <w:shd w:val="clear" w:color="auto" w:fill="auto"/>
            <w:vAlign w:val="center"/>
          </w:tcPr>
          <w:p w14:paraId="0B573F3B" w14:textId="77777777" w:rsidR="0001022B" w:rsidRPr="00487209" w:rsidRDefault="0001022B"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For the period referred to in Article 11(2), economic operators shall, on request, identify the following to market surveillance authorities:</w:t>
            </w:r>
          </w:p>
          <w:p w14:paraId="2D217361" w14:textId="77777777" w:rsidR="0001022B" w:rsidRPr="00487209" w:rsidRDefault="0001022B"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any economic operator who has supplied them with a product;</w:t>
            </w:r>
          </w:p>
          <w:p w14:paraId="77542BDF" w14:textId="77777777" w:rsidR="0001022B" w:rsidRPr="00487209" w:rsidRDefault="0001022B"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Latn-CS"/>
              </w:rPr>
              <w:t xml:space="preserve">(b) </w:t>
            </w:r>
            <w:r w:rsidRPr="00487209">
              <w:rPr>
                <w:rFonts w:ascii="Times New Roman" w:hAnsi="Times New Roman" w:cs="Times New Roman"/>
                <w:sz w:val="18"/>
                <w:szCs w:val="18"/>
                <w:lang w:val="sr-Cyrl-CS"/>
              </w:rPr>
              <w:t>any economic operator to whom they have supplied a product.</w:t>
            </w:r>
          </w:p>
        </w:tc>
        <w:tc>
          <w:tcPr>
            <w:tcW w:w="429" w:type="pct"/>
            <w:vMerge w:val="restart"/>
            <w:shd w:val="clear" w:color="auto" w:fill="auto"/>
            <w:vAlign w:val="center"/>
          </w:tcPr>
          <w:p w14:paraId="0A81BFCF" w14:textId="77777777" w:rsidR="00F249E1" w:rsidRPr="00487209" w:rsidRDefault="00F249E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4980481A" w14:textId="77777777" w:rsidR="0001022B" w:rsidRPr="00487209" w:rsidRDefault="0001022B"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18</w:t>
            </w:r>
          </w:p>
        </w:tc>
        <w:tc>
          <w:tcPr>
            <w:tcW w:w="1231" w:type="pct"/>
            <w:gridSpan w:val="2"/>
            <w:vMerge w:val="restart"/>
            <w:shd w:val="clear" w:color="auto" w:fill="auto"/>
            <w:vAlign w:val="center"/>
          </w:tcPr>
          <w:p w14:paraId="111C9989" w14:textId="613E6394" w:rsidR="0001022B" w:rsidRPr="007D5144" w:rsidRDefault="00B53210" w:rsidP="004754DA">
            <w:pPr>
              <w:spacing w:before="120"/>
              <w:ind w:right="-23"/>
              <w:jc w:val="both"/>
              <w:outlineLvl w:val="0"/>
              <w:rPr>
                <w:rFonts w:ascii="Times New Roman" w:eastAsia="Batang" w:hAnsi="Times New Roman" w:cs="Times New Roman"/>
                <w:b/>
                <w:sz w:val="18"/>
                <w:szCs w:val="18"/>
                <w:lang w:eastAsia="ko-KR"/>
              </w:rPr>
            </w:pPr>
            <w:r w:rsidRPr="00B53210">
              <w:rPr>
                <w:rFonts w:ascii="Times New Roman" w:eastAsia="Batang" w:hAnsi="Times New Roman" w:cs="Times New Roman"/>
                <w:sz w:val="18"/>
                <w:szCs w:val="18"/>
                <w:lang w:val="sr-Cyrl-CS" w:eastAsia="ko-KR"/>
              </w:rPr>
              <w:t>Током периода из члана 13. ст. 3. и 4. овог закона, привредни субјекти дужни су да, на захтев надлежног органа тржишног надзора, пружају податке ради идентификације привредног субјекта који им је испоручио грађевински производ, као и податке ради идентификације привредног субјекта коме је тај привредни субјекат испоручио грађевински производ.</w:t>
            </w:r>
          </w:p>
        </w:tc>
        <w:tc>
          <w:tcPr>
            <w:tcW w:w="458" w:type="pct"/>
            <w:shd w:val="clear" w:color="auto" w:fill="auto"/>
            <w:vAlign w:val="center"/>
          </w:tcPr>
          <w:p w14:paraId="113AE993" w14:textId="77777777" w:rsidR="0001022B" w:rsidRPr="00487209" w:rsidRDefault="0001022B"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1C1F66D9" w14:textId="77777777" w:rsidR="0001022B" w:rsidRPr="00487209" w:rsidRDefault="0001022B"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BB96061" w14:textId="77777777" w:rsidR="0001022B" w:rsidRPr="00487209" w:rsidRDefault="0001022B" w:rsidP="006C6323">
            <w:pPr>
              <w:spacing w:before="120" w:after="120"/>
              <w:jc w:val="center"/>
              <w:rPr>
                <w:rFonts w:ascii="Times New Roman" w:hAnsi="Times New Roman" w:cs="Times New Roman"/>
                <w:sz w:val="18"/>
                <w:szCs w:val="18"/>
                <w:lang w:val="sr-Cyrl-CS"/>
              </w:rPr>
            </w:pPr>
          </w:p>
        </w:tc>
      </w:tr>
      <w:tr w:rsidR="00337554" w:rsidRPr="00487209" w14:paraId="45E2E08A" w14:textId="77777777" w:rsidTr="007D5144">
        <w:trPr>
          <w:trHeight w:val="1970"/>
          <w:jc w:val="center"/>
        </w:trPr>
        <w:tc>
          <w:tcPr>
            <w:tcW w:w="435" w:type="pct"/>
            <w:vMerge/>
            <w:shd w:val="clear" w:color="auto" w:fill="auto"/>
            <w:vAlign w:val="center"/>
          </w:tcPr>
          <w:p w14:paraId="2ADE0601" w14:textId="77777777" w:rsidR="0001022B" w:rsidRPr="00487209" w:rsidRDefault="0001022B" w:rsidP="006C6323">
            <w:pPr>
              <w:spacing w:before="120" w:after="120"/>
              <w:jc w:val="center"/>
              <w:rPr>
                <w:rFonts w:ascii="Times New Roman" w:hAnsi="Times New Roman" w:cs="Times New Roman"/>
                <w:sz w:val="18"/>
                <w:szCs w:val="18"/>
              </w:rPr>
            </w:pPr>
          </w:p>
        </w:tc>
        <w:tc>
          <w:tcPr>
            <w:tcW w:w="1369" w:type="pct"/>
            <w:gridSpan w:val="2"/>
            <w:vMerge/>
            <w:shd w:val="clear" w:color="auto" w:fill="auto"/>
            <w:vAlign w:val="center"/>
          </w:tcPr>
          <w:p w14:paraId="22991973" w14:textId="77777777" w:rsidR="0001022B" w:rsidRPr="00487209" w:rsidRDefault="0001022B" w:rsidP="006C6323">
            <w:pPr>
              <w:jc w:val="both"/>
              <w:rPr>
                <w:rFonts w:ascii="Times New Roman" w:hAnsi="Times New Roman" w:cs="Times New Roman"/>
                <w:sz w:val="18"/>
                <w:szCs w:val="18"/>
              </w:rPr>
            </w:pPr>
          </w:p>
        </w:tc>
        <w:tc>
          <w:tcPr>
            <w:tcW w:w="429" w:type="pct"/>
            <w:vMerge/>
            <w:shd w:val="clear" w:color="auto" w:fill="auto"/>
            <w:vAlign w:val="center"/>
          </w:tcPr>
          <w:p w14:paraId="66721662" w14:textId="77777777" w:rsidR="0001022B" w:rsidRPr="00487209" w:rsidRDefault="0001022B" w:rsidP="006C6323">
            <w:pPr>
              <w:spacing w:before="120" w:after="120"/>
              <w:ind w:firstLine="5"/>
              <w:jc w:val="center"/>
              <w:rPr>
                <w:rFonts w:ascii="Times New Roman" w:hAnsi="Times New Roman" w:cs="Times New Roman"/>
                <w:sz w:val="18"/>
                <w:szCs w:val="18"/>
                <w:lang w:val="ru-RU"/>
              </w:rPr>
            </w:pPr>
          </w:p>
        </w:tc>
        <w:tc>
          <w:tcPr>
            <w:tcW w:w="1231" w:type="pct"/>
            <w:gridSpan w:val="2"/>
            <w:vMerge/>
            <w:shd w:val="clear" w:color="auto" w:fill="auto"/>
            <w:vAlign w:val="center"/>
          </w:tcPr>
          <w:p w14:paraId="41D1A3FD" w14:textId="77777777" w:rsidR="0001022B" w:rsidRPr="00487209" w:rsidRDefault="0001022B" w:rsidP="006C6323">
            <w:pPr>
              <w:jc w:val="center"/>
              <w:rPr>
                <w:rFonts w:ascii="Times New Roman" w:hAnsi="Times New Roman" w:cs="Times New Roman"/>
                <w:sz w:val="18"/>
                <w:szCs w:val="18"/>
                <w:lang w:val="sr-Cyrl-CS"/>
              </w:rPr>
            </w:pPr>
          </w:p>
        </w:tc>
        <w:tc>
          <w:tcPr>
            <w:tcW w:w="458" w:type="pct"/>
            <w:shd w:val="clear" w:color="auto" w:fill="auto"/>
            <w:vAlign w:val="center"/>
          </w:tcPr>
          <w:p w14:paraId="228CFA74" w14:textId="77777777" w:rsidR="0001022B" w:rsidRPr="00487209" w:rsidRDefault="0001022B"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1570E9F1" w14:textId="77777777" w:rsidR="0001022B" w:rsidRPr="00487209" w:rsidRDefault="0001022B" w:rsidP="004754DA">
            <w:pPr>
              <w:spacing w:before="120" w:after="120"/>
              <w:rPr>
                <w:rFonts w:ascii="Times New Roman" w:hAnsi="Times New Roman" w:cs="Times New Roman"/>
                <w:sz w:val="18"/>
                <w:szCs w:val="18"/>
                <w:lang w:val="ru-RU"/>
              </w:rPr>
            </w:pPr>
          </w:p>
        </w:tc>
        <w:tc>
          <w:tcPr>
            <w:tcW w:w="480" w:type="pct"/>
            <w:shd w:val="clear" w:color="auto" w:fill="auto"/>
            <w:vAlign w:val="center"/>
          </w:tcPr>
          <w:p w14:paraId="27CB8610" w14:textId="77777777" w:rsidR="0001022B" w:rsidRPr="00487209" w:rsidRDefault="0001022B" w:rsidP="004754DA">
            <w:pPr>
              <w:spacing w:before="120" w:after="120"/>
              <w:rPr>
                <w:rFonts w:ascii="Times New Roman" w:hAnsi="Times New Roman" w:cs="Times New Roman"/>
                <w:sz w:val="18"/>
                <w:szCs w:val="18"/>
                <w:lang w:val="ru-RU"/>
              </w:rPr>
            </w:pPr>
          </w:p>
        </w:tc>
      </w:tr>
      <w:tr w:rsidR="00337554" w:rsidRPr="00487209" w14:paraId="54DC380B" w14:textId="77777777" w:rsidTr="007D5144">
        <w:trPr>
          <w:trHeight w:val="487"/>
          <w:jc w:val="center"/>
        </w:trPr>
        <w:tc>
          <w:tcPr>
            <w:tcW w:w="435" w:type="pct"/>
            <w:shd w:val="clear" w:color="auto" w:fill="auto"/>
            <w:vAlign w:val="center"/>
          </w:tcPr>
          <w:p w14:paraId="2BCCE7F9"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17.1.</w:t>
            </w:r>
          </w:p>
        </w:tc>
        <w:tc>
          <w:tcPr>
            <w:tcW w:w="1369" w:type="pct"/>
            <w:gridSpan w:val="2"/>
            <w:shd w:val="clear" w:color="auto" w:fill="auto"/>
            <w:vAlign w:val="center"/>
          </w:tcPr>
          <w:p w14:paraId="6EEC0D20" w14:textId="77777777" w:rsidR="006C5D9B" w:rsidRPr="00487209" w:rsidRDefault="006C5D9B" w:rsidP="006C6323">
            <w:pPr>
              <w:jc w:val="both"/>
              <w:rPr>
                <w:rFonts w:ascii="Times New Roman" w:hAnsi="Times New Roman" w:cs="Times New Roman"/>
                <w:sz w:val="18"/>
                <w:szCs w:val="18"/>
              </w:rPr>
            </w:pPr>
          </w:p>
          <w:p w14:paraId="70C08460"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 xml:space="preserve">Harmonised standards shall be established by the European standardisation bodies listed in Annex I to Directive 98/34/EC on the basis of requests (hereinafter referred to as ‘mandates’) issued by the Commission in accordance with </w:t>
            </w:r>
            <w:r w:rsidRPr="00487209">
              <w:rPr>
                <w:rFonts w:ascii="Times New Roman" w:hAnsi="Times New Roman" w:cs="Times New Roman"/>
                <w:sz w:val="18"/>
                <w:szCs w:val="18"/>
              </w:rPr>
              <w:lastRenderedPageBreak/>
              <w:t>Article 6 of that Directive after having consulted the Standing Committee on Construction referred to in Article 64 of this Regulation (hereinafter referred to as ‘Standing Committee on Construction’).</w:t>
            </w:r>
          </w:p>
          <w:p w14:paraId="24A34B8A" w14:textId="77777777" w:rsidR="006C5D9B" w:rsidRPr="00487209" w:rsidRDefault="006C5D9B" w:rsidP="006C6323">
            <w:pPr>
              <w:jc w:val="both"/>
              <w:rPr>
                <w:rFonts w:ascii="Times New Roman" w:hAnsi="Times New Roman" w:cs="Times New Roman"/>
                <w:sz w:val="18"/>
                <w:szCs w:val="18"/>
              </w:rPr>
            </w:pPr>
          </w:p>
        </w:tc>
        <w:tc>
          <w:tcPr>
            <w:tcW w:w="429" w:type="pct"/>
            <w:shd w:val="clear" w:color="auto" w:fill="auto"/>
            <w:vAlign w:val="center"/>
          </w:tcPr>
          <w:p w14:paraId="2EA826D7" w14:textId="77777777" w:rsidR="00F249E1" w:rsidRPr="00487209" w:rsidRDefault="00F249E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01</w:t>
            </w:r>
          </w:p>
          <w:p w14:paraId="36F0DC49" w14:textId="2DD5BA60" w:rsidR="000174C1" w:rsidRPr="007D5144" w:rsidRDefault="001746A9" w:rsidP="001746A9">
            <w:pPr>
              <w:spacing w:before="120" w:after="120"/>
              <w:ind w:firstLine="5"/>
              <w:jc w:val="center"/>
              <w:rPr>
                <w:rFonts w:ascii="Times New Roman" w:hAnsi="Times New Roman" w:cs="Times New Roman"/>
                <w:sz w:val="18"/>
                <w:szCs w:val="18"/>
                <w:lang w:val="sr-Cyrl-CS"/>
              </w:rPr>
            </w:pPr>
            <w:r>
              <w:rPr>
                <w:rFonts w:ascii="Times New Roman" w:hAnsi="Times New Roman" w:cs="Times New Roman"/>
                <w:sz w:val="18"/>
                <w:szCs w:val="18"/>
                <w:lang w:val="sr-Latn-CS"/>
              </w:rPr>
              <w:t>2.1.12)</w:t>
            </w:r>
          </w:p>
        </w:tc>
        <w:tc>
          <w:tcPr>
            <w:tcW w:w="1231" w:type="pct"/>
            <w:gridSpan w:val="2"/>
            <w:shd w:val="clear" w:color="auto" w:fill="auto"/>
            <w:vAlign w:val="center"/>
          </w:tcPr>
          <w:p w14:paraId="513FB9A8" w14:textId="109EBBA4" w:rsidR="000174C1" w:rsidRPr="00487209" w:rsidRDefault="001746A9" w:rsidP="00BF5016">
            <w:pPr>
              <w:pStyle w:val="Normal10"/>
              <w:spacing w:before="120" w:beforeAutospacing="0" w:after="0" w:afterAutospacing="0"/>
              <w:ind w:right="-23"/>
              <w:jc w:val="both"/>
              <w:rPr>
                <w:sz w:val="18"/>
                <w:szCs w:val="18"/>
                <w:lang w:val="sr-Cyrl-CS"/>
              </w:rPr>
            </w:pPr>
            <w:r w:rsidRPr="001746A9">
              <w:rPr>
                <w:sz w:val="18"/>
                <w:szCs w:val="18"/>
                <w:lang w:val="sr-Cyrl-CS"/>
              </w:rPr>
              <w:t>12)</w:t>
            </w:r>
            <w:r w:rsidRPr="001746A9">
              <w:rPr>
                <w:sz w:val="18"/>
                <w:szCs w:val="18"/>
                <w:lang w:val="sr-Cyrl-CS"/>
              </w:rPr>
              <w:tab/>
              <w:t>хармонизовани стандард је европски стандард који је донет на основу захтева Европске комисије за примену у хармонизованом законодавству Европске уније;</w:t>
            </w:r>
          </w:p>
        </w:tc>
        <w:tc>
          <w:tcPr>
            <w:tcW w:w="458" w:type="pct"/>
            <w:shd w:val="clear" w:color="auto" w:fill="auto"/>
            <w:vAlign w:val="center"/>
          </w:tcPr>
          <w:p w14:paraId="14C23368" w14:textId="77777777" w:rsidR="000174C1" w:rsidRPr="00487209" w:rsidRDefault="001B215E"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w:t>
            </w:r>
            <w:r w:rsidR="000174C1" w:rsidRPr="00487209">
              <w:rPr>
                <w:rFonts w:ascii="Times New Roman" w:hAnsi="Times New Roman" w:cs="Times New Roman"/>
                <w:sz w:val="18"/>
                <w:szCs w:val="18"/>
                <w:lang w:val="ru-RU"/>
              </w:rPr>
              <w:t>У</w:t>
            </w:r>
          </w:p>
        </w:tc>
        <w:tc>
          <w:tcPr>
            <w:tcW w:w="598" w:type="pct"/>
            <w:gridSpan w:val="2"/>
            <w:shd w:val="clear" w:color="auto" w:fill="auto"/>
            <w:vAlign w:val="center"/>
          </w:tcPr>
          <w:p w14:paraId="793ADA4B" w14:textId="77777777" w:rsidR="000174C1" w:rsidRPr="00487209" w:rsidRDefault="000174C1"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61D57451" w14:textId="77777777" w:rsidR="000174C1" w:rsidRPr="00487209" w:rsidRDefault="000174C1" w:rsidP="006C6323">
            <w:pPr>
              <w:spacing w:before="120" w:after="120"/>
              <w:jc w:val="center"/>
              <w:rPr>
                <w:rFonts w:ascii="Times New Roman" w:hAnsi="Times New Roman" w:cs="Times New Roman"/>
                <w:sz w:val="18"/>
                <w:szCs w:val="18"/>
                <w:lang w:val="sr-Cyrl-CS"/>
              </w:rPr>
            </w:pPr>
          </w:p>
        </w:tc>
      </w:tr>
      <w:tr w:rsidR="00337554" w:rsidRPr="00487209" w14:paraId="20622865" w14:textId="77777777" w:rsidTr="007D5144">
        <w:trPr>
          <w:trHeight w:val="629"/>
          <w:jc w:val="center"/>
        </w:trPr>
        <w:tc>
          <w:tcPr>
            <w:tcW w:w="435" w:type="pct"/>
            <w:shd w:val="clear" w:color="auto" w:fill="auto"/>
            <w:vAlign w:val="center"/>
          </w:tcPr>
          <w:p w14:paraId="1F5ED810"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17.2.</w:t>
            </w:r>
          </w:p>
        </w:tc>
        <w:tc>
          <w:tcPr>
            <w:tcW w:w="1369" w:type="pct"/>
            <w:gridSpan w:val="2"/>
            <w:shd w:val="clear" w:color="auto" w:fill="auto"/>
            <w:vAlign w:val="center"/>
          </w:tcPr>
          <w:p w14:paraId="14939E07"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Where stakeholders are involved in the process of developing harmonised standards pursuant to this Article, the European standardisation bodies shall ensure that the various categories of stakeholders are in all instances represented in a fair and equitable manner.</w:t>
            </w:r>
          </w:p>
        </w:tc>
        <w:tc>
          <w:tcPr>
            <w:tcW w:w="429" w:type="pct"/>
            <w:shd w:val="clear" w:color="auto" w:fill="auto"/>
            <w:vAlign w:val="center"/>
          </w:tcPr>
          <w:p w14:paraId="7E223F91" w14:textId="1CBF92FD" w:rsidR="00992F48" w:rsidRPr="00487209" w:rsidRDefault="00F249E1" w:rsidP="006C6323">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03</w:t>
            </w:r>
          </w:p>
          <w:p w14:paraId="02ED9364" w14:textId="77777777" w:rsidR="000174C1" w:rsidRPr="00487209" w:rsidRDefault="00DD015C"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4.1.1.</w:t>
            </w:r>
          </w:p>
          <w:p w14:paraId="6F3C2497" w14:textId="77777777" w:rsidR="00DD015C" w:rsidRPr="00487209" w:rsidRDefault="00DD015C" w:rsidP="006C6323">
            <w:pPr>
              <w:spacing w:before="120" w:after="120"/>
              <w:ind w:firstLine="5"/>
              <w:jc w:val="center"/>
              <w:rPr>
                <w:rFonts w:ascii="Times New Roman" w:hAnsi="Times New Roman" w:cs="Times New Roman"/>
                <w:sz w:val="18"/>
                <w:szCs w:val="18"/>
                <w:lang w:val="ru-RU"/>
              </w:rPr>
            </w:pPr>
          </w:p>
          <w:p w14:paraId="715496B6" w14:textId="77777777" w:rsidR="00DD015C" w:rsidRPr="00487209" w:rsidRDefault="00DD015C"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4.1.3.</w:t>
            </w:r>
          </w:p>
        </w:tc>
        <w:tc>
          <w:tcPr>
            <w:tcW w:w="1231" w:type="pct"/>
            <w:gridSpan w:val="2"/>
            <w:shd w:val="clear" w:color="auto" w:fill="auto"/>
            <w:vAlign w:val="center"/>
          </w:tcPr>
          <w:p w14:paraId="5526BD93" w14:textId="77777777" w:rsidR="00DD015C" w:rsidRPr="00487209" w:rsidRDefault="00DD015C" w:rsidP="006C6323">
            <w:pPr>
              <w:jc w:val="both"/>
              <w:rPr>
                <w:rFonts w:ascii="Times New Roman" w:hAnsi="Times New Roman" w:cs="Times New Roman"/>
                <w:sz w:val="18"/>
                <w:szCs w:val="18"/>
                <w:lang w:val="nl-BE"/>
              </w:rPr>
            </w:pPr>
            <w:r w:rsidRPr="00487209">
              <w:rPr>
                <w:rFonts w:ascii="Times New Roman" w:hAnsi="Times New Roman" w:cs="Times New Roman"/>
                <w:sz w:val="18"/>
                <w:szCs w:val="18"/>
                <w:lang w:val="ru-RU"/>
              </w:rPr>
              <w:t>Стандардизација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у</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Републици</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Србији</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заснива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се</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на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следећим</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начелима</w:t>
            </w:r>
            <w:r w:rsidRPr="00487209">
              <w:rPr>
                <w:rFonts w:ascii="Times New Roman" w:hAnsi="Times New Roman" w:cs="Times New Roman"/>
                <w:sz w:val="18"/>
                <w:szCs w:val="18"/>
                <w:lang w:val="nl-BE"/>
              </w:rPr>
              <w:t>:</w:t>
            </w:r>
          </w:p>
          <w:p w14:paraId="4A439B2D" w14:textId="77777777" w:rsidR="00DD015C" w:rsidRPr="00487209" w:rsidRDefault="00DD015C" w:rsidP="006C6323">
            <w:pPr>
              <w:jc w:val="both"/>
              <w:rPr>
                <w:rFonts w:ascii="Times New Roman" w:hAnsi="Times New Roman" w:cs="Times New Roman"/>
                <w:sz w:val="18"/>
                <w:szCs w:val="18"/>
                <w:lang w:val="nl-BE"/>
              </w:rPr>
            </w:pPr>
            <w:r w:rsidRPr="00487209">
              <w:rPr>
                <w:rFonts w:ascii="Times New Roman" w:hAnsi="Times New Roman" w:cs="Times New Roman"/>
                <w:sz w:val="18"/>
                <w:szCs w:val="18"/>
                <w:lang w:val="nl-BE"/>
              </w:rPr>
              <w:t xml:space="preserve">1) </w:t>
            </w:r>
            <w:r w:rsidRPr="00487209">
              <w:rPr>
                <w:rFonts w:ascii="Times New Roman" w:hAnsi="Times New Roman" w:cs="Times New Roman"/>
                <w:sz w:val="18"/>
                <w:szCs w:val="18"/>
              </w:rPr>
              <w:t>праву</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на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добровољно</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учешће</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свих</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заинтересованих</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страна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приликом</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доношења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српских</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стандарда</w:t>
            </w:r>
            <w:r w:rsidRPr="00487209">
              <w:rPr>
                <w:rFonts w:ascii="Times New Roman" w:hAnsi="Times New Roman" w:cs="Times New Roman"/>
                <w:sz w:val="18"/>
                <w:szCs w:val="18"/>
                <w:lang w:val="nl-BE"/>
              </w:rPr>
              <w:t>;</w:t>
            </w:r>
          </w:p>
          <w:p w14:paraId="1EA4E0F8" w14:textId="77777777" w:rsidR="000174C1" w:rsidRPr="00487209" w:rsidRDefault="000174C1" w:rsidP="006C6323">
            <w:pPr>
              <w:jc w:val="both"/>
              <w:rPr>
                <w:rFonts w:ascii="Times New Roman" w:hAnsi="Times New Roman" w:cs="Times New Roman"/>
                <w:sz w:val="18"/>
                <w:szCs w:val="18"/>
                <w:lang w:val="nl-BE"/>
              </w:rPr>
            </w:pPr>
          </w:p>
          <w:p w14:paraId="365758D8" w14:textId="77777777" w:rsidR="00DD015C" w:rsidRPr="00487209" w:rsidRDefault="00DD015C" w:rsidP="006C6323">
            <w:pPr>
              <w:jc w:val="both"/>
              <w:rPr>
                <w:rFonts w:ascii="Times New Roman" w:hAnsi="Times New Roman" w:cs="Times New Roman"/>
                <w:sz w:val="18"/>
                <w:szCs w:val="18"/>
                <w:lang w:val="nl-BE"/>
              </w:rPr>
            </w:pPr>
            <w:r w:rsidRPr="00487209">
              <w:rPr>
                <w:rFonts w:ascii="Times New Roman" w:hAnsi="Times New Roman" w:cs="Times New Roman"/>
                <w:sz w:val="18"/>
                <w:szCs w:val="18"/>
                <w:lang w:val="nl-BE"/>
              </w:rPr>
              <w:t xml:space="preserve">3) </w:t>
            </w:r>
            <w:r w:rsidRPr="00487209">
              <w:rPr>
                <w:rFonts w:ascii="Times New Roman" w:hAnsi="Times New Roman" w:cs="Times New Roman"/>
                <w:sz w:val="18"/>
                <w:szCs w:val="18"/>
              </w:rPr>
              <w:t>спречавању</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превладавања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појединачних</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интереса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над</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заједничким</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интересом</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заинтересованих</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страна</w:t>
            </w:r>
            <w:r w:rsidRPr="00487209">
              <w:rPr>
                <w:rFonts w:ascii="Times New Roman" w:hAnsi="Times New Roman" w:cs="Times New Roman"/>
                <w:sz w:val="18"/>
                <w:szCs w:val="18"/>
                <w:lang w:val="nl-BE"/>
              </w:rPr>
              <w:t>;</w:t>
            </w:r>
          </w:p>
          <w:p w14:paraId="4FF82CA3" w14:textId="77777777" w:rsidR="00DD015C" w:rsidRPr="00487209" w:rsidRDefault="00DD015C" w:rsidP="006C6323">
            <w:pPr>
              <w:jc w:val="both"/>
              <w:rPr>
                <w:rFonts w:ascii="Times New Roman" w:hAnsi="Times New Roman" w:cs="Times New Roman"/>
                <w:sz w:val="18"/>
                <w:szCs w:val="18"/>
                <w:lang w:val="nl-BE"/>
              </w:rPr>
            </w:pPr>
          </w:p>
        </w:tc>
        <w:tc>
          <w:tcPr>
            <w:tcW w:w="458" w:type="pct"/>
            <w:shd w:val="clear" w:color="auto" w:fill="auto"/>
            <w:vAlign w:val="center"/>
          </w:tcPr>
          <w:p w14:paraId="7ED53EB4" w14:textId="77777777" w:rsidR="000174C1" w:rsidRPr="00487209" w:rsidRDefault="00DD015C"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w:t>
            </w:r>
            <w:r w:rsidR="000174C1" w:rsidRPr="00487209">
              <w:rPr>
                <w:rFonts w:ascii="Times New Roman" w:hAnsi="Times New Roman" w:cs="Times New Roman"/>
                <w:sz w:val="18"/>
                <w:szCs w:val="18"/>
                <w:lang w:val="sr-Cyrl-CS"/>
              </w:rPr>
              <w:t>У</w:t>
            </w:r>
          </w:p>
        </w:tc>
        <w:tc>
          <w:tcPr>
            <w:tcW w:w="598" w:type="pct"/>
            <w:gridSpan w:val="2"/>
            <w:shd w:val="clear" w:color="auto" w:fill="auto"/>
            <w:vAlign w:val="center"/>
          </w:tcPr>
          <w:p w14:paraId="19FA4F1E" w14:textId="72DAC0A5" w:rsidR="004A66AB" w:rsidRPr="00487209" w:rsidRDefault="00992F48" w:rsidP="008111AF">
            <w:pPr>
              <w:spacing w:before="120" w:after="120"/>
              <w:ind w:firstLine="21"/>
              <w:jc w:val="both"/>
              <w:rPr>
                <w:rFonts w:ascii="Times New Roman" w:hAnsi="Times New Roman" w:cs="Times New Roman"/>
                <w:bCs/>
                <w:sz w:val="18"/>
                <w:szCs w:val="18"/>
                <w:lang w:val="sr-Cyrl-CS"/>
              </w:rPr>
            </w:pPr>
            <w:r w:rsidRPr="00487209">
              <w:rPr>
                <w:rFonts w:ascii="Times New Roman" w:hAnsi="Times New Roman" w:cs="Times New Roman"/>
                <w:sz w:val="18"/>
                <w:szCs w:val="18"/>
                <w:lang w:val="sr-Cyrl-CS"/>
              </w:rPr>
              <w:t>Ч</w:t>
            </w:r>
            <w:r w:rsidRPr="00487209">
              <w:rPr>
                <w:rFonts w:ascii="Times New Roman" w:hAnsi="Times New Roman" w:cs="Times New Roman"/>
                <w:sz w:val="18"/>
                <w:szCs w:val="18"/>
                <w:lang w:val="ru-RU"/>
              </w:rPr>
              <w:t>л</w:t>
            </w:r>
            <w:r w:rsidR="00BC1032">
              <w:rPr>
                <w:rFonts w:ascii="Times New Roman" w:hAnsi="Times New Roman" w:cs="Times New Roman"/>
                <w:sz w:val="18"/>
                <w:szCs w:val="18"/>
                <w:lang w:val="ru-RU"/>
              </w:rPr>
              <w:t>ан</w:t>
            </w:r>
            <w:r w:rsidR="004249FA" w:rsidRPr="00487209">
              <w:rPr>
                <w:rFonts w:ascii="Times New Roman" w:hAnsi="Times New Roman" w:cs="Times New Roman"/>
                <w:sz w:val="18"/>
                <w:szCs w:val="18"/>
                <w:lang w:val="ru-RU"/>
              </w:rPr>
              <w:t xml:space="preserve"> 17.2. </w:t>
            </w:r>
            <w:r w:rsidR="004249FA" w:rsidRPr="00487209">
              <w:rPr>
                <w:rFonts w:ascii="Times New Roman" w:hAnsi="Times New Roman" w:cs="Times New Roman"/>
                <w:sz w:val="18"/>
                <w:szCs w:val="18"/>
                <w:lang w:val="sr-Cyrl-CS"/>
              </w:rPr>
              <w:t>Уредбе 305/2011 (ЕУ)</w:t>
            </w:r>
            <w:r w:rsidR="00DD015C" w:rsidRPr="00487209">
              <w:rPr>
                <w:rFonts w:ascii="Times New Roman" w:hAnsi="Times New Roman" w:cs="Times New Roman"/>
                <w:sz w:val="18"/>
                <w:szCs w:val="18"/>
                <w:lang w:val="sr-Cyrl-CS"/>
              </w:rPr>
              <w:t xml:space="preserve"> је делимично прене</w:t>
            </w:r>
            <w:r w:rsidR="00BC1032">
              <w:rPr>
                <w:rFonts w:ascii="Times New Roman" w:hAnsi="Times New Roman" w:cs="Times New Roman"/>
                <w:sz w:val="18"/>
                <w:szCs w:val="18"/>
                <w:lang w:val="sr-Cyrl-CS"/>
              </w:rPr>
              <w:t xml:space="preserve">т члан </w:t>
            </w:r>
            <w:r w:rsidR="00DD015C" w:rsidRPr="00487209">
              <w:rPr>
                <w:rFonts w:ascii="Times New Roman" w:hAnsi="Times New Roman" w:cs="Times New Roman"/>
                <w:sz w:val="18"/>
                <w:szCs w:val="18"/>
                <w:lang w:val="sr-Cyrl-CS"/>
              </w:rPr>
              <w:t xml:space="preserve"> 4. </w:t>
            </w:r>
            <w:r w:rsidRPr="00487209">
              <w:rPr>
                <w:rFonts w:ascii="Times New Roman" w:hAnsi="Times New Roman" w:cs="Times New Roman"/>
                <w:sz w:val="18"/>
                <w:szCs w:val="18"/>
                <w:lang w:val="sr-Cyrl-CS"/>
              </w:rPr>
              <w:t>ст</w:t>
            </w:r>
            <w:r w:rsidR="00BC1032">
              <w:rPr>
                <w:rFonts w:ascii="Times New Roman" w:hAnsi="Times New Roman" w:cs="Times New Roman"/>
                <w:sz w:val="18"/>
                <w:szCs w:val="18"/>
                <w:lang w:val="sr-Cyrl-CS"/>
              </w:rPr>
              <w:t>ав</w:t>
            </w:r>
            <w:r w:rsidR="00DD015C" w:rsidRPr="00487209">
              <w:rPr>
                <w:rFonts w:ascii="Times New Roman" w:hAnsi="Times New Roman" w:cs="Times New Roman"/>
                <w:sz w:val="18"/>
                <w:szCs w:val="18"/>
                <w:lang w:val="sr-Cyrl-CS"/>
              </w:rPr>
              <w:t xml:space="preserve"> 1. </w:t>
            </w:r>
            <w:r w:rsidRPr="00487209">
              <w:rPr>
                <w:rFonts w:ascii="Times New Roman" w:hAnsi="Times New Roman" w:cs="Times New Roman"/>
                <w:sz w:val="18"/>
                <w:szCs w:val="18"/>
                <w:lang w:val="sr-Cyrl-CS"/>
              </w:rPr>
              <w:t>тач</w:t>
            </w:r>
            <w:r w:rsidR="00BC1032">
              <w:rPr>
                <w:rFonts w:ascii="Times New Roman" w:hAnsi="Times New Roman" w:cs="Times New Roman"/>
                <w:sz w:val="18"/>
                <w:szCs w:val="18"/>
                <w:lang w:val="sr-Cyrl-CS"/>
              </w:rPr>
              <w:t>.</w:t>
            </w:r>
            <w:r w:rsidR="00DD015C" w:rsidRPr="00487209">
              <w:rPr>
                <w:rFonts w:ascii="Times New Roman" w:hAnsi="Times New Roman" w:cs="Times New Roman"/>
                <w:sz w:val="18"/>
                <w:szCs w:val="18"/>
                <w:lang w:val="sr-Cyrl-CS"/>
              </w:rPr>
              <w:t xml:space="preserve"> 1) и 2)</w:t>
            </w:r>
            <w:r w:rsidR="000174C1" w:rsidRPr="00487209">
              <w:rPr>
                <w:rFonts w:ascii="Times New Roman" w:hAnsi="Times New Roman" w:cs="Times New Roman"/>
                <w:sz w:val="18"/>
                <w:szCs w:val="18"/>
                <w:lang w:val="sr-Cyrl-CS"/>
              </w:rPr>
              <w:t xml:space="preserve"> Закон</w:t>
            </w:r>
            <w:r w:rsidRPr="00487209">
              <w:rPr>
                <w:rFonts w:ascii="Times New Roman" w:hAnsi="Times New Roman" w:cs="Times New Roman"/>
                <w:sz w:val="18"/>
                <w:szCs w:val="18"/>
                <w:lang w:val="sr-Cyrl-CS"/>
              </w:rPr>
              <w:t>а</w:t>
            </w:r>
            <w:r w:rsidR="000174C1" w:rsidRPr="00487209">
              <w:rPr>
                <w:rFonts w:ascii="Times New Roman" w:hAnsi="Times New Roman" w:cs="Times New Roman"/>
                <w:sz w:val="18"/>
                <w:szCs w:val="18"/>
                <w:lang w:val="sr-Cyrl-CS"/>
              </w:rPr>
              <w:t xml:space="preserve"> о стандардизацији (</w:t>
            </w:r>
            <w:r w:rsidR="000174C1" w:rsidRPr="00487209">
              <w:rPr>
                <w:rFonts w:ascii="Times New Roman" w:hAnsi="Times New Roman" w:cs="Times New Roman"/>
                <w:bCs/>
                <w:sz w:val="18"/>
                <w:szCs w:val="18"/>
                <w:lang w:val="sr-Cyrl-CS"/>
              </w:rPr>
              <w:t>„Службени гласник РС”, бр. 36/09 и 46/15).</w:t>
            </w:r>
          </w:p>
        </w:tc>
        <w:tc>
          <w:tcPr>
            <w:tcW w:w="480" w:type="pct"/>
            <w:shd w:val="clear" w:color="auto" w:fill="auto"/>
            <w:vAlign w:val="center"/>
          </w:tcPr>
          <w:p w14:paraId="32B9E3BA" w14:textId="77777777" w:rsidR="000174C1" w:rsidRPr="00487209" w:rsidRDefault="000174C1" w:rsidP="006C6323">
            <w:pPr>
              <w:spacing w:before="120" w:after="120"/>
              <w:jc w:val="both"/>
              <w:rPr>
                <w:rFonts w:ascii="Times New Roman" w:hAnsi="Times New Roman" w:cs="Times New Roman"/>
                <w:sz w:val="18"/>
                <w:szCs w:val="18"/>
                <w:lang w:val="ru-RU"/>
              </w:rPr>
            </w:pPr>
          </w:p>
        </w:tc>
      </w:tr>
      <w:tr w:rsidR="00337554" w:rsidRPr="00487209" w14:paraId="11141B34" w14:textId="77777777" w:rsidTr="007D5144">
        <w:trPr>
          <w:trHeight w:val="1970"/>
          <w:jc w:val="center"/>
        </w:trPr>
        <w:tc>
          <w:tcPr>
            <w:tcW w:w="435" w:type="pct"/>
            <w:shd w:val="clear" w:color="auto" w:fill="auto"/>
            <w:vAlign w:val="center"/>
          </w:tcPr>
          <w:p w14:paraId="70B46BA7" w14:textId="77777777" w:rsidR="000174C1" w:rsidRPr="00487209" w:rsidRDefault="000174C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17.3.</w:t>
            </w:r>
          </w:p>
        </w:tc>
        <w:tc>
          <w:tcPr>
            <w:tcW w:w="1369" w:type="pct"/>
            <w:gridSpan w:val="2"/>
            <w:shd w:val="clear" w:color="auto" w:fill="auto"/>
            <w:vAlign w:val="center"/>
          </w:tcPr>
          <w:p w14:paraId="5492D203" w14:textId="77777777" w:rsidR="000174C1" w:rsidRPr="00487209" w:rsidRDefault="000174C1" w:rsidP="006C6323">
            <w:pPr>
              <w:jc w:val="both"/>
              <w:rPr>
                <w:rFonts w:ascii="Times New Roman" w:hAnsi="Times New Roman" w:cs="Times New Roman"/>
                <w:sz w:val="18"/>
                <w:szCs w:val="18"/>
                <w:lang w:val="sr-Cyrl-CS"/>
              </w:rPr>
            </w:pPr>
          </w:p>
          <w:p w14:paraId="1F8FB01B" w14:textId="77777777" w:rsidR="000174C1" w:rsidRPr="00487209" w:rsidRDefault="000174C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Harmonised standards shall provide the methods and the criteria for assessing the performance of the construction products in relation to their essential characteristics.</w:t>
            </w:r>
          </w:p>
          <w:p w14:paraId="6663CEAD" w14:textId="77777777" w:rsidR="000174C1" w:rsidRPr="00487209" w:rsidRDefault="000174C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When provided for in the relevant mandate, a harmonised standard shall refer to an intended use of products to be covered by it.</w:t>
            </w:r>
          </w:p>
          <w:p w14:paraId="1DFCBF02" w14:textId="77777777" w:rsidR="000174C1" w:rsidRPr="00487209" w:rsidRDefault="000174C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Harmonised standards shall, where appropriate and without endangering the accuracy, reliability or stability of the results, provide methods less onerous than testing for assessing the performance of the construction products in relation to their essential characteristics.</w:t>
            </w:r>
          </w:p>
          <w:p w14:paraId="04386262" w14:textId="77777777" w:rsidR="000174C1" w:rsidRPr="00487209" w:rsidRDefault="000174C1" w:rsidP="006C6323">
            <w:pPr>
              <w:jc w:val="both"/>
              <w:rPr>
                <w:rFonts w:ascii="Times New Roman" w:hAnsi="Times New Roman" w:cs="Times New Roman"/>
                <w:sz w:val="18"/>
                <w:szCs w:val="18"/>
                <w:lang w:val="sr-Cyrl-CS"/>
              </w:rPr>
            </w:pPr>
          </w:p>
        </w:tc>
        <w:tc>
          <w:tcPr>
            <w:tcW w:w="429" w:type="pct"/>
            <w:shd w:val="clear" w:color="auto" w:fill="auto"/>
            <w:vAlign w:val="center"/>
          </w:tcPr>
          <w:p w14:paraId="7C76A9B5" w14:textId="77777777" w:rsidR="00F249E1" w:rsidRPr="00487209" w:rsidRDefault="00F249E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121D47E8" w14:textId="26F1554A" w:rsidR="000174C1" w:rsidRPr="00487209" w:rsidRDefault="001746A9" w:rsidP="006C6323">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sr-Cyrl-CS"/>
              </w:rPr>
              <w:t>19</w:t>
            </w:r>
            <w:r w:rsidR="000174C1" w:rsidRPr="00487209">
              <w:rPr>
                <w:rFonts w:ascii="Times New Roman" w:hAnsi="Times New Roman" w:cs="Times New Roman"/>
                <w:sz w:val="18"/>
                <w:szCs w:val="18"/>
                <w:lang w:val="ru-RU"/>
              </w:rPr>
              <w:t>.1.</w:t>
            </w:r>
          </w:p>
          <w:p w14:paraId="085C5964" w14:textId="77777777" w:rsidR="00BE4CC3" w:rsidRPr="00487209" w:rsidRDefault="00BE4CC3" w:rsidP="006C6323">
            <w:pPr>
              <w:spacing w:before="120" w:after="120"/>
              <w:ind w:firstLine="5"/>
              <w:jc w:val="center"/>
              <w:rPr>
                <w:rFonts w:ascii="Times New Roman" w:hAnsi="Times New Roman" w:cs="Times New Roman"/>
                <w:sz w:val="18"/>
                <w:szCs w:val="18"/>
                <w:lang w:val="ru-RU"/>
              </w:rPr>
            </w:pPr>
          </w:p>
          <w:p w14:paraId="59DE0E18" w14:textId="77777777" w:rsidR="00BE4CC3" w:rsidRPr="00487209" w:rsidRDefault="00BE4CC3" w:rsidP="006C6323">
            <w:pPr>
              <w:spacing w:before="120" w:after="120"/>
              <w:ind w:firstLine="5"/>
              <w:jc w:val="center"/>
              <w:rPr>
                <w:rFonts w:ascii="Times New Roman" w:hAnsi="Times New Roman" w:cs="Times New Roman"/>
                <w:sz w:val="18"/>
                <w:szCs w:val="18"/>
                <w:lang w:val="ru-RU"/>
              </w:rPr>
            </w:pPr>
          </w:p>
          <w:p w14:paraId="36CF9479" w14:textId="56A89A89" w:rsidR="000174C1" w:rsidRPr="00487209" w:rsidRDefault="001746A9" w:rsidP="006C6323">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sr-Cyrl-CS"/>
              </w:rPr>
              <w:t>19</w:t>
            </w:r>
            <w:r w:rsidR="000174C1" w:rsidRPr="00487209">
              <w:rPr>
                <w:rFonts w:ascii="Times New Roman" w:hAnsi="Times New Roman" w:cs="Times New Roman"/>
                <w:sz w:val="18"/>
                <w:szCs w:val="18"/>
                <w:lang w:val="ru-RU"/>
              </w:rPr>
              <w:t>.2.</w:t>
            </w:r>
          </w:p>
          <w:p w14:paraId="547FB30F" w14:textId="77777777" w:rsidR="00BE4CC3" w:rsidRPr="00487209" w:rsidRDefault="00BE4CC3" w:rsidP="006C6323">
            <w:pPr>
              <w:spacing w:before="120" w:after="120"/>
              <w:ind w:firstLine="5"/>
              <w:jc w:val="center"/>
              <w:rPr>
                <w:rFonts w:ascii="Times New Roman" w:hAnsi="Times New Roman" w:cs="Times New Roman"/>
                <w:sz w:val="18"/>
                <w:szCs w:val="18"/>
                <w:lang w:val="ru-RU"/>
              </w:rPr>
            </w:pPr>
          </w:p>
          <w:p w14:paraId="42051CC4" w14:textId="77777777" w:rsidR="00BE4CC3" w:rsidRPr="00487209" w:rsidRDefault="00BE4CC3" w:rsidP="006C6323">
            <w:pPr>
              <w:spacing w:before="120" w:after="120"/>
              <w:ind w:firstLine="5"/>
              <w:jc w:val="center"/>
              <w:rPr>
                <w:rFonts w:ascii="Times New Roman" w:hAnsi="Times New Roman" w:cs="Times New Roman"/>
                <w:sz w:val="18"/>
                <w:szCs w:val="18"/>
                <w:lang w:val="ru-RU"/>
              </w:rPr>
            </w:pPr>
          </w:p>
          <w:p w14:paraId="592D6EA2" w14:textId="2B7EAC49" w:rsidR="000174C1" w:rsidRPr="00487209" w:rsidRDefault="001746A9" w:rsidP="006C6323">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sr-Cyrl-CS"/>
              </w:rPr>
              <w:t>19</w:t>
            </w:r>
            <w:r w:rsidR="000174C1" w:rsidRPr="00487209">
              <w:rPr>
                <w:rFonts w:ascii="Times New Roman" w:hAnsi="Times New Roman" w:cs="Times New Roman"/>
                <w:sz w:val="18"/>
                <w:szCs w:val="18"/>
                <w:lang w:val="ru-RU"/>
              </w:rPr>
              <w:t>.3.</w:t>
            </w:r>
          </w:p>
        </w:tc>
        <w:tc>
          <w:tcPr>
            <w:tcW w:w="1231" w:type="pct"/>
            <w:gridSpan w:val="2"/>
            <w:shd w:val="clear" w:color="auto" w:fill="auto"/>
            <w:vAlign w:val="center"/>
          </w:tcPr>
          <w:p w14:paraId="20354E5F" w14:textId="77777777" w:rsidR="001746A9" w:rsidRPr="001746A9" w:rsidRDefault="001746A9" w:rsidP="007D5144">
            <w:pPr>
              <w:pStyle w:val="Normal10"/>
              <w:spacing w:before="120" w:beforeAutospacing="0" w:after="0" w:afterAutospacing="0"/>
              <w:ind w:right="-23"/>
              <w:jc w:val="both"/>
              <w:rPr>
                <w:sz w:val="18"/>
                <w:szCs w:val="18"/>
                <w:lang w:val="sr-Cyrl-CS"/>
              </w:rPr>
            </w:pPr>
            <w:r w:rsidRPr="001746A9">
              <w:rPr>
                <w:sz w:val="18"/>
                <w:szCs w:val="18"/>
                <w:lang w:val="sr-Cyrl-CS"/>
              </w:rPr>
              <w:t>Техничким прописом и/или српским стандардом се обезбеђују методе и критеријуми за оцењивање перформанси грађевинских производа у вези са њиховим битним карактеристикама.</w:t>
            </w:r>
          </w:p>
          <w:p w14:paraId="380C52F3" w14:textId="77777777" w:rsidR="001746A9" w:rsidRPr="001746A9" w:rsidRDefault="001746A9" w:rsidP="007D5144">
            <w:pPr>
              <w:pStyle w:val="Normal10"/>
              <w:spacing w:before="120" w:beforeAutospacing="0" w:after="0" w:afterAutospacing="0"/>
              <w:ind w:right="-23"/>
              <w:jc w:val="both"/>
              <w:rPr>
                <w:sz w:val="18"/>
                <w:szCs w:val="18"/>
                <w:lang w:val="sr-Cyrl-CS"/>
              </w:rPr>
            </w:pPr>
            <w:r w:rsidRPr="001746A9">
              <w:rPr>
                <w:sz w:val="18"/>
                <w:szCs w:val="18"/>
                <w:lang w:val="sr-Cyrl-CS"/>
              </w:rPr>
              <w:t>Технички пропис или српски стандард може да утврђује и предвиђену употребу грађевинског производа који је њиме обухваћен.</w:t>
            </w:r>
          </w:p>
          <w:p w14:paraId="3156E8E9" w14:textId="0A911618" w:rsidR="00883985" w:rsidRPr="00487209" w:rsidRDefault="001746A9" w:rsidP="001746A9">
            <w:pPr>
              <w:pStyle w:val="Normal10"/>
              <w:spacing w:before="120" w:beforeAutospacing="0" w:after="0" w:afterAutospacing="0"/>
              <w:ind w:right="-23"/>
              <w:jc w:val="both"/>
              <w:rPr>
                <w:sz w:val="18"/>
                <w:szCs w:val="18"/>
                <w:lang w:val="sr-Cyrl-CS"/>
              </w:rPr>
            </w:pPr>
            <w:r w:rsidRPr="001746A9">
              <w:rPr>
                <w:sz w:val="18"/>
                <w:szCs w:val="18"/>
                <w:lang w:val="sr-Cyrl-CS"/>
              </w:rPr>
              <w:t>За оцењивање перформанси грађевинских производа које се односе на њихове битне карактеристике техничким прописом или српским стандардом могу се утврдити мање захтевне методе од методе испитивања, под условом да се на тај начин не угрожава тачност, поузданост или постојаност резултата.</w:t>
            </w:r>
          </w:p>
        </w:tc>
        <w:tc>
          <w:tcPr>
            <w:tcW w:w="458" w:type="pct"/>
            <w:shd w:val="clear" w:color="auto" w:fill="auto"/>
            <w:vAlign w:val="center"/>
          </w:tcPr>
          <w:p w14:paraId="6E320849" w14:textId="77777777" w:rsidR="000174C1" w:rsidRPr="00487209" w:rsidRDefault="002173F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w:t>
            </w:r>
            <w:r w:rsidR="000174C1" w:rsidRPr="00487209">
              <w:rPr>
                <w:rFonts w:ascii="Times New Roman" w:hAnsi="Times New Roman" w:cs="Times New Roman"/>
                <w:sz w:val="18"/>
                <w:szCs w:val="18"/>
                <w:lang w:val="sr-Cyrl-CS"/>
              </w:rPr>
              <w:t>У</w:t>
            </w:r>
          </w:p>
        </w:tc>
        <w:tc>
          <w:tcPr>
            <w:tcW w:w="598" w:type="pct"/>
            <w:gridSpan w:val="2"/>
            <w:shd w:val="clear" w:color="auto" w:fill="auto"/>
            <w:vAlign w:val="center"/>
          </w:tcPr>
          <w:p w14:paraId="1074C9F7" w14:textId="0697E00B" w:rsidR="00012E94" w:rsidRPr="00487209" w:rsidRDefault="00E43A3F" w:rsidP="006C6323">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 xml:space="preserve">Члан </w:t>
            </w:r>
            <w:r w:rsidR="00012E94" w:rsidRPr="00487209">
              <w:rPr>
                <w:rFonts w:ascii="Times New Roman" w:hAnsi="Times New Roman" w:cs="Times New Roman"/>
                <w:sz w:val="18"/>
                <w:szCs w:val="18"/>
                <w:lang w:val="ru-RU"/>
              </w:rPr>
              <w:t>17.3.</w:t>
            </w:r>
            <w:r w:rsidR="00012E94" w:rsidRPr="00487209">
              <w:rPr>
                <w:rFonts w:ascii="Times New Roman" w:hAnsi="Times New Roman" w:cs="Times New Roman"/>
                <w:sz w:val="18"/>
                <w:szCs w:val="18"/>
                <w:lang w:val="sr-Cyrl-CS"/>
              </w:rPr>
              <w:t xml:space="preserve"> Уредбе 305/2011</w:t>
            </w:r>
            <w:r>
              <w:rPr>
                <w:rFonts w:ascii="Times New Roman" w:hAnsi="Times New Roman" w:cs="Times New Roman"/>
                <w:sz w:val="18"/>
                <w:szCs w:val="18"/>
                <w:lang w:val="sr-Cyrl-CS"/>
              </w:rPr>
              <w:t xml:space="preserve"> (ЕУ) је у потпуности пренет члан</w:t>
            </w:r>
            <w:r w:rsidR="00012E94" w:rsidRPr="00487209">
              <w:rPr>
                <w:rFonts w:ascii="Times New Roman" w:hAnsi="Times New Roman" w:cs="Times New Roman"/>
                <w:sz w:val="18"/>
                <w:szCs w:val="18"/>
                <w:lang w:val="sr-Cyrl-CS"/>
              </w:rPr>
              <w:t xml:space="preserve"> </w:t>
            </w:r>
            <w:r w:rsidR="001746A9">
              <w:rPr>
                <w:rFonts w:ascii="Times New Roman" w:hAnsi="Times New Roman" w:cs="Times New Roman"/>
                <w:sz w:val="18"/>
                <w:szCs w:val="18"/>
                <w:lang w:val="sr-Cyrl-CS"/>
              </w:rPr>
              <w:t>19</w:t>
            </w:r>
            <w:r>
              <w:rPr>
                <w:rFonts w:ascii="Times New Roman" w:hAnsi="Times New Roman" w:cs="Times New Roman"/>
                <w:sz w:val="18"/>
                <w:szCs w:val="18"/>
                <w:lang w:val="sr-Cyrl-CS"/>
              </w:rPr>
              <w:t>. ст. 1, 2. и</w:t>
            </w:r>
            <w:r w:rsidR="00012E94" w:rsidRPr="00487209">
              <w:rPr>
                <w:rFonts w:ascii="Times New Roman" w:hAnsi="Times New Roman" w:cs="Times New Roman"/>
                <w:sz w:val="18"/>
                <w:szCs w:val="18"/>
                <w:lang w:val="sr-Cyrl-CS"/>
              </w:rPr>
              <w:t xml:space="preserve"> 3.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012E94" w:rsidRPr="00487209">
              <w:rPr>
                <w:rFonts w:ascii="Times New Roman" w:hAnsi="Times New Roman" w:cs="Times New Roman"/>
                <w:sz w:val="18"/>
                <w:szCs w:val="18"/>
                <w:lang w:val="sr-Cyrl-CS"/>
              </w:rPr>
              <w:t xml:space="preserve"> уз напомену да је њоме поред хармонизоване обухваћена и нехармонизована област грађевинских производа.</w:t>
            </w:r>
          </w:p>
          <w:p w14:paraId="6B74BC81" w14:textId="77777777" w:rsidR="000174C1" w:rsidRPr="00487209" w:rsidRDefault="000174C1" w:rsidP="006C6323">
            <w:pPr>
              <w:spacing w:before="120" w:after="120"/>
              <w:ind w:firstLine="21"/>
              <w:jc w:val="both"/>
              <w:rPr>
                <w:rFonts w:ascii="Times New Roman" w:hAnsi="Times New Roman" w:cs="Times New Roman"/>
                <w:sz w:val="18"/>
                <w:szCs w:val="18"/>
                <w:lang w:val="sr-Cyrl-CS"/>
              </w:rPr>
            </w:pPr>
          </w:p>
        </w:tc>
        <w:tc>
          <w:tcPr>
            <w:tcW w:w="480" w:type="pct"/>
            <w:shd w:val="clear" w:color="auto" w:fill="auto"/>
            <w:vAlign w:val="center"/>
          </w:tcPr>
          <w:p w14:paraId="78708E68" w14:textId="77777777" w:rsidR="000174C1" w:rsidRPr="00487209" w:rsidRDefault="000174C1" w:rsidP="006C6323">
            <w:pPr>
              <w:spacing w:before="120" w:after="120"/>
              <w:jc w:val="center"/>
              <w:rPr>
                <w:rFonts w:ascii="Times New Roman" w:hAnsi="Times New Roman" w:cs="Times New Roman"/>
                <w:sz w:val="18"/>
                <w:szCs w:val="18"/>
                <w:lang w:val="sr-Cyrl-CS"/>
              </w:rPr>
            </w:pPr>
          </w:p>
        </w:tc>
      </w:tr>
      <w:tr w:rsidR="00337554" w:rsidRPr="00487209" w14:paraId="1BD6ADD8" w14:textId="77777777" w:rsidTr="007D5144">
        <w:trPr>
          <w:trHeight w:val="771"/>
          <w:jc w:val="center"/>
        </w:trPr>
        <w:tc>
          <w:tcPr>
            <w:tcW w:w="435" w:type="pct"/>
            <w:shd w:val="clear" w:color="auto" w:fill="auto"/>
            <w:vAlign w:val="center"/>
          </w:tcPr>
          <w:p w14:paraId="4B645143" w14:textId="77777777" w:rsidR="000174C1" w:rsidRPr="00487209" w:rsidRDefault="000174C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17.4.</w:t>
            </w:r>
          </w:p>
        </w:tc>
        <w:tc>
          <w:tcPr>
            <w:tcW w:w="1369" w:type="pct"/>
            <w:gridSpan w:val="2"/>
            <w:shd w:val="clear" w:color="auto" w:fill="auto"/>
            <w:vAlign w:val="center"/>
          </w:tcPr>
          <w:p w14:paraId="628E5A18" w14:textId="77777777" w:rsidR="000174C1" w:rsidRPr="00487209" w:rsidRDefault="000174C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European standardisation bodies shall determine in harmonised standards the applicable factory production control, which shall take into account the specific conditions of the manufacturing process of the construction product concerned.</w:t>
            </w:r>
          </w:p>
          <w:p w14:paraId="0A2333FF" w14:textId="77777777" w:rsidR="000174C1" w:rsidRPr="00487209" w:rsidRDefault="000174C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harmonised standard shall include technical details necessary for the implementation of the system of assessment and verification of constancy of performance.</w:t>
            </w:r>
          </w:p>
          <w:p w14:paraId="038E78FC" w14:textId="77777777" w:rsidR="000174C1" w:rsidRPr="00487209" w:rsidRDefault="000174C1" w:rsidP="006C6323">
            <w:pPr>
              <w:jc w:val="both"/>
              <w:rPr>
                <w:rFonts w:ascii="Times New Roman" w:hAnsi="Times New Roman" w:cs="Times New Roman"/>
                <w:sz w:val="18"/>
                <w:szCs w:val="18"/>
                <w:lang w:val="sr-Cyrl-CS"/>
              </w:rPr>
            </w:pPr>
          </w:p>
        </w:tc>
        <w:tc>
          <w:tcPr>
            <w:tcW w:w="429" w:type="pct"/>
            <w:shd w:val="clear" w:color="auto" w:fill="auto"/>
            <w:vAlign w:val="center"/>
          </w:tcPr>
          <w:p w14:paraId="6F596EA0" w14:textId="77777777" w:rsidR="00F249E1" w:rsidRPr="00487209" w:rsidRDefault="00F249E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7AB23429" w14:textId="0B461C76" w:rsidR="003D75A3" w:rsidRPr="00487209" w:rsidRDefault="001746A9" w:rsidP="006C6323">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sr-Cyrl-CS"/>
              </w:rPr>
              <w:t>19</w:t>
            </w:r>
            <w:r w:rsidR="003D75A3" w:rsidRPr="00487209">
              <w:rPr>
                <w:rFonts w:ascii="Times New Roman" w:hAnsi="Times New Roman" w:cs="Times New Roman"/>
                <w:sz w:val="18"/>
                <w:szCs w:val="18"/>
                <w:lang w:val="ru-RU"/>
              </w:rPr>
              <w:t>.4.</w:t>
            </w:r>
          </w:p>
          <w:p w14:paraId="2187FE76" w14:textId="77777777" w:rsidR="003D75A3" w:rsidRPr="00487209" w:rsidRDefault="003D75A3" w:rsidP="006C6323">
            <w:pPr>
              <w:spacing w:before="120" w:after="120"/>
              <w:ind w:firstLine="5"/>
              <w:jc w:val="center"/>
              <w:rPr>
                <w:rFonts w:ascii="Times New Roman" w:hAnsi="Times New Roman" w:cs="Times New Roman"/>
                <w:sz w:val="18"/>
                <w:szCs w:val="18"/>
                <w:lang w:val="ru-RU"/>
              </w:rPr>
            </w:pPr>
          </w:p>
          <w:p w14:paraId="7939A831" w14:textId="77777777" w:rsidR="003D75A3" w:rsidRPr="00487209" w:rsidRDefault="003D75A3" w:rsidP="006C6323">
            <w:pPr>
              <w:spacing w:before="120" w:after="120"/>
              <w:ind w:firstLine="5"/>
              <w:jc w:val="center"/>
              <w:rPr>
                <w:rFonts w:ascii="Times New Roman" w:hAnsi="Times New Roman" w:cs="Times New Roman"/>
                <w:sz w:val="18"/>
                <w:szCs w:val="18"/>
                <w:lang w:val="ru-RU"/>
              </w:rPr>
            </w:pPr>
          </w:p>
          <w:p w14:paraId="33F649E6" w14:textId="77777777" w:rsidR="003D75A3" w:rsidRPr="00487209" w:rsidRDefault="003D75A3" w:rsidP="006C6323">
            <w:pPr>
              <w:spacing w:before="120" w:after="120"/>
              <w:ind w:firstLine="5"/>
              <w:jc w:val="center"/>
              <w:rPr>
                <w:rFonts w:ascii="Times New Roman" w:hAnsi="Times New Roman" w:cs="Times New Roman"/>
                <w:sz w:val="18"/>
                <w:szCs w:val="18"/>
                <w:lang w:val="ru-RU"/>
              </w:rPr>
            </w:pPr>
          </w:p>
          <w:p w14:paraId="0A7DDE31" w14:textId="77777777" w:rsidR="003D75A3" w:rsidRPr="00487209" w:rsidRDefault="003D75A3" w:rsidP="006C6323">
            <w:pPr>
              <w:spacing w:before="120" w:after="120"/>
              <w:ind w:firstLine="5"/>
              <w:jc w:val="center"/>
              <w:rPr>
                <w:rFonts w:ascii="Times New Roman" w:hAnsi="Times New Roman" w:cs="Times New Roman"/>
                <w:sz w:val="18"/>
                <w:szCs w:val="18"/>
                <w:lang w:val="ru-RU"/>
              </w:rPr>
            </w:pPr>
          </w:p>
          <w:p w14:paraId="19C1A4EA" w14:textId="797585A5" w:rsidR="000174C1" w:rsidRPr="00487209" w:rsidRDefault="001746A9" w:rsidP="006C6323">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sr-Cyrl-CS"/>
              </w:rPr>
              <w:t>19</w:t>
            </w:r>
            <w:r w:rsidR="003D75A3" w:rsidRPr="00487209">
              <w:rPr>
                <w:rFonts w:ascii="Times New Roman" w:hAnsi="Times New Roman" w:cs="Times New Roman"/>
                <w:sz w:val="18"/>
                <w:szCs w:val="18"/>
                <w:lang w:val="ru-RU"/>
              </w:rPr>
              <w:t>.5.</w:t>
            </w:r>
          </w:p>
        </w:tc>
        <w:tc>
          <w:tcPr>
            <w:tcW w:w="1231" w:type="pct"/>
            <w:gridSpan w:val="2"/>
            <w:shd w:val="clear" w:color="auto" w:fill="auto"/>
            <w:vAlign w:val="center"/>
          </w:tcPr>
          <w:p w14:paraId="500279CA" w14:textId="77777777" w:rsidR="001746A9" w:rsidRPr="001746A9" w:rsidRDefault="001746A9" w:rsidP="001746A9">
            <w:pPr>
              <w:shd w:val="clear" w:color="auto" w:fill="FFFFFF"/>
              <w:spacing w:before="120"/>
              <w:ind w:right="-23"/>
              <w:jc w:val="both"/>
              <w:rPr>
                <w:rFonts w:ascii="Times New Roman" w:eastAsia="Times New Roman" w:hAnsi="Times New Roman" w:cs="Times New Roman"/>
                <w:sz w:val="18"/>
                <w:szCs w:val="18"/>
                <w:lang w:val="sr-Cyrl-CS"/>
              </w:rPr>
            </w:pPr>
            <w:r w:rsidRPr="001746A9">
              <w:rPr>
                <w:rFonts w:ascii="Times New Roman" w:eastAsia="Times New Roman" w:hAnsi="Times New Roman" w:cs="Times New Roman"/>
                <w:sz w:val="18"/>
                <w:szCs w:val="18"/>
                <w:lang w:val="sr-Cyrl-CS"/>
              </w:rPr>
              <w:t>Технички пропис или српски стандард утврђује одговарајућу фабричку контролу производње којом се узимају у обзир посебни услови производног процеса за грађевински производ на који се односи.</w:t>
            </w:r>
          </w:p>
          <w:p w14:paraId="2260E8AA" w14:textId="24E190AF" w:rsidR="000174C1" w:rsidRPr="00487209" w:rsidRDefault="001746A9" w:rsidP="006C6323">
            <w:pPr>
              <w:pStyle w:val="Normal10"/>
              <w:spacing w:before="120" w:beforeAutospacing="0" w:after="0" w:afterAutospacing="0"/>
              <w:ind w:right="-23"/>
              <w:jc w:val="both"/>
              <w:rPr>
                <w:sz w:val="18"/>
                <w:szCs w:val="18"/>
                <w:lang w:val="sr-Cyrl-CS"/>
              </w:rPr>
            </w:pPr>
            <w:r w:rsidRPr="001746A9">
              <w:rPr>
                <w:sz w:val="18"/>
                <w:szCs w:val="18"/>
                <w:lang w:val="sr-Cyrl-CS"/>
              </w:rPr>
              <w:t>Технички пропис или српски стандард утврђује техничке детаље неопходне за спровођење система оцењивања и верификације сталности перформанси грађевинског производа на који се односи.</w:t>
            </w:r>
          </w:p>
        </w:tc>
        <w:tc>
          <w:tcPr>
            <w:tcW w:w="458" w:type="pct"/>
            <w:shd w:val="clear" w:color="auto" w:fill="auto"/>
            <w:vAlign w:val="center"/>
          </w:tcPr>
          <w:p w14:paraId="7ACA7887" w14:textId="501EE500" w:rsidR="000174C1" w:rsidRPr="00487209" w:rsidRDefault="001746A9" w:rsidP="006C6323">
            <w:pPr>
              <w:spacing w:before="120" w:after="120"/>
              <w:jc w:val="center"/>
              <w:rPr>
                <w:rFonts w:ascii="Times New Roman" w:hAnsi="Times New Roman" w:cs="Times New Roman"/>
                <w:sz w:val="18"/>
                <w:szCs w:val="18"/>
              </w:rPr>
            </w:pPr>
            <w:r>
              <w:rPr>
                <w:rFonts w:ascii="Times New Roman" w:hAnsi="Times New Roman" w:cs="Times New Roman"/>
                <w:sz w:val="18"/>
                <w:szCs w:val="18"/>
                <w:lang w:val="sr-Cyrl-CS"/>
              </w:rPr>
              <w:t>П</w:t>
            </w:r>
            <w:r w:rsidRPr="00487209">
              <w:rPr>
                <w:rFonts w:ascii="Times New Roman" w:hAnsi="Times New Roman" w:cs="Times New Roman"/>
                <w:sz w:val="18"/>
                <w:szCs w:val="18"/>
                <w:lang w:val="sr-Cyrl-CS"/>
              </w:rPr>
              <w:t>У</w:t>
            </w:r>
          </w:p>
        </w:tc>
        <w:tc>
          <w:tcPr>
            <w:tcW w:w="598" w:type="pct"/>
            <w:gridSpan w:val="2"/>
            <w:shd w:val="clear" w:color="auto" w:fill="auto"/>
            <w:vAlign w:val="center"/>
          </w:tcPr>
          <w:p w14:paraId="694FEE6F" w14:textId="310FAE38" w:rsidR="000174C1" w:rsidRPr="00487209" w:rsidRDefault="00E65CDD" w:rsidP="001746A9">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8E7666" w:rsidRPr="00487209">
              <w:rPr>
                <w:rFonts w:ascii="Times New Roman" w:hAnsi="Times New Roman" w:cs="Times New Roman"/>
                <w:sz w:val="18"/>
                <w:szCs w:val="18"/>
                <w:lang w:val="ru-RU"/>
              </w:rPr>
              <w:t xml:space="preserve"> 17.4.</w:t>
            </w:r>
            <w:r w:rsidR="008E7666" w:rsidRPr="00487209">
              <w:rPr>
                <w:rFonts w:ascii="Times New Roman" w:hAnsi="Times New Roman" w:cs="Times New Roman"/>
                <w:sz w:val="18"/>
                <w:szCs w:val="18"/>
                <w:lang w:val="sr-Cyrl-CS"/>
              </w:rPr>
              <w:t xml:space="preserve"> Уредбе 305/2011 </w:t>
            </w:r>
            <w:r>
              <w:rPr>
                <w:rFonts w:ascii="Times New Roman" w:hAnsi="Times New Roman" w:cs="Times New Roman"/>
                <w:sz w:val="18"/>
                <w:szCs w:val="18"/>
                <w:lang w:val="sr-Cyrl-CS"/>
              </w:rPr>
              <w:t xml:space="preserve">(ЕУ) је у потпуности пренет члан </w:t>
            </w:r>
            <w:r w:rsidR="001746A9">
              <w:rPr>
                <w:rFonts w:ascii="Times New Roman" w:hAnsi="Times New Roman" w:cs="Times New Roman"/>
                <w:sz w:val="18"/>
                <w:szCs w:val="18"/>
                <w:lang w:val="sr-Cyrl-CS"/>
              </w:rPr>
              <w:t>19</w:t>
            </w:r>
            <w:r w:rsidR="008E7666" w:rsidRPr="00487209">
              <w:rPr>
                <w:rFonts w:ascii="Times New Roman" w:hAnsi="Times New Roman" w:cs="Times New Roman"/>
                <w:sz w:val="18"/>
                <w:szCs w:val="18"/>
                <w:lang w:val="sr-Cyrl-CS"/>
              </w:rPr>
              <w:t xml:space="preserve">. ст. 4. и 5.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8E7666" w:rsidRPr="00487209">
              <w:rPr>
                <w:rFonts w:ascii="Times New Roman" w:hAnsi="Times New Roman" w:cs="Times New Roman"/>
                <w:sz w:val="18"/>
                <w:szCs w:val="18"/>
                <w:lang w:val="sr-Cyrl-CS"/>
              </w:rPr>
              <w:t xml:space="preserve"> уз напомену да је њоме поред хармонизоване обухваћена и нехармонизована област грађевинских производа.</w:t>
            </w:r>
          </w:p>
        </w:tc>
        <w:tc>
          <w:tcPr>
            <w:tcW w:w="480" w:type="pct"/>
            <w:shd w:val="clear" w:color="auto" w:fill="auto"/>
            <w:vAlign w:val="center"/>
          </w:tcPr>
          <w:p w14:paraId="3A7B00B3" w14:textId="77777777" w:rsidR="000174C1" w:rsidRPr="00487209" w:rsidRDefault="000174C1" w:rsidP="006C6323">
            <w:pPr>
              <w:spacing w:before="120" w:after="120"/>
              <w:jc w:val="center"/>
              <w:rPr>
                <w:rFonts w:ascii="Times New Roman" w:hAnsi="Times New Roman" w:cs="Times New Roman"/>
                <w:sz w:val="18"/>
                <w:szCs w:val="18"/>
                <w:lang w:val="sr-Cyrl-CS"/>
              </w:rPr>
            </w:pPr>
          </w:p>
        </w:tc>
      </w:tr>
      <w:tr w:rsidR="00337554" w:rsidRPr="00487209" w14:paraId="59C25404" w14:textId="77777777" w:rsidTr="007D5144">
        <w:trPr>
          <w:trHeight w:val="1970"/>
          <w:jc w:val="center"/>
        </w:trPr>
        <w:tc>
          <w:tcPr>
            <w:tcW w:w="435" w:type="pct"/>
            <w:shd w:val="clear" w:color="auto" w:fill="auto"/>
            <w:vAlign w:val="center"/>
          </w:tcPr>
          <w:p w14:paraId="15D7F0A4" w14:textId="77777777" w:rsidR="000174C1" w:rsidRPr="00487209" w:rsidRDefault="000174C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17.5.(</w:t>
            </w:r>
            <w:r w:rsidRPr="00487209">
              <w:rPr>
                <w:rFonts w:ascii="Times New Roman" w:hAnsi="Times New Roman" w:cs="Times New Roman"/>
                <w:sz w:val="18"/>
                <w:szCs w:val="18"/>
              </w:rPr>
              <w:t>a</w:t>
            </w:r>
            <w:r w:rsidRPr="00487209">
              <w:rPr>
                <w:rFonts w:ascii="Times New Roman" w:hAnsi="Times New Roman" w:cs="Times New Roman"/>
                <w:sz w:val="18"/>
                <w:szCs w:val="18"/>
                <w:lang w:val="sr-Cyrl-CS"/>
              </w:rPr>
              <w:t>)</w:t>
            </w:r>
          </w:p>
        </w:tc>
        <w:tc>
          <w:tcPr>
            <w:tcW w:w="1369" w:type="pct"/>
            <w:gridSpan w:val="2"/>
            <w:shd w:val="clear" w:color="auto" w:fill="auto"/>
            <w:vAlign w:val="center"/>
          </w:tcPr>
          <w:p w14:paraId="18378DC3" w14:textId="77777777" w:rsidR="00AA13F6" w:rsidRPr="00487209" w:rsidRDefault="00AA13F6" w:rsidP="006C6323">
            <w:pPr>
              <w:jc w:val="both"/>
              <w:rPr>
                <w:rFonts w:ascii="Times New Roman" w:hAnsi="Times New Roman" w:cs="Times New Roman"/>
                <w:sz w:val="18"/>
                <w:szCs w:val="18"/>
                <w:lang w:val="sr-Cyrl-CS"/>
              </w:rPr>
            </w:pPr>
          </w:p>
          <w:p w14:paraId="26461E93" w14:textId="77777777" w:rsidR="000174C1" w:rsidRPr="00487209" w:rsidRDefault="000174C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Commission shall assess the conformity of harmonised standards established by the European standardisation bodies with the relevant mandates.</w:t>
            </w:r>
          </w:p>
          <w:p w14:paraId="6B0FB1BC" w14:textId="77777777" w:rsidR="000174C1" w:rsidRPr="00487209" w:rsidRDefault="000174C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Commission shall publish in the Official Journal of the European Union the list of references of harmonised standards which are in conformity with the relevant mandates.</w:t>
            </w:r>
          </w:p>
          <w:p w14:paraId="54226C50" w14:textId="77777777" w:rsidR="000174C1" w:rsidRPr="00487209" w:rsidRDefault="000174C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following shall be indicated for each harmonised standard in the list:</w:t>
            </w:r>
          </w:p>
          <w:p w14:paraId="2EB3857D" w14:textId="38ED3D55" w:rsidR="000174C1" w:rsidRPr="00487209" w:rsidRDefault="000174C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references of superseded harmonised technical specifications, if any;</w:t>
            </w:r>
          </w:p>
          <w:p w14:paraId="3814E14E" w14:textId="77777777" w:rsidR="00AA13F6" w:rsidRPr="00487209" w:rsidRDefault="00AA13F6" w:rsidP="006C6323">
            <w:pPr>
              <w:jc w:val="both"/>
              <w:rPr>
                <w:rFonts w:ascii="Times New Roman" w:hAnsi="Times New Roman" w:cs="Times New Roman"/>
                <w:sz w:val="18"/>
                <w:szCs w:val="18"/>
                <w:lang w:val="sr-Cyrl-CS"/>
              </w:rPr>
            </w:pPr>
          </w:p>
        </w:tc>
        <w:tc>
          <w:tcPr>
            <w:tcW w:w="429" w:type="pct"/>
            <w:shd w:val="clear" w:color="auto" w:fill="auto"/>
            <w:vAlign w:val="center"/>
          </w:tcPr>
          <w:p w14:paraId="14143F76" w14:textId="77777777" w:rsidR="000174C1" w:rsidRPr="00487209" w:rsidRDefault="000174C1"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67D34857" w14:textId="77777777" w:rsidR="000174C1" w:rsidRPr="00487209" w:rsidRDefault="000174C1" w:rsidP="006C6323">
            <w:pPr>
              <w:pStyle w:val="Style7"/>
              <w:spacing w:before="240" w:after="0" w:line="240" w:lineRule="auto"/>
              <w:ind w:right="-23"/>
              <w:jc w:val="both"/>
              <w:outlineLvl w:val="3"/>
              <w:rPr>
                <w:rStyle w:val="FontStyle41"/>
                <w:rFonts w:ascii="Times New Roman" w:hAnsi="Times New Roman" w:cs="Times New Roman"/>
                <w:sz w:val="18"/>
                <w:szCs w:val="18"/>
              </w:rPr>
            </w:pPr>
          </w:p>
          <w:p w14:paraId="2F8B0D78" w14:textId="77777777" w:rsidR="000174C1" w:rsidRPr="00487209" w:rsidRDefault="000174C1" w:rsidP="006C6323">
            <w:pPr>
              <w:pStyle w:val="Style7"/>
              <w:spacing w:before="240" w:after="0" w:line="240" w:lineRule="auto"/>
              <w:ind w:right="-23"/>
              <w:jc w:val="both"/>
              <w:outlineLvl w:val="3"/>
              <w:rPr>
                <w:rStyle w:val="FontStyle41"/>
                <w:rFonts w:ascii="Times New Roman" w:hAnsi="Times New Roman" w:cs="Times New Roman"/>
                <w:sz w:val="18"/>
                <w:szCs w:val="18"/>
              </w:rPr>
            </w:pPr>
          </w:p>
          <w:p w14:paraId="04908299" w14:textId="77777777" w:rsidR="000174C1" w:rsidRPr="00487209" w:rsidRDefault="000174C1" w:rsidP="006C6323">
            <w:pPr>
              <w:jc w:val="center"/>
              <w:rPr>
                <w:rFonts w:ascii="Times New Roman" w:hAnsi="Times New Roman" w:cs="Times New Roman"/>
                <w:sz w:val="18"/>
                <w:szCs w:val="18"/>
                <w:lang w:val="sr-Cyrl-CS"/>
              </w:rPr>
            </w:pPr>
          </w:p>
        </w:tc>
        <w:tc>
          <w:tcPr>
            <w:tcW w:w="458" w:type="pct"/>
            <w:shd w:val="clear" w:color="auto" w:fill="auto"/>
            <w:vAlign w:val="center"/>
          </w:tcPr>
          <w:p w14:paraId="36EEDE6E"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04D7FA4E" w14:textId="654BAAD9" w:rsidR="000174C1" w:rsidRPr="00487209" w:rsidRDefault="00E65CDD"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0174C1" w:rsidRPr="00487209">
              <w:rPr>
                <w:rFonts w:ascii="Times New Roman" w:hAnsi="Times New Roman" w:cs="Times New Roman"/>
                <w:sz w:val="18"/>
                <w:szCs w:val="18"/>
                <w:lang w:val="ru-RU"/>
              </w:rPr>
              <w:t xml:space="preserve"> </w:t>
            </w:r>
            <w:r w:rsidR="000174C1" w:rsidRPr="00487209">
              <w:rPr>
                <w:rFonts w:ascii="Times New Roman" w:hAnsi="Times New Roman" w:cs="Times New Roman"/>
                <w:sz w:val="18"/>
                <w:szCs w:val="18"/>
              </w:rPr>
              <w:t>17.5.(a)</w:t>
            </w:r>
            <w:r w:rsidR="000174C1" w:rsidRPr="00487209">
              <w:rPr>
                <w:rFonts w:ascii="Times New Roman" w:hAnsi="Times New Roman" w:cs="Times New Roman"/>
                <w:sz w:val="18"/>
                <w:szCs w:val="18"/>
                <w:lang w:val="sr-Cyrl-CS"/>
              </w:rPr>
              <w:t xml:space="preserve"> Уредбе 305/2011 (ЕУ) није пренет, пошто се односи на обавезу Европске комисије</w:t>
            </w:r>
            <w:r w:rsidR="000174C1" w:rsidRPr="00487209">
              <w:rPr>
                <w:rFonts w:ascii="Times New Roman" w:hAnsi="Times New Roman" w:cs="Times New Roman"/>
                <w:bCs/>
                <w:sz w:val="18"/>
                <w:szCs w:val="18"/>
                <w:lang w:val="sr-Cyrl-CS"/>
              </w:rPr>
              <w:t>.</w:t>
            </w:r>
          </w:p>
        </w:tc>
        <w:tc>
          <w:tcPr>
            <w:tcW w:w="480" w:type="pct"/>
            <w:shd w:val="clear" w:color="auto" w:fill="auto"/>
            <w:vAlign w:val="center"/>
          </w:tcPr>
          <w:p w14:paraId="6CAA3BBB" w14:textId="77777777" w:rsidR="000174C1" w:rsidRPr="00487209" w:rsidRDefault="000174C1" w:rsidP="006C6323">
            <w:pPr>
              <w:spacing w:before="120" w:after="120"/>
              <w:jc w:val="center"/>
              <w:rPr>
                <w:rFonts w:ascii="Times New Roman" w:hAnsi="Times New Roman" w:cs="Times New Roman"/>
                <w:sz w:val="18"/>
                <w:szCs w:val="18"/>
                <w:lang w:val="ru-RU"/>
              </w:rPr>
            </w:pPr>
          </w:p>
        </w:tc>
      </w:tr>
      <w:tr w:rsidR="00337554" w:rsidRPr="00487209" w14:paraId="48A49EA8" w14:textId="77777777" w:rsidTr="007D5144">
        <w:trPr>
          <w:trHeight w:val="1970"/>
          <w:jc w:val="center"/>
        </w:trPr>
        <w:tc>
          <w:tcPr>
            <w:tcW w:w="435" w:type="pct"/>
            <w:shd w:val="clear" w:color="auto" w:fill="auto"/>
            <w:vAlign w:val="center"/>
          </w:tcPr>
          <w:p w14:paraId="0F1E0AA1" w14:textId="77777777" w:rsidR="000174C1" w:rsidRPr="00487209" w:rsidRDefault="000174C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17.5.(</w:t>
            </w:r>
            <w:r w:rsidRPr="00487209">
              <w:rPr>
                <w:rFonts w:ascii="Times New Roman" w:hAnsi="Times New Roman" w:cs="Times New Roman"/>
                <w:sz w:val="18"/>
                <w:szCs w:val="18"/>
              </w:rPr>
              <w:t>b</w:t>
            </w:r>
            <w:r w:rsidRPr="00487209">
              <w:rPr>
                <w:rFonts w:ascii="Times New Roman" w:hAnsi="Times New Roman" w:cs="Times New Roman"/>
                <w:sz w:val="18"/>
                <w:szCs w:val="18"/>
                <w:lang w:val="ru-RU"/>
              </w:rPr>
              <w:t>)</w:t>
            </w:r>
          </w:p>
        </w:tc>
        <w:tc>
          <w:tcPr>
            <w:tcW w:w="1369" w:type="pct"/>
            <w:gridSpan w:val="2"/>
            <w:shd w:val="clear" w:color="auto" w:fill="auto"/>
            <w:vAlign w:val="center"/>
          </w:tcPr>
          <w:p w14:paraId="0E8A688E" w14:textId="77777777" w:rsidR="000174C1" w:rsidRPr="00487209" w:rsidRDefault="000174C1" w:rsidP="006C6323">
            <w:pPr>
              <w:jc w:val="both"/>
              <w:rPr>
                <w:rFonts w:ascii="Times New Roman" w:hAnsi="Times New Roman" w:cs="Times New Roman"/>
                <w:sz w:val="18"/>
                <w:szCs w:val="18"/>
                <w:lang w:val="ru-RU"/>
              </w:rPr>
            </w:pPr>
            <w:r w:rsidRPr="00487209">
              <w:rPr>
                <w:rFonts w:ascii="Times New Roman" w:hAnsi="Times New Roman" w:cs="Times New Roman"/>
                <w:sz w:val="18"/>
                <w:szCs w:val="18"/>
              </w:rPr>
              <w:t>date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of</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beginning</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of</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coexistence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period</w:t>
            </w:r>
            <w:r w:rsidRPr="00487209">
              <w:rPr>
                <w:rFonts w:ascii="Times New Roman" w:hAnsi="Times New Roman" w:cs="Times New Roman"/>
                <w:sz w:val="18"/>
                <w:szCs w:val="18"/>
                <w:lang w:val="ru-RU"/>
              </w:rPr>
              <w:t>;</w:t>
            </w:r>
          </w:p>
        </w:tc>
        <w:tc>
          <w:tcPr>
            <w:tcW w:w="429" w:type="pct"/>
            <w:shd w:val="clear" w:color="auto" w:fill="auto"/>
            <w:vAlign w:val="center"/>
          </w:tcPr>
          <w:p w14:paraId="6ED9CD8D" w14:textId="77777777" w:rsidR="000174C1" w:rsidRPr="00487209" w:rsidRDefault="000174C1"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34AF7C61" w14:textId="77777777" w:rsidR="000174C1" w:rsidRPr="00487209" w:rsidRDefault="000174C1" w:rsidP="006C6323">
            <w:pPr>
              <w:jc w:val="center"/>
              <w:rPr>
                <w:rFonts w:ascii="Times New Roman" w:hAnsi="Times New Roman" w:cs="Times New Roman"/>
                <w:sz w:val="18"/>
                <w:szCs w:val="18"/>
                <w:lang w:val="sr-Cyrl-CS"/>
              </w:rPr>
            </w:pPr>
          </w:p>
        </w:tc>
        <w:tc>
          <w:tcPr>
            <w:tcW w:w="458" w:type="pct"/>
            <w:shd w:val="clear" w:color="auto" w:fill="auto"/>
            <w:vAlign w:val="center"/>
          </w:tcPr>
          <w:p w14:paraId="4B436D47" w14:textId="77777777" w:rsidR="000174C1" w:rsidRPr="00487209" w:rsidRDefault="000174C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НП</w:t>
            </w:r>
          </w:p>
        </w:tc>
        <w:tc>
          <w:tcPr>
            <w:tcW w:w="598" w:type="pct"/>
            <w:gridSpan w:val="2"/>
            <w:shd w:val="clear" w:color="auto" w:fill="auto"/>
            <w:vAlign w:val="center"/>
          </w:tcPr>
          <w:p w14:paraId="74C4270A" w14:textId="77777777" w:rsidR="004A66AB" w:rsidRPr="00487209" w:rsidRDefault="004A66AB" w:rsidP="006C6323">
            <w:pPr>
              <w:spacing w:before="120" w:after="120"/>
              <w:ind w:firstLine="21"/>
              <w:jc w:val="both"/>
              <w:rPr>
                <w:rFonts w:ascii="Times New Roman" w:hAnsi="Times New Roman" w:cs="Times New Roman"/>
                <w:sz w:val="18"/>
                <w:szCs w:val="18"/>
                <w:lang w:val="ru-RU"/>
              </w:rPr>
            </w:pPr>
          </w:p>
          <w:p w14:paraId="241A9A34" w14:textId="1B451592" w:rsidR="000174C1" w:rsidRPr="00487209" w:rsidRDefault="00E65CDD" w:rsidP="006C6323">
            <w:pPr>
              <w:spacing w:before="120" w:after="120"/>
              <w:ind w:firstLine="21"/>
              <w:jc w:val="both"/>
              <w:rPr>
                <w:rFonts w:ascii="Times New Roman" w:hAnsi="Times New Roman" w:cs="Times New Roman"/>
                <w:bCs/>
                <w:sz w:val="18"/>
                <w:szCs w:val="18"/>
                <w:lang w:val="sr-Cyrl-CS"/>
              </w:rPr>
            </w:pPr>
            <w:r>
              <w:rPr>
                <w:rFonts w:ascii="Times New Roman" w:hAnsi="Times New Roman" w:cs="Times New Roman"/>
                <w:sz w:val="18"/>
                <w:szCs w:val="18"/>
                <w:lang w:val="ru-RU"/>
              </w:rPr>
              <w:t>Члан</w:t>
            </w:r>
            <w:r w:rsidR="004F4410" w:rsidRPr="00487209">
              <w:rPr>
                <w:rFonts w:ascii="Times New Roman" w:hAnsi="Times New Roman" w:cs="Times New Roman"/>
                <w:sz w:val="18"/>
                <w:szCs w:val="18"/>
                <w:lang w:val="ru-RU"/>
              </w:rPr>
              <w:t xml:space="preserve"> 17.5.(</w:t>
            </w:r>
            <w:r w:rsidR="004F4410" w:rsidRPr="00487209">
              <w:rPr>
                <w:rFonts w:ascii="Times New Roman" w:hAnsi="Times New Roman" w:cs="Times New Roman"/>
                <w:sz w:val="18"/>
                <w:szCs w:val="18"/>
              </w:rPr>
              <w:t>b</w:t>
            </w:r>
            <w:r w:rsidR="004F4410" w:rsidRPr="00487209">
              <w:rPr>
                <w:rFonts w:ascii="Times New Roman" w:hAnsi="Times New Roman" w:cs="Times New Roman"/>
                <w:sz w:val="18"/>
                <w:szCs w:val="18"/>
                <w:lang w:val="ru-RU"/>
              </w:rPr>
              <w:t>)</w:t>
            </w:r>
            <w:r w:rsidR="004F4410" w:rsidRPr="00487209">
              <w:rPr>
                <w:rFonts w:ascii="Times New Roman" w:hAnsi="Times New Roman" w:cs="Times New Roman"/>
                <w:sz w:val="18"/>
                <w:szCs w:val="18"/>
                <w:lang w:val="sr-Cyrl-CS"/>
              </w:rPr>
              <w:t xml:space="preserve"> Уредбе 305/2011 (ЕУ) није пренет, пошто се односи на обавезу Европске комисије</w:t>
            </w:r>
            <w:r w:rsidR="004F4410" w:rsidRPr="00487209">
              <w:rPr>
                <w:rFonts w:ascii="Times New Roman" w:hAnsi="Times New Roman" w:cs="Times New Roman"/>
                <w:bCs/>
                <w:sz w:val="18"/>
                <w:szCs w:val="18"/>
                <w:lang w:val="sr-Cyrl-CS"/>
              </w:rPr>
              <w:t>.</w:t>
            </w:r>
          </w:p>
          <w:p w14:paraId="2B9A8233" w14:textId="77777777" w:rsidR="004A66AB" w:rsidRPr="00487209" w:rsidRDefault="004A66AB"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6181B90A" w14:textId="77777777" w:rsidR="000174C1" w:rsidRPr="00487209" w:rsidRDefault="000174C1" w:rsidP="006C6323">
            <w:pPr>
              <w:spacing w:before="120" w:after="120"/>
              <w:jc w:val="center"/>
              <w:rPr>
                <w:rFonts w:ascii="Times New Roman" w:hAnsi="Times New Roman" w:cs="Times New Roman"/>
                <w:sz w:val="18"/>
                <w:szCs w:val="18"/>
                <w:lang w:val="ru-RU"/>
              </w:rPr>
            </w:pPr>
          </w:p>
        </w:tc>
      </w:tr>
      <w:tr w:rsidR="00337554" w:rsidRPr="00487209" w14:paraId="6775AF58" w14:textId="77777777" w:rsidTr="007D5144">
        <w:trPr>
          <w:trHeight w:val="1970"/>
          <w:jc w:val="center"/>
        </w:trPr>
        <w:tc>
          <w:tcPr>
            <w:tcW w:w="435" w:type="pct"/>
            <w:shd w:val="clear" w:color="auto" w:fill="auto"/>
            <w:vAlign w:val="center"/>
          </w:tcPr>
          <w:p w14:paraId="6E676DB1" w14:textId="77777777" w:rsidR="000174C1" w:rsidRPr="00487209" w:rsidRDefault="000174C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17.5.(</w:t>
            </w:r>
            <w:r w:rsidRPr="00487209">
              <w:rPr>
                <w:rFonts w:ascii="Times New Roman" w:hAnsi="Times New Roman" w:cs="Times New Roman"/>
                <w:sz w:val="18"/>
                <w:szCs w:val="18"/>
              </w:rPr>
              <w:t>c</w:t>
            </w:r>
            <w:r w:rsidRPr="00487209">
              <w:rPr>
                <w:rFonts w:ascii="Times New Roman" w:hAnsi="Times New Roman" w:cs="Times New Roman"/>
                <w:sz w:val="18"/>
                <w:szCs w:val="18"/>
                <w:lang w:val="ru-RU"/>
              </w:rPr>
              <w:t>)</w:t>
            </w:r>
          </w:p>
        </w:tc>
        <w:tc>
          <w:tcPr>
            <w:tcW w:w="1369" w:type="pct"/>
            <w:gridSpan w:val="2"/>
            <w:shd w:val="clear" w:color="auto" w:fill="auto"/>
            <w:vAlign w:val="center"/>
          </w:tcPr>
          <w:p w14:paraId="10E81744" w14:textId="77777777" w:rsidR="000174C1" w:rsidRPr="00487209" w:rsidRDefault="000174C1" w:rsidP="006C6323">
            <w:pPr>
              <w:jc w:val="both"/>
              <w:rPr>
                <w:rFonts w:ascii="Times New Roman" w:hAnsi="Times New Roman" w:cs="Times New Roman"/>
                <w:sz w:val="18"/>
                <w:szCs w:val="18"/>
                <w:lang w:val="ru-RU"/>
              </w:rPr>
            </w:pPr>
            <w:r w:rsidRPr="00487209">
              <w:rPr>
                <w:rFonts w:ascii="Times New Roman" w:hAnsi="Times New Roman" w:cs="Times New Roman"/>
                <w:sz w:val="18"/>
                <w:szCs w:val="18"/>
              </w:rPr>
              <w:t>date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of</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end</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of</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coexistence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period</w:t>
            </w:r>
            <w:r w:rsidRPr="00487209">
              <w:rPr>
                <w:rFonts w:ascii="Times New Roman" w:hAnsi="Times New Roman" w:cs="Times New Roman"/>
                <w:sz w:val="18"/>
                <w:szCs w:val="18"/>
                <w:lang w:val="ru-RU"/>
              </w:rPr>
              <w:t>.</w:t>
            </w:r>
          </w:p>
          <w:p w14:paraId="32D137D6" w14:textId="77777777" w:rsidR="000174C1" w:rsidRPr="00487209" w:rsidRDefault="000174C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Commission shall publish any updates to that list.</w:t>
            </w:r>
          </w:p>
          <w:p w14:paraId="1F57E60F" w14:textId="77777777" w:rsidR="000174C1" w:rsidRPr="00487209" w:rsidRDefault="000174C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From the date of the beginning of the coexistence period it shall be possible to use a harmonised standard to make a declaration of performance for a construction product covered by it. National standardisation bodies are under the obligation to transpose the harmonised standards in conformity with Directive 98/34/EC.</w:t>
            </w:r>
          </w:p>
          <w:p w14:paraId="0A2194B6" w14:textId="77777777" w:rsidR="000174C1" w:rsidRPr="00487209" w:rsidRDefault="000174C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Without prejudice to Articles 36 to 38, from the date of the end of the coexistence period, the harmonised standard shall be the only means used for drawing up a declaration of performance for a construction product covered by it.</w:t>
            </w:r>
          </w:p>
          <w:p w14:paraId="4552B3A1" w14:textId="77777777" w:rsidR="000174C1" w:rsidRPr="00487209" w:rsidRDefault="000174C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At the end of the coexistence period, conflicting national standards shall be withdrawn and Member States shall terminate the validity of all conflicting national provisions.</w:t>
            </w:r>
          </w:p>
          <w:p w14:paraId="10C1F318" w14:textId="77777777" w:rsidR="000174C1" w:rsidRPr="00487209" w:rsidRDefault="000174C1" w:rsidP="006C6323">
            <w:pPr>
              <w:jc w:val="both"/>
              <w:rPr>
                <w:rFonts w:ascii="Times New Roman" w:hAnsi="Times New Roman" w:cs="Times New Roman"/>
                <w:sz w:val="18"/>
                <w:szCs w:val="18"/>
                <w:lang w:val="sr-Cyrl-CS"/>
              </w:rPr>
            </w:pPr>
          </w:p>
        </w:tc>
        <w:tc>
          <w:tcPr>
            <w:tcW w:w="429" w:type="pct"/>
            <w:shd w:val="clear" w:color="auto" w:fill="auto"/>
            <w:vAlign w:val="center"/>
          </w:tcPr>
          <w:p w14:paraId="54F5E34A" w14:textId="77777777" w:rsidR="00F249E1" w:rsidRPr="00487209" w:rsidRDefault="00F249E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028C049B" w14:textId="27EA8531" w:rsidR="00081DCD" w:rsidRPr="00487209" w:rsidRDefault="001746A9" w:rsidP="006C6323">
            <w:pPr>
              <w:spacing w:before="120" w:after="120"/>
              <w:jc w:val="center"/>
              <w:rPr>
                <w:rFonts w:ascii="Times New Roman" w:hAnsi="Times New Roman" w:cs="Times New Roman"/>
                <w:sz w:val="18"/>
                <w:szCs w:val="18"/>
                <w:lang w:val="sr-Cyrl-CS"/>
              </w:rPr>
            </w:pPr>
            <w:r>
              <w:rPr>
                <w:rFonts w:ascii="Times New Roman" w:hAnsi="Times New Roman" w:cs="Times New Roman"/>
                <w:sz w:val="18"/>
                <w:szCs w:val="18"/>
                <w:lang w:val="sr-Cyrl-CS"/>
              </w:rPr>
              <w:t>20</w:t>
            </w:r>
            <w:r w:rsidR="001D7B02" w:rsidRPr="00487209">
              <w:rPr>
                <w:rFonts w:ascii="Times New Roman" w:hAnsi="Times New Roman" w:cs="Times New Roman"/>
                <w:sz w:val="18"/>
                <w:szCs w:val="18"/>
                <w:lang w:val="sr-Cyrl-CS"/>
              </w:rPr>
              <w:t>.</w:t>
            </w:r>
            <w:r>
              <w:rPr>
                <w:rFonts w:ascii="Times New Roman" w:hAnsi="Times New Roman" w:cs="Times New Roman"/>
                <w:sz w:val="18"/>
                <w:szCs w:val="18"/>
                <w:lang w:val="sr-Cyrl-CS"/>
              </w:rPr>
              <w:t>1</w:t>
            </w:r>
          </w:p>
          <w:p w14:paraId="50995BCA" w14:textId="77777777" w:rsidR="001D7B02" w:rsidRPr="00487209" w:rsidRDefault="001D7B02" w:rsidP="006C6323">
            <w:pPr>
              <w:spacing w:before="120" w:after="120"/>
              <w:jc w:val="center"/>
              <w:rPr>
                <w:rFonts w:ascii="Times New Roman" w:hAnsi="Times New Roman" w:cs="Times New Roman"/>
                <w:sz w:val="18"/>
                <w:szCs w:val="18"/>
                <w:lang w:val="sr-Cyrl-CS"/>
              </w:rPr>
            </w:pPr>
          </w:p>
          <w:p w14:paraId="2663380B" w14:textId="77777777" w:rsidR="001D7B02" w:rsidRPr="00487209" w:rsidRDefault="001D7B02" w:rsidP="006C6323">
            <w:pPr>
              <w:spacing w:before="120" w:after="120"/>
              <w:jc w:val="center"/>
              <w:rPr>
                <w:rFonts w:ascii="Times New Roman" w:hAnsi="Times New Roman" w:cs="Times New Roman"/>
                <w:sz w:val="18"/>
                <w:szCs w:val="18"/>
                <w:lang w:val="sr-Cyrl-CS"/>
              </w:rPr>
            </w:pPr>
          </w:p>
          <w:p w14:paraId="4769B871" w14:textId="4F714F18" w:rsidR="001D7B02" w:rsidRPr="00487209" w:rsidRDefault="001746A9" w:rsidP="006C6323">
            <w:pPr>
              <w:spacing w:before="120" w:after="120"/>
              <w:jc w:val="center"/>
              <w:rPr>
                <w:rFonts w:ascii="Times New Roman" w:hAnsi="Times New Roman" w:cs="Times New Roman"/>
                <w:sz w:val="18"/>
                <w:szCs w:val="18"/>
                <w:lang w:val="sr-Cyrl-CS"/>
              </w:rPr>
            </w:pPr>
            <w:r>
              <w:rPr>
                <w:rFonts w:ascii="Times New Roman" w:hAnsi="Times New Roman" w:cs="Times New Roman"/>
                <w:sz w:val="18"/>
                <w:szCs w:val="18"/>
                <w:lang w:val="sr-Cyrl-CS"/>
              </w:rPr>
              <w:t>20</w:t>
            </w:r>
            <w:r w:rsidR="001D7B02" w:rsidRPr="00487209">
              <w:rPr>
                <w:rFonts w:ascii="Times New Roman" w:hAnsi="Times New Roman" w:cs="Times New Roman"/>
                <w:sz w:val="18"/>
                <w:szCs w:val="18"/>
                <w:lang w:val="sr-Cyrl-CS"/>
              </w:rPr>
              <w:t>.</w:t>
            </w:r>
            <w:r>
              <w:rPr>
                <w:rFonts w:ascii="Times New Roman" w:hAnsi="Times New Roman" w:cs="Times New Roman"/>
                <w:sz w:val="18"/>
                <w:szCs w:val="18"/>
                <w:lang w:val="sr-Cyrl-CS"/>
              </w:rPr>
              <w:t>2</w:t>
            </w:r>
          </w:p>
          <w:p w14:paraId="3DD5949A" w14:textId="77777777" w:rsidR="001D7B02" w:rsidRPr="00487209" w:rsidRDefault="001D7B02" w:rsidP="006C6323">
            <w:pPr>
              <w:spacing w:before="120" w:after="120"/>
              <w:jc w:val="center"/>
              <w:rPr>
                <w:rFonts w:ascii="Times New Roman" w:hAnsi="Times New Roman" w:cs="Times New Roman"/>
                <w:sz w:val="18"/>
                <w:szCs w:val="18"/>
                <w:lang w:val="sr-Cyrl-CS"/>
              </w:rPr>
            </w:pPr>
          </w:p>
          <w:p w14:paraId="45B2B1B6" w14:textId="77777777" w:rsidR="001D7B02" w:rsidRPr="00487209" w:rsidRDefault="001D7B02" w:rsidP="006C6323">
            <w:pPr>
              <w:spacing w:before="120" w:after="120"/>
              <w:jc w:val="center"/>
              <w:rPr>
                <w:rFonts w:ascii="Times New Roman" w:hAnsi="Times New Roman" w:cs="Times New Roman"/>
                <w:sz w:val="18"/>
                <w:szCs w:val="18"/>
                <w:lang w:val="sr-Cyrl-CS"/>
              </w:rPr>
            </w:pPr>
          </w:p>
          <w:p w14:paraId="73585DD1" w14:textId="64349998" w:rsidR="00081DCD" w:rsidRPr="00487209" w:rsidRDefault="001746A9" w:rsidP="006C6323">
            <w:pPr>
              <w:spacing w:before="120" w:after="120"/>
              <w:jc w:val="center"/>
              <w:rPr>
                <w:rFonts w:ascii="Times New Roman" w:hAnsi="Times New Roman" w:cs="Times New Roman"/>
                <w:sz w:val="18"/>
                <w:szCs w:val="18"/>
              </w:rPr>
            </w:pPr>
            <w:r>
              <w:rPr>
                <w:rFonts w:ascii="Times New Roman" w:hAnsi="Times New Roman" w:cs="Times New Roman"/>
                <w:sz w:val="18"/>
                <w:szCs w:val="18"/>
                <w:lang w:val="sr-Cyrl-CS"/>
              </w:rPr>
              <w:t>20</w:t>
            </w:r>
            <w:r w:rsidR="001D7B02" w:rsidRPr="00487209">
              <w:rPr>
                <w:rFonts w:ascii="Times New Roman" w:hAnsi="Times New Roman" w:cs="Times New Roman"/>
                <w:sz w:val="18"/>
                <w:szCs w:val="18"/>
                <w:lang w:val="sr-Cyrl-CS"/>
              </w:rPr>
              <w:t>.</w:t>
            </w:r>
            <w:r>
              <w:rPr>
                <w:rFonts w:ascii="Times New Roman" w:hAnsi="Times New Roman" w:cs="Times New Roman"/>
                <w:sz w:val="18"/>
                <w:szCs w:val="18"/>
                <w:lang w:val="sr-Cyrl-CS"/>
              </w:rPr>
              <w:t>3</w:t>
            </w:r>
          </w:p>
          <w:p w14:paraId="20141ECD" w14:textId="77777777" w:rsidR="000174C1" w:rsidRPr="00487209" w:rsidRDefault="000174C1"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44128CE4" w14:textId="77777777" w:rsidR="00D50201" w:rsidRPr="00487209" w:rsidRDefault="00D50201" w:rsidP="00D50201">
            <w:pPr>
              <w:spacing w:before="120"/>
              <w:ind w:right="-23"/>
              <w:jc w:val="both"/>
              <w:rPr>
                <w:rFonts w:ascii="Times New Roman" w:eastAsia="Batang" w:hAnsi="Times New Roman" w:cs="Times New Roman"/>
                <w:sz w:val="18"/>
                <w:szCs w:val="18"/>
                <w:lang w:val="sr-Cyrl-CS" w:eastAsia="ko-KR"/>
              </w:rPr>
            </w:pPr>
            <w:r w:rsidRPr="00487209">
              <w:rPr>
                <w:rFonts w:ascii="Times New Roman" w:eastAsia="Batang" w:hAnsi="Times New Roman" w:cs="Times New Roman"/>
                <w:sz w:val="18"/>
                <w:szCs w:val="18"/>
                <w:lang w:val="sr-Cyrl-CS" w:eastAsia="ko-KR"/>
              </w:rPr>
              <w:t>Министарство надлежно за послове грађевинарства техничким прописом утврђује списак српских стандарда којима су преузети хармонизовани стандарди који се примењују у складу са овим законом</w:t>
            </w:r>
            <w:r w:rsidRPr="00487209">
              <w:rPr>
                <w:rFonts w:ascii="Times New Roman" w:eastAsia="Batang" w:hAnsi="Times New Roman" w:cs="Times New Roman"/>
                <w:sz w:val="18"/>
                <w:szCs w:val="18"/>
                <w:lang w:eastAsia="ko-KR"/>
              </w:rPr>
              <w:t xml:space="preserve"> </w:t>
            </w:r>
            <w:r w:rsidRPr="00487209">
              <w:rPr>
                <w:rFonts w:ascii="Times New Roman" w:eastAsia="Batang" w:hAnsi="Times New Roman" w:cs="Times New Roman"/>
                <w:sz w:val="18"/>
                <w:szCs w:val="18"/>
                <w:lang w:val="sr-Cyrl-CS" w:eastAsia="ko-KR"/>
              </w:rPr>
              <w:t>(у даљем тексту: „Списак 1“), са утврђеним датумом почетка њихове примене.</w:t>
            </w:r>
          </w:p>
          <w:p w14:paraId="5BBE7B6D" w14:textId="77777777" w:rsidR="001D7B02" w:rsidRPr="00487209" w:rsidRDefault="001D7B02" w:rsidP="006C6323">
            <w:pPr>
              <w:pStyle w:val="Style23"/>
              <w:tabs>
                <w:tab w:val="left" w:pos="283"/>
              </w:tabs>
              <w:spacing w:before="120" w:line="240" w:lineRule="auto"/>
              <w:ind w:right="-23" w:firstLine="0"/>
              <w:rPr>
                <w:rFonts w:ascii="Times New Roman" w:hAnsi="Times New Roman"/>
                <w:strike/>
                <w:sz w:val="18"/>
                <w:szCs w:val="18"/>
              </w:rPr>
            </w:pPr>
            <w:r w:rsidRPr="00487209">
              <w:rPr>
                <w:rStyle w:val="tw4winMark"/>
                <w:rFonts w:ascii="Times New Roman" w:hAnsi="Times New Roman"/>
                <w:vanish w:val="0"/>
                <w:color w:val="auto"/>
                <w:sz w:val="18"/>
                <w:szCs w:val="18"/>
                <w:vertAlign w:val="baseline"/>
                <w:lang w:val="sr-Cyrl-CS"/>
              </w:rPr>
              <w:t>Српски стандард</w:t>
            </w:r>
            <w:r w:rsidRPr="00487209">
              <w:rPr>
                <w:rStyle w:val="tw4winMark"/>
                <w:rFonts w:ascii="Times New Roman" w:hAnsi="Times New Roman"/>
                <w:vanish w:val="0"/>
                <w:color w:val="auto"/>
                <w:sz w:val="18"/>
                <w:szCs w:val="18"/>
                <w:lang w:val="sr-Cyrl-CS"/>
              </w:rPr>
              <w:t xml:space="preserve"> </w:t>
            </w:r>
            <w:r w:rsidRPr="00487209">
              <w:rPr>
                <w:rFonts w:ascii="Times New Roman" w:hAnsi="Times New Roman"/>
                <w:sz w:val="18"/>
                <w:szCs w:val="18"/>
                <w:lang w:val="sr-Cyrl-CS"/>
              </w:rPr>
              <w:t>са Списка 1 је основ за израду декларације о перформансама за грађевински производ који је њиме обухваћен почев од датума почетка његове примене који се утврђује правилникомиз става 7. овог члана.</w:t>
            </w:r>
          </w:p>
          <w:p w14:paraId="3591E52E" w14:textId="7AEAFFF1" w:rsidR="000174C1" w:rsidRPr="00487209" w:rsidRDefault="00D50201" w:rsidP="001D2967">
            <w:pPr>
              <w:spacing w:before="120"/>
              <w:ind w:right="-23"/>
              <w:jc w:val="both"/>
              <w:rPr>
                <w:rFonts w:ascii="Times New Roman" w:eastAsia="Batang" w:hAnsi="Times New Roman" w:cs="Times New Roman"/>
                <w:sz w:val="18"/>
                <w:szCs w:val="18"/>
                <w:lang w:val="sr-Cyrl-CS" w:eastAsia="ko-KR"/>
              </w:rPr>
            </w:pPr>
            <w:r w:rsidRPr="00487209">
              <w:rPr>
                <w:rFonts w:ascii="Times New Roman" w:eastAsia="Batang" w:hAnsi="Times New Roman" w:cs="Times New Roman"/>
                <w:sz w:val="18"/>
                <w:szCs w:val="18"/>
                <w:lang w:val="sr-Cyrl-CS" w:eastAsia="ko-KR"/>
              </w:rPr>
              <w:t>Стављањем српског стандарда којим је преузет хармонизовани стандард на Списак 1 из става 7. овог члана и утврђивањем датума почетка његове примене, укидају се одредбе техничких прописа које су са њим у супротности.</w:t>
            </w:r>
          </w:p>
        </w:tc>
        <w:tc>
          <w:tcPr>
            <w:tcW w:w="458" w:type="pct"/>
            <w:shd w:val="clear" w:color="auto" w:fill="auto"/>
            <w:vAlign w:val="center"/>
          </w:tcPr>
          <w:p w14:paraId="3911F4B9" w14:textId="77777777" w:rsidR="000174C1" w:rsidRPr="00487209" w:rsidRDefault="00D50963"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ДУ</w:t>
            </w:r>
          </w:p>
        </w:tc>
        <w:tc>
          <w:tcPr>
            <w:tcW w:w="598" w:type="pct"/>
            <w:gridSpan w:val="2"/>
            <w:shd w:val="clear" w:color="auto" w:fill="auto"/>
            <w:vAlign w:val="center"/>
          </w:tcPr>
          <w:p w14:paraId="00E61CFA" w14:textId="02E4849D" w:rsidR="00C30EEC" w:rsidRPr="00487209" w:rsidRDefault="00E65CDD" w:rsidP="001746A9">
            <w:pPr>
              <w:spacing w:before="120" w:after="120"/>
              <w:ind w:firstLine="21"/>
              <w:jc w:val="both"/>
              <w:rPr>
                <w:rFonts w:ascii="Times New Roman" w:hAnsi="Times New Roman" w:cs="Times New Roman"/>
                <w:b/>
                <w:sz w:val="18"/>
                <w:szCs w:val="18"/>
                <w:lang w:val="ru-RU"/>
              </w:rPr>
            </w:pPr>
            <w:r>
              <w:rPr>
                <w:rFonts w:ascii="Times New Roman" w:hAnsi="Times New Roman" w:cs="Times New Roman"/>
                <w:sz w:val="18"/>
                <w:szCs w:val="18"/>
                <w:lang w:val="ru-RU"/>
              </w:rPr>
              <w:t>Члан</w:t>
            </w:r>
            <w:r w:rsidR="00CA7BAE" w:rsidRPr="00487209">
              <w:rPr>
                <w:rFonts w:ascii="Times New Roman" w:hAnsi="Times New Roman" w:cs="Times New Roman"/>
                <w:sz w:val="18"/>
                <w:szCs w:val="18"/>
                <w:lang w:val="ru-RU"/>
              </w:rPr>
              <w:t xml:space="preserve"> 17.5.(</w:t>
            </w:r>
            <w:r w:rsidR="00A0747D" w:rsidRPr="00487209">
              <w:rPr>
                <w:rFonts w:ascii="Times New Roman" w:hAnsi="Times New Roman" w:cs="Times New Roman"/>
                <w:sz w:val="18"/>
                <w:szCs w:val="18"/>
              </w:rPr>
              <w:t>c</w:t>
            </w:r>
            <w:r w:rsidR="00CA7BAE" w:rsidRPr="00487209">
              <w:rPr>
                <w:rFonts w:ascii="Times New Roman" w:hAnsi="Times New Roman" w:cs="Times New Roman"/>
                <w:sz w:val="18"/>
                <w:szCs w:val="18"/>
                <w:lang w:val="ru-RU"/>
              </w:rPr>
              <w:t>)</w:t>
            </w:r>
            <w:r w:rsidR="00CA7BAE" w:rsidRPr="00487209">
              <w:rPr>
                <w:rFonts w:ascii="Times New Roman" w:hAnsi="Times New Roman" w:cs="Times New Roman"/>
                <w:sz w:val="18"/>
                <w:szCs w:val="18"/>
                <w:lang w:val="sr-Cyrl-CS"/>
              </w:rPr>
              <w:t xml:space="preserve"> Уредбе 305/2011 (ЕУ) је пренет</w:t>
            </w:r>
            <w:r w:rsidR="004B41B7" w:rsidRPr="00487209">
              <w:rPr>
                <w:rFonts w:ascii="Times New Roman" w:hAnsi="Times New Roman" w:cs="Times New Roman"/>
                <w:sz w:val="18"/>
                <w:szCs w:val="18"/>
                <w:lang w:val="sr-Cyrl-CS"/>
              </w:rPr>
              <w:t xml:space="preserve"> </w:t>
            </w:r>
            <w:r>
              <w:rPr>
                <w:rFonts w:ascii="Times New Roman" w:hAnsi="Times New Roman" w:cs="Times New Roman"/>
                <w:sz w:val="18"/>
                <w:szCs w:val="18"/>
                <w:lang w:val="sr-Cyrl-CS"/>
              </w:rPr>
              <w:t>члан</w:t>
            </w:r>
            <w:r w:rsidR="001D2967" w:rsidRPr="00487209">
              <w:rPr>
                <w:rFonts w:ascii="Times New Roman" w:hAnsi="Times New Roman" w:cs="Times New Roman"/>
                <w:sz w:val="18"/>
                <w:szCs w:val="18"/>
                <w:lang w:val="sr-Cyrl-CS"/>
              </w:rPr>
              <w:t xml:space="preserve"> </w:t>
            </w:r>
            <w:r w:rsidR="001746A9">
              <w:rPr>
                <w:rFonts w:ascii="Times New Roman" w:hAnsi="Times New Roman" w:cs="Times New Roman"/>
                <w:sz w:val="18"/>
                <w:szCs w:val="18"/>
                <w:lang w:val="sr-Cyrl-CS"/>
              </w:rPr>
              <w:t>20</w:t>
            </w:r>
            <w:r w:rsidR="001D2967" w:rsidRPr="00487209">
              <w:rPr>
                <w:rFonts w:ascii="Times New Roman" w:hAnsi="Times New Roman" w:cs="Times New Roman"/>
                <w:sz w:val="18"/>
                <w:szCs w:val="18"/>
                <w:lang w:val="sr-Cyrl-CS"/>
              </w:rPr>
              <w:t xml:space="preserve">. ст. </w:t>
            </w:r>
            <w:r w:rsidR="001746A9">
              <w:rPr>
                <w:rFonts w:ascii="Times New Roman" w:hAnsi="Times New Roman" w:cs="Times New Roman"/>
                <w:sz w:val="18"/>
                <w:szCs w:val="18"/>
                <w:lang w:val="sr-Cyrl-CS"/>
              </w:rPr>
              <w:t>1</w:t>
            </w:r>
            <w:r w:rsidR="001D2967" w:rsidRPr="00487209">
              <w:rPr>
                <w:rFonts w:ascii="Times New Roman" w:hAnsi="Times New Roman" w:cs="Times New Roman"/>
                <w:sz w:val="18"/>
                <w:szCs w:val="18"/>
                <w:lang w:val="sr-Cyrl-CS"/>
              </w:rPr>
              <w:t xml:space="preserve">, </w:t>
            </w:r>
            <w:r w:rsidR="001746A9">
              <w:rPr>
                <w:rFonts w:ascii="Times New Roman" w:hAnsi="Times New Roman" w:cs="Times New Roman"/>
                <w:sz w:val="18"/>
                <w:szCs w:val="18"/>
                <w:lang w:val="sr-Cyrl-CS"/>
              </w:rPr>
              <w:t>2</w:t>
            </w:r>
            <w:r w:rsidR="001D2967" w:rsidRPr="00487209">
              <w:rPr>
                <w:rFonts w:ascii="Times New Roman" w:hAnsi="Times New Roman" w:cs="Times New Roman"/>
                <w:sz w:val="18"/>
                <w:szCs w:val="18"/>
                <w:lang w:val="sr-Cyrl-CS"/>
              </w:rPr>
              <w:t xml:space="preserve">. и </w:t>
            </w:r>
            <w:r w:rsidR="001746A9">
              <w:rPr>
                <w:rFonts w:ascii="Times New Roman" w:hAnsi="Times New Roman" w:cs="Times New Roman"/>
                <w:sz w:val="18"/>
                <w:szCs w:val="18"/>
                <w:lang w:val="sr-Cyrl-CS"/>
              </w:rPr>
              <w:t>3</w:t>
            </w:r>
            <w:r w:rsidR="001D2967"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1D2967" w:rsidRPr="00487209">
              <w:rPr>
                <w:rFonts w:ascii="Times New Roman" w:hAnsi="Times New Roman" w:cs="Times New Roman"/>
                <w:sz w:val="18"/>
                <w:szCs w:val="18"/>
                <w:lang w:val="sr-Cyrl-CS"/>
              </w:rPr>
              <w:t xml:space="preserve">а закона о грађевинским производима </w:t>
            </w:r>
            <w:r w:rsidR="004B41B7" w:rsidRPr="00487209">
              <w:rPr>
                <w:rFonts w:ascii="Times New Roman" w:hAnsi="Times New Roman" w:cs="Times New Roman"/>
                <w:sz w:val="18"/>
                <w:szCs w:val="18"/>
                <w:lang w:val="sr-Cyrl-CS"/>
              </w:rPr>
              <w:t xml:space="preserve">у делу који се </w:t>
            </w:r>
            <w:r w:rsidR="00CA7BAE" w:rsidRPr="00487209">
              <w:rPr>
                <w:rFonts w:ascii="Times New Roman" w:hAnsi="Times New Roman" w:cs="Times New Roman"/>
                <w:sz w:val="18"/>
                <w:szCs w:val="18"/>
                <w:lang w:val="sr-Cyrl-CS"/>
              </w:rPr>
              <w:t xml:space="preserve">односи на </w:t>
            </w:r>
            <w:r w:rsidR="00C30EEC" w:rsidRPr="00487209">
              <w:rPr>
                <w:rFonts w:ascii="Times New Roman" w:hAnsi="Times New Roman" w:cs="Times New Roman"/>
                <w:sz w:val="18"/>
                <w:szCs w:val="18"/>
                <w:lang w:val="sr-Cyrl-CS"/>
              </w:rPr>
              <w:t>утврђивање обавезне примене хармонизованих стандарда</w:t>
            </w:r>
            <w:r w:rsidR="00CA7BAE" w:rsidRPr="00487209">
              <w:rPr>
                <w:rFonts w:ascii="Times New Roman" w:hAnsi="Times New Roman" w:cs="Times New Roman"/>
                <w:bCs/>
                <w:sz w:val="18"/>
                <w:szCs w:val="18"/>
                <w:lang w:val="sr-Cyrl-CS"/>
              </w:rPr>
              <w:t>.</w:t>
            </w:r>
            <w:r w:rsidR="00C30EEC" w:rsidRPr="00487209">
              <w:rPr>
                <w:rFonts w:ascii="Times New Roman" w:hAnsi="Times New Roman" w:cs="Times New Roman"/>
                <w:bCs/>
                <w:sz w:val="18"/>
                <w:szCs w:val="18"/>
                <w:lang w:val="sr-Cyrl-CS"/>
              </w:rPr>
              <w:t xml:space="preserve"> П</w:t>
            </w:r>
            <w:r w:rsidR="00C30EEC" w:rsidRPr="00487209">
              <w:rPr>
                <w:rFonts w:ascii="Times New Roman" w:hAnsi="Times New Roman" w:cs="Times New Roman"/>
                <w:sz w:val="18"/>
                <w:szCs w:val="18"/>
                <w:lang w:val="sr-Cyrl-CS"/>
              </w:rPr>
              <w:t>отпуно усклађивање биће могуће након приступања ЕУ.</w:t>
            </w:r>
          </w:p>
        </w:tc>
        <w:tc>
          <w:tcPr>
            <w:tcW w:w="480" w:type="pct"/>
            <w:shd w:val="clear" w:color="auto" w:fill="auto"/>
            <w:vAlign w:val="center"/>
          </w:tcPr>
          <w:p w14:paraId="16F2460A" w14:textId="77777777" w:rsidR="000174C1" w:rsidRPr="00487209" w:rsidRDefault="000174C1" w:rsidP="006C6323">
            <w:pPr>
              <w:spacing w:before="120" w:after="120"/>
              <w:jc w:val="center"/>
              <w:rPr>
                <w:rFonts w:ascii="Times New Roman" w:hAnsi="Times New Roman" w:cs="Times New Roman"/>
                <w:sz w:val="18"/>
                <w:szCs w:val="18"/>
                <w:lang w:val="ru-RU"/>
              </w:rPr>
            </w:pPr>
          </w:p>
        </w:tc>
      </w:tr>
      <w:tr w:rsidR="00337554" w:rsidRPr="00487209" w14:paraId="5369342F" w14:textId="77777777" w:rsidTr="007D5144">
        <w:trPr>
          <w:trHeight w:val="1970"/>
          <w:jc w:val="center"/>
        </w:trPr>
        <w:tc>
          <w:tcPr>
            <w:tcW w:w="435" w:type="pct"/>
            <w:shd w:val="clear" w:color="auto" w:fill="auto"/>
            <w:vAlign w:val="center"/>
          </w:tcPr>
          <w:p w14:paraId="28D4B3C6"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18.1.</w:t>
            </w:r>
          </w:p>
        </w:tc>
        <w:tc>
          <w:tcPr>
            <w:tcW w:w="1369" w:type="pct"/>
            <w:gridSpan w:val="2"/>
            <w:shd w:val="clear" w:color="auto" w:fill="auto"/>
            <w:vAlign w:val="center"/>
          </w:tcPr>
          <w:p w14:paraId="03018B33" w14:textId="77777777" w:rsidR="000174C1" w:rsidRPr="00487209" w:rsidRDefault="000174C1" w:rsidP="006C6323">
            <w:pPr>
              <w:jc w:val="both"/>
              <w:rPr>
                <w:rFonts w:ascii="Times New Roman" w:hAnsi="Times New Roman" w:cs="Times New Roman"/>
                <w:sz w:val="18"/>
                <w:szCs w:val="18"/>
              </w:rPr>
            </w:pPr>
          </w:p>
          <w:p w14:paraId="6D45D5F4"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When a Member State or the Commission considers that a harmonised standard does not entirely satisfy the requirements set out in the relevant mandate, the Member State concerned or the Commission, after having consulted the Standing Committee on Construction, shall bring the matter before the Committee set up pursuant to Article 5 of Directive 98/34/EC, giving its arguments. That Committee shall, after having consulted the relevant European standardisation bodies deliver its opinion without delay.</w:t>
            </w:r>
          </w:p>
          <w:p w14:paraId="2B2DD4DA" w14:textId="77777777" w:rsidR="000174C1" w:rsidRPr="00487209" w:rsidRDefault="000174C1" w:rsidP="006C6323">
            <w:pPr>
              <w:jc w:val="both"/>
              <w:rPr>
                <w:rFonts w:ascii="Times New Roman" w:hAnsi="Times New Roman" w:cs="Times New Roman"/>
                <w:sz w:val="18"/>
                <w:szCs w:val="18"/>
              </w:rPr>
            </w:pPr>
          </w:p>
        </w:tc>
        <w:tc>
          <w:tcPr>
            <w:tcW w:w="429" w:type="pct"/>
            <w:shd w:val="clear" w:color="auto" w:fill="auto"/>
            <w:vAlign w:val="center"/>
          </w:tcPr>
          <w:p w14:paraId="781D6EC3" w14:textId="45EB5B2D" w:rsidR="00F249E1" w:rsidRPr="00487209" w:rsidRDefault="00F421F0"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03</w:t>
            </w:r>
          </w:p>
          <w:p w14:paraId="1F9F2BF3" w14:textId="77777777" w:rsidR="002A68F3" w:rsidRPr="00487209" w:rsidRDefault="002A68F3"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7.1.5)</w:t>
            </w:r>
          </w:p>
          <w:p w14:paraId="3865DCAC" w14:textId="77777777" w:rsidR="002A68F3" w:rsidRPr="00487209" w:rsidRDefault="002A68F3"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7.1.6)</w:t>
            </w:r>
          </w:p>
          <w:p w14:paraId="36CF92B1" w14:textId="77777777" w:rsidR="002A68F3" w:rsidRPr="00487209" w:rsidRDefault="002A68F3"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543B72D5" w14:textId="77777777" w:rsidR="002A68F3" w:rsidRPr="00487209" w:rsidRDefault="002A68F3" w:rsidP="006C6323">
            <w:pPr>
              <w:jc w:val="both"/>
              <w:rPr>
                <w:rFonts w:ascii="Times New Roman" w:hAnsi="Times New Roman" w:cs="Times New Roman"/>
                <w:sz w:val="18"/>
                <w:szCs w:val="18"/>
                <w:lang w:val="ru-RU"/>
              </w:rPr>
            </w:pPr>
          </w:p>
          <w:p w14:paraId="07B129C0" w14:textId="77777777" w:rsidR="002A68F3" w:rsidRPr="00487209" w:rsidRDefault="002A68F3" w:rsidP="006C6323">
            <w:pPr>
              <w:jc w:val="both"/>
              <w:rPr>
                <w:rFonts w:ascii="Times New Roman" w:hAnsi="Times New Roman" w:cs="Times New Roman"/>
                <w:sz w:val="18"/>
                <w:szCs w:val="18"/>
                <w:lang w:val="nl-BE"/>
              </w:rPr>
            </w:pPr>
            <w:r w:rsidRPr="00487209">
              <w:rPr>
                <w:rFonts w:ascii="Times New Roman" w:hAnsi="Times New Roman" w:cs="Times New Roman"/>
                <w:sz w:val="18"/>
                <w:szCs w:val="18"/>
                <w:lang w:val="ru-RU"/>
              </w:rPr>
              <w:t>Институт</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обавља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следеће</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послове</w:t>
            </w:r>
            <w:r w:rsidRPr="00487209">
              <w:rPr>
                <w:rFonts w:ascii="Times New Roman" w:hAnsi="Times New Roman" w:cs="Times New Roman"/>
                <w:sz w:val="18"/>
                <w:szCs w:val="18"/>
                <w:lang w:val="nl-BE"/>
              </w:rPr>
              <w:t>:</w:t>
            </w:r>
          </w:p>
          <w:p w14:paraId="329B7275" w14:textId="77777777" w:rsidR="002A68F3" w:rsidRPr="00487209" w:rsidRDefault="002A68F3" w:rsidP="006C6323">
            <w:pPr>
              <w:jc w:val="both"/>
              <w:rPr>
                <w:rFonts w:ascii="Times New Roman" w:hAnsi="Times New Roman" w:cs="Times New Roman"/>
                <w:sz w:val="18"/>
                <w:szCs w:val="18"/>
                <w:lang w:val="nl-BE"/>
              </w:rPr>
            </w:pPr>
            <w:r w:rsidRPr="00487209">
              <w:rPr>
                <w:rFonts w:ascii="Times New Roman" w:hAnsi="Times New Roman" w:cs="Times New Roman"/>
                <w:sz w:val="18"/>
                <w:szCs w:val="18"/>
                <w:lang w:val="nl-BE"/>
              </w:rPr>
              <w:t xml:space="preserve">5) </w:t>
            </w:r>
            <w:r w:rsidRPr="00487209">
              <w:rPr>
                <w:rFonts w:ascii="Times New Roman" w:hAnsi="Times New Roman" w:cs="Times New Roman"/>
                <w:sz w:val="18"/>
                <w:szCs w:val="18"/>
                <w:lang w:val="ru-RU"/>
              </w:rPr>
              <w:t>учествује</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у</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изради</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и</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преиспитивању</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међународних</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и</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европских</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стандарда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у</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областима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које</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су</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од</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интереса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за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Републику</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lang w:val="ru-RU"/>
              </w:rPr>
              <w:t>Србију</w:t>
            </w:r>
            <w:r w:rsidRPr="00487209">
              <w:rPr>
                <w:rFonts w:ascii="Times New Roman" w:hAnsi="Times New Roman" w:cs="Times New Roman"/>
                <w:sz w:val="18"/>
                <w:szCs w:val="18"/>
                <w:lang w:val="nl-BE"/>
              </w:rPr>
              <w:t>;</w:t>
            </w:r>
          </w:p>
          <w:p w14:paraId="1082C5D4" w14:textId="77777777" w:rsidR="002A68F3" w:rsidRPr="00487209" w:rsidRDefault="002A68F3" w:rsidP="006C6323">
            <w:pPr>
              <w:jc w:val="both"/>
              <w:rPr>
                <w:rFonts w:ascii="Times New Roman" w:hAnsi="Times New Roman" w:cs="Times New Roman"/>
                <w:sz w:val="18"/>
                <w:szCs w:val="18"/>
                <w:lang w:val="nl-BE"/>
              </w:rPr>
            </w:pPr>
            <w:r w:rsidRPr="00487209">
              <w:rPr>
                <w:rFonts w:ascii="Times New Roman" w:hAnsi="Times New Roman" w:cs="Times New Roman"/>
                <w:sz w:val="18"/>
                <w:szCs w:val="18"/>
                <w:lang w:val="nl-BE"/>
              </w:rPr>
              <w:t xml:space="preserve">6) </w:t>
            </w:r>
            <w:r w:rsidRPr="00487209">
              <w:rPr>
                <w:rFonts w:ascii="Times New Roman" w:hAnsi="Times New Roman" w:cs="Times New Roman"/>
                <w:sz w:val="18"/>
                <w:szCs w:val="18"/>
              </w:rPr>
              <w:t>сарађује</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са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међународним</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и</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европским</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организацијама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за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стандардизацију</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и</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националним</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телима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за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стандардизацију</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држава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потписница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одговарајућих</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споразума</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из</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области</w:t>
            </w:r>
            <w:r w:rsidRPr="00487209">
              <w:rPr>
                <w:rFonts w:ascii="Times New Roman" w:hAnsi="Times New Roman" w:cs="Times New Roman"/>
                <w:sz w:val="18"/>
                <w:szCs w:val="18"/>
                <w:lang w:val="nl-BE"/>
              </w:rPr>
              <w:t xml:space="preserve"> </w:t>
            </w:r>
            <w:r w:rsidRPr="00487209">
              <w:rPr>
                <w:rFonts w:ascii="Times New Roman" w:hAnsi="Times New Roman" w:cs="Times New Roman"/>
                <w:sz w:val="18"/>
                <w:szCs w:val="18"/>
              </w:rPr>
              <w:t>стандардизације</w:t>
            </w:r>
            <w:r w:rsidRPr="00487209">
              <w:rPr>
                <w:rFonts w:ascii="Times New Roman" w:hAnsi="Times New Roman" w:cs="Times New Roman"/>
                <w:sz w:val="18"/>
                <w:szCs w:val="18"/>
                <w:lang w:val="nl-BE"/>
              </w:rPr>
              <w:t>;</w:t>
            </w:r>
          </w:p>
          <w:p w14:paraId="03EC08E5" w14:textId="77777777" w:rsidR="000174C1" w:rsidRPr="00487209" w:rsidRDefault="000174C1" w:rsidP="006C6323">
            <w:pPr>
              <w:jc w:val="center"/>
              <w:rPr>
                <w:rFonts w:ascii="Times New Roman" w:hAnsi="Times New Roman" w:cs="Times New Roman"/>
                <w:sz w:val="18"/>
                <w:szCs w:val="18"/>
                <w:lang w:val="nl-BE"/>
              </w:rPr>
            </w:pPr>
          </w:p>
        </w:tc>
        <w:tc>
          <w:tcPr>
            <w:tcW w:w="458" w:type="pct"/>
            <w:shd w:val="clear" w:color="auto" w:fill="auto"/>
            <w:vAlign w:val="center"/>
          </w:tcPr>
          <w:p w14:paraId="111DF97C" w14:textId="77777777" w:rsidR="000174C1" w:rsidRPr="00487209" w:rsidRDefault="002A68F3"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ДУ</w:t>
            </w:r>
          </w:p>
        </w:tc>
        <w:tc>
          <w:tcPr>
            <w:tcW w:w="598" w:type="pct"/>
            <w:gridSpan w:val="2"/>
            <w:shd w:val="clear" w:color="auto" w:fill="auto"/>
            <w:vAlign w:val="center"/>
          </w:tcPr>
          <w:p w14:paraId="5593059D" w14:textId="5E1B500D" w:rsidR="004A66AB" w:rsidRPr="00487209" w:rsidRDefault="007B7D6A" w:rsidP="007B7D6A">
            <w:pPr>
              <w:spacing w:before="120" w:after="120"/>
              <w:jc w:val="both"/>
              <w:rPr>
                <w:rFonts w:ascii="Times New Roman" w:hAnsi="Times New Roman" w:cs="Times New Roman"/>
                <w:bCs/>
                <w:sz w:val="18"/>
                <w:szCs w:val="18"/>
                <w:lang w:val="sr-Cyrl-CS"/>
              </w:rPr>
            </w:pPr>
            <w:r>
              <w:rPr>
                <w:rFonts w:ascii="Times New Roman" w:hAnsi="Times New Roman" w:cs="Times New Roman"/>
                <w:sz w:val="18"/>
                <w:szCs w:val="18"/>
                <w:lang w:val="ru-RU"/>
              </w:rPr>
              <w:t>Члан</w:t>
            </w:r>
            <w:r w:rsidR="000174C1" w:rsidRPr="00487209">
              <w:rPr>
                <w:rFonts w:ascii="Times New Roman" w:hAnsi="Times New Roman" w:cs="Times New Roman"/>
                <w:sz w:val="18"/>
                <w:szCs w:val="18"/>
                <w:lang w:val="ru-RU"/>
              </w:rPr>
              <w:t xml:space="preserve"> </w:t>
            </w:r>
            <w:r w:rsidR="000174C1" w:rsidRPr="00487209">
              <w:rPr>
                <w:rFonts w:ascii="Times New Roman" w:hAnsi="Times New Roman" w:cs="Times New Roman"/>
                <w:sz w:val="18"/>
                <w:szCs w:val="18"/>
              </w:rPr>
              <w:t xml:space="preserve">18.1. </w:t>
            </w:r>
            <w:r w:rsidR="000174C1" w:rsidRPr="00487209">
              <w:rPr>
                <w:rFonts w:ascii="Times New Roman" w:hAnsi="Times New Roman" w:cs="Times New Roman"/>
                <w:sz w:val="18"/>
                <w:szCs w:val="18"/>
                <w:lang w:val="sr-Cyrl-CS"/>
              </w:rPr>
              <w:t>Уредбе 305/2011 (ЕУ) је пренет</w:t>
            </w:r>
            <w:r w:rsidR="002A68F3" w:rsidRPr="00487209">
              <w:rPr>
                <w:rFonts w:ascii="Times New Roman" w:hAnsi="Times New Roman" w:cs="Times New Roman"/>
                <w:sz w:val="18"/>
                <w:szCs w:val="18"/>
                <w:lang w:val="sr-Cyrl-CS"/>
              </w:rPr>
              <w:t xml:space="preserve"> у делу који се</w:t>
            </w:r>
            <w:r w:rsidR="000174C1" w:rsidRPr="00487209">
              <w:rPr>
                <w:rFonts w:ascii="Times New Roman" w:hAnsi="Times New Roman" w:cs="Times New Roman"/>
                <w:sz w:val="18"/>
                <w:szCs w:val="18"/>
                <w:lang w:val="sr-Cyrl-CS"/>
              </w:rPr>
              <w:t xml:space="preserve"> односи на обавезу </w:t>
            </w:r>
            <w:r w:rsidR="00BF00D3" w:rsidRPr="00487209">
              <w:rPr>
                <w:rFonts w:ascii="Times New Roman" w:hAnsi="Times New Roman" w:cs="Times New Roman"/>
                <w:sz w:val="18"/>
                <w:szCs w:val="18"/>
                <w:lang w:val="sr-Cyrl-CS"/>
              </w:rPr>
              <w:t xml:space="preserve"> </w:t>
            </w:r>
            <w:r w:rsidR="000174C1" w:rsidRPr="00487209">
              <w:rPr>
                <w:rFonts w:ascii="Times New Roman" w:hAnsi="Times New Roman" w:cs="Times New Roman"/>
                <w:sz w:val="18"/>
                <w:szCs w:val="18"/>
                <w:lang w:val="sr-Cyrl-CS"/>
              </w:rPr>
              <w:t>државе чланице</w:t>
            </w:r>
            <w:r w:rsidR="002A68F3" w:rsidRPr="00487209">
              <w:rPr>
                <w:rFonts w:ascii="Times New Roman" w:hAnsi="Times New Roman" w:cs="Times New Roman"/>
                <w:sz w:val="18"/>
                <w:szCs w:val="18"/>
                <w:lang w:val="sr-Cyrl-CS"/>
              </w:rPr>
              <w:t xml:space="preserve"> чл</w:t>
            </w:r>
            <w:r>
              <w:rPr>
                <w:rFonts w:ascii="Times New Roman" w:hAnsi="Times New Roman" w:cs="Times New Roman"/>
                <w:sz w:val="18"/>
                <w:szCs w:val="18"/>
                <w:lang w:val="sr-Cyrl-CS"/>
              </w:rPr>
              <w:t xml:space="preserve">ан 7. став </w:t>
            </w:r>
            <w:r w:rsidR="002A68F3" w:rsidRPr="00487209">
              <w:rPr>
                <w:rFonts w:ascii="Times New Roman" w:hAnsi="Times New Roman" w:cs="Times New Roman"/>
                <w:sz w:val="18"/>
                <w:szCs w:val="18"/>
                <w:lang w:val="sr-Cyrl-CS"/>
              </w:rPr>
              <w:t>1. тач.</w:t>
            </w:r>
            <w:r w:rsidR="00AC7426" w:rsidRPr="00487209">
              <w:rPr>
                <w:rFonts w:ascii="Times New Roman" w:hAnsi="Times New Roman" w:cs="Times New Roman"/>
                <w:sz w:val="18"/>
                <w:szCs w:val="18"/>
                <w:lang w:val="sr-Cyrl-CS"/>
              </w:rPr>
              <w:t xml:space="preserve"> 5) и 6)</w:t>
            </w:r>
            <w:r w:rsidR="002A68F3" w:rsidRPr="00487209">
              <w:rPr>
                <w:rFonts w:ascii="Times New Roman" w:hAnsi="Times New Roman" w:cs="Times New Roman"/>
                <w:bCs/>
                <w:sz w:val="18"/>
                <w:szCs w:val="18"/>
                <w:lang w:val="sr-Cyrl-CS"/>
              </w:rPr>
              <w:t xml:space="preserve"> </w:t>
            </w:r>
            <w:r w:rsidR="002A68F3" w:rsidRPr="00487209">
              <w:rPr>
                <w:rFonts w:ascii="Times New Roman" w:hAnsi="Times New Roman" w:cs="Times New Roman"/>
                <w:sz w:val="18"/>
                <w:szCs w:val="18"/>
                <w:lang w:val="sr-Cyrl-CS"/>
              </w:rPr>
              <w:t>Закона о стандардизацији (</w:t>
            </w:r>
            <w:r w:rsidR="002A68F3" w:rsidRPr="00487209">
              <w:rPr>
                <w:rFonts w:ascii="Times New Roman" w:hAnsi="Times New Roman" w:cs="Times New Roman"/>
                <w:bCs/>
                <w:sz w:val="18"/>
                <w:szCs w:val="18"/>
                <w:lang w:val="sr-Cyrl-CS"/>
              </w:rPr>
              <w:t>„Службени гласник РС”, бр. 36/09 и 46/15).</w:t>
            </w:r>
          </w:p>
        </w:tc>
        <w:tc>
          <w:tcPr>
            <w:tcW w:w="480" w:type="pct"/>
            <w:shd w:val="clear" w:color="auto" w:fill="auto"/>
            <w:vAlign w:val="center"/>
          </w:tcPr>
          <w:p w14:paraId="044B2F7B" w14:textId="77777777" w:rsidR="000174C1" w:rsidRPr="00487209" w:rsidRDefault="000174C1" w:rsidP="006C6323">
            <w:pPr>
              <w:spacing w:before="120" w:after="120"/>
              <w:jc w:val="center"/>
              <w:rPr>
                <w:rFonts w:ascii="Times New Roman" w:hAnsi="Times New Roman" w:cs="Times New Roman"/>
                <w:sz w:val="18"/>
                <w:szCs w:val="18"/>
                <w:lang w:val="ru-RU"/>
              </w:rPr>
            </w:pPr>
          </w:p>
        </w:tc>
      </w:tr>
      <w:tr w:rsidR="00337554" w:rsidRPr="00487209" w14:paraId="52023E50" w14:textId="77777777" w:rsidTr="007D5144">
        <w:trPr>
          <w:trHeight w:val="1970"/>
          <w:jc w:val="center"/>
        </w:trPr>
        <w:tc>
          <w:tcPr>
            <w:tcW w:w="435" w:type="pct"/>
            <w:shd w:val="clear" w:color="auto" w:fill="auto"/>
            <w:vAlign w:val="center"/>
          </w:tcPr>
          <w:p w14:paraId="0603D940"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18.2.</w:t>
            </w:r>
          </w:p>
        </w:tc>
        <w:tc>
          <w:tcPr>
            <w:tcW w:w="1369" w:type="pct"/>
            <w:gridSpan w:val="2"/>
            <w:shd w:val="clear" w:color="auto" w:fill="auto"/>
            <w:vAlign w:val="center"/>
          </w:tcPr>
          <w:p w14:paraId="5CB22E7C"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 In the light of the opinion of the Committee set up pursuant to Article 5 of Directive 98/34/EC, the Commission shall decide to publish, not to publish, to publish with restriction, to maintain, to maintain with restriction or to withdraw the references to the harmonised standard concerned in the Official Journal of the European Union.</w:t>
            </w:r>
          </w:p>
        </w:tc>
        <w:tc>
          <w:tcPr>
            <w:tcW w:w="429" w:type="pct"/>
            <w:shd w:val="clear" w:color="auto" w:fill="auto"/>
            <w:vAlign w:val="center"/>
          </w:tcPr>
          <w:p w14:paraId="3AAE3AC4" w14:textId="77777777" w:rsidR="000174C1" w:rsidRPr="00487209" w:rsidRDefault="000174C1"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49114460" w14:textId="77777777" w:rsidR="000174C1" w:rsidRPr="00487209" w:rsidRDefault="000174C1" w:rsidP="006C6323">
            <w:pPr>
              <w:jc w:val="center"/>
              <w:rPr>
                <w:rFonts w:ascii="Times New Roman" w:hAnsi="Times New Roman" w:cs="Times New Roman"/>
                <w:sz w:val="18"/>
                <w:szCs w:val="18"/>
                <w:lang w:val="sr-Cyrl-CS"/>
              </w:rPr>
            </w:pPr>
          </w:p>
        </w:tc>
        <w:tc>
          <w:tcPr>
            <w:tcW w:w="458" w:type="pct"/>
            <w:shd w:val="clear" w:color="auto" w:fill="auto"/>
            <w:vAlign w:val="center"/>
          </w:tcPr>
          <w:p w14:paraId="3678E22E"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5D991FD6" w14:textId="2D04CB87" w:rsidR="004A66AB" w:rsidRPr="00487209" w:rsidRDefault="001518DD" w:rsidP="006C6323">
            <w:pPr>
              <w:spacing w:before="120" w:after="120"/>
              <w:jc w:val="both"/>
              <w:rPr>
                <w:rFonts w:ascii="Times New Roman" w:hAnsi="Times New Roman" w:cs="Times New Roman"/>
                <w:bCs/>
                <w:sz w:val="18"/>
                <w:szCs w:val="18"/>
                <w:lang w:val="sr-Cyrl-CS"/>
              </w:rPr>
            </w:pPr>
            <w:r>
              <w:rPr>
                <w:rFonts w:ascii="Times New Roman" w:hAnsi="Times New Roman" w:cs="Times New Roman"/>
                <w:sz w:val="18"/>
                <w:szCs w:val="18"/>
                <w:lang w:val="ru-RU"/>
              </w:rPr>
              <w:t xml:space="preserve">Члан </w:t>
            </w:r>
            <w:r w:rsidR="000174C1" w:rsidRPr="00487209">
              <w:rPr>
                <w:rFonts w:ascii="Times New Roman" w:hAnsi="Times New Roman" w:cs="Times New Roman"/>
                <w:sz w:val="18"/>
                <w:szCs w:val="18"/>
              </w:rPr>
              <w:t xml:space="preserve">18.2. </w:t>
            </w:r>
            <w:r w:rsidR="000174C1" w:rsidRPr="00487209">
              <w:rPr>
                <w:rFonts w:ascii="Times New Roman" w:hAnsi="Times New Roman" w:cs="Times New Roman"/>
                <w:sz w:val="18"/>
                <w:szCs w:val="18"/>
                <w:lang w:val="sr-Cyrl-CS"/>
              </w:rPr>
              <w:t>Уредбе 305/2011 (ЕУ) није пренет, пошто се односи на обавезу Европске комисије</w:t>
            </w:r>
            <w:r w:rsidR="000174C1" w:rsidRPr="00487209">
              <w:rPr>
                <w:rFonts w:ascii="Times New Roman" w:hAnsi="Times New Roman" w:cs="Times New Roman"/>
                <w:bCs/>
                <w:sz w:val="18"/>
                <w:szCs w:val="18"/>
                <w:lang w:val="sr-Cyrl-CS"/>
              </w:rPr>
              <w:t>.</w:t>
            </w:r>
          </w:p>
        </w:tc>
        <w:tc>
          <w:tcPr>
            <w:tcW w:w="480" w:type="pct"/>
            <w:shd w:val="clear" w:color="auto" w:fill="auto"/>
            <w:vAlign w:val="center"/>
          </w:tcPr>
          <w:p w14:paraId="56673FAA" w14:textId="77777777" w:rsidR="000174C1" w:rsidRPr="00487209" w:rsidRDefault="000174C1" w:rsidP="006C6323">
            <w:pPr>
              <w:spacing w:before="120" w:after="120"/>
              <w:jc w:val="center"/>
              <w:rPr>
                <w:rFonts w:ascii="Times New Roman" w:hAnsi="Times New Roman" w:cs="Times New Roman"/>
                <w:sz w:val="18"/>
                <w:szCs w:val="18"/>
                <w:lang w:val="ru-RU"/>
              </w:rPr>
            </w:pPr>
          </w:p>
        </w:tc>
      </w:tr>
      <w:tr w:rsidR="00337554" w:rsidRPr="00487209" w14:paraId="2740CA95" w14:textId="77777777" w:rsidTr="007D5144">
        <w:trPr>
          <w:trHeight w:val="1970"/>
          <w:jc w:val="center"/>
        </w:trPr>
        <w:tc>
          <w:tcPr>
            <w:tcW w:w="435" w:type="pct"/>
            <w:shd w:val="clear" w:color="auto" w:fill="auto"/>
            <w:vAlign w:val="center"/>
          </w:tcPr>
          <w:p w14:paraId="3B1D6FEF" w14:textId="77777777" w:rsidR="000174C1" w:rsidRPr="00487209" w:rsidRDefault="000174C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18.3.</w:t>
            </w:r>
          </w:p>
        </w:tc>
        <w:tc>
          <w:tcPr>
            <w:tcW w:w="1369" w:type="pct"/>
            <w:gridSpan w:val="2"/>
            <w:shd w:val="clear" w:color="auto" w:fill="auto"/>
            <w:vAlign w:val="center"/>
          </w:tcPr>
          <w:p w14:paraId="735BFABD"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The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Commission</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shall</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inform</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European</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standardisation</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body</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concerned</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of</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its</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decision</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and</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if</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necessary</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request</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revision of the harmonised standard concerned.</w:t>
            </w:r>
          </w:p>
        </w:tc>
        <w:tc>
          <w:tcPr>
            <w:tcW w:w="429" w:type="pct"/>
            <w:shd w:val="clear" w:color="auto" w:fill="auto"/>
            <w:vAlign w:val="center"/>
          </w:tcPr>
          <w:p w14:paraId="2AAF197A" w14:textId="77777777" w:rsidR="000174C1" w:rsidRPr="00487209" w:rsidRDefault="000174C1"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1A7117B1" w14:textId="77777777" w:rsidR="000174C1" w:rsidRPr="00487209" w:rsidRDefault="000174C1" w:rsidP="006C6323">
            <w:pPr>
              <w:jc w:val="center"/>
              <w:rPr>
                <w:rFonts w:ascii="Times New Roman" w:hAnsi="Times New Roman" w:cs="Times New Roman"/>
                <w:sz w:val="18"/>
                <w:szCs w:val="18"/>
                <w:lang w:val="sr-Cyrl-CS"/>
              </w:rPr>
            </w:pPr>
          </w:p>
        </w:tc>
        <w:tc>
          <w:tcPr>
            <w:tcW w:w="458" w:type="pct"/>
            <w:shd w:val="clear" w:color="auto" w:fill="auto"/>
            <w:vAlign w:val="center"/>
          </w:tcPr>
          <w:p w14:paraId="7FA6A7E1"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35B55F10" w14:textId="37BF87FD" w:rsidR="004A66AB" w:rsidRPr="00487209" w:rsidRDefault="001518DD" w:rsidP="006C6323">
            <w:pPr>
              <w:spacing w:before="120" w:after="120"/>
              <w:jc w:val="both"/>
              <w:rPr>
                <w:rFonts w:ascii="Times New Roman" w:hAnsi="Times New Roman" w:cs="Times New Roman"/>
                <w:bCs/>
                <w:sz w:val="18"/>
                <w:szCs w:val="18"/>
                <w:lang w:val="sr-Cyrl-CS"/>
              </w:rPr>
            </w:pPr>
            <w:r>
              <w:rPr>
                <w:rFonts w:ascii="Times New Roman" w:hAnsi="Times New Roman" w:cs="Times New Roman"/>
                <w:sz w:val="18"/>
                <w:szCs w:val="18"/>
                <w:lang w:val="ru-RU"/>
              </w:rPr>
              <w:t>Члан</w:t>
            </w:r>
            <w:r w:rsidR="000174C1" w:rsidRPr="00487209">
              <w:rPr>
                <w:rFonts w:ascii="Times New Roman" w:hAnsi="Times New Roman" w:cs="Times New Roman"/>
                <w:sz w:val="18"/>
                <w:szCs w:val="18"/>
                <w:lang w:val="ru-RU"/>
              </w:rPr>
              <w:t xml:space="preserve"> </w:t>
            </w:r>
            <w:r w:rsidR="000174C1" w:rsidRPr="00487209">
              <w:rPr>
                <w:rFonts w:ascii="Times New Roman" w:hAnsi="Times New Roman" w:cs="Times New Roman"/>
                <w:sz w:val="18"/>
                <w:szCs w:val="18"/>
              </w:rPr>
              <w:t xml:space="preserve">18.3. </w:t>
            </w:r>
            <w:r w:rsidR="000174C1" w:rsidRPr="00487209">
              <w:rPr>
                <w:rFonts w:ascii="Times New Roman" w:hAnsi="Times New Roman" w:cs="Times New Roman"/>
                <w:sz w:val="18"/>
                <w:szCs w:val="18"/>
                <w:lang w:val="sr-Cyrl-CS"/>
              </w:rPr>
              <w:t>Уредбе 305/2011 (ЕУ) није пренет, пошто се односи на обавезу Европске комисије</w:t>
            </w:r>
            <w:r w:rsidR="000174C1" w:rsidRPr="00487209">
              <w:rPr>
                <w:rFonts w:ascii="Times New Roman" w:hAnsi="Times New Roman" w:cs="Times New Roman"/>
                <w:bCs/>
                <w:sz w:val="18"/>
                <w:szCs w:val="18"/>
                <w:lang w:val="sr-Cyrl-CS"/>
              </w:rPr>
              <w:t>.</w:t>
            </w:r>
          </w:p>
        </w:tc>
        <w:tc>
          <w:tcPr>
            <w:tcW w:w="480" w:type="pct"/>
            <w:shd w:val="clear" w:color="auto" w:fill="auto"/>
            <w:vAlign w:val="center"/>
          </w:tcPr>
          <w:p w14:paraId="0A0CC727" w14:textId="77777777" w:rsidR="000174C1" w:rsidRPr="00487209" w:rsidRDefault="000174C1" w:rsidP="006C6323">
            <w:pPr>
              <w:spacing w:before="120" w:after="120"/>
              <w:jc w:val="center"/>
              <w:rPr>
                <w:rFonts w:ascii="Times New Roman" w:hAnsi="Times New Roman" w:cs="Times New Roman"/>
                <w:sz w:val="18"/>
                <w:szCs w:val="18"/>
                <w:lang w:val="ru-RU"/>
              </w:rPr>
            </w:pPr>
          </w:p>
        </w:tc>
      </w:tr>
      <w:tr w:rsidR="00337554" w:rsidRPr="00487209" w14:paraId="6070B5F4" w14:textId="77777777" w:rsidTr="007D5144">
        <w:trPr>
          <w:trHeight w:val="1970"/>
          <w:jc w:val="center"/>
        </w:trPr>
        <w:tc>
          <w:tcPr>
            <w:tcW w:w="435" w:type="pct"/>
            <w:shd w:val="clear" w:color="auto" w:fill="auto"/>
            <w:vAlign w:val="center"/>
          </w:tcPr>
          <w:p w14:paraId="7BA87E6E" w14:textId="77777777" w:rsidR="00C27779" w:rsidRPr="00487209" w:rsidRDefault="00C27779"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19.1.(a)</w:t>
            </w:r>
          </w:p>
        </w:tc>
        <w:tc>
          <w:tcPr>
            <w:tcW w:w="1369" w:type="pct"/>
            <w:gridSpan w:val="2"/>
            <w:shd w:val="clear" w:color="auto" w:fill="auto"/>
            <w:vAlign w:val="center"/>
          </w:tcPr>
          <w:p w14:paraId="0A074D08" w14:textId="77777777" w:rsidR="00C27779" w:rsidRPr="00487209" w:rsidRDefault="00C27779"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Following a request for a European Technical Assessment by a manufacturer, a European Assessment Document shall be drawn up and adopted by the organisation of TABs for any construction product not covered or not fully covered by a harmonised standard, for which the performance in relation to its essential characteristics cannot be entirely assessed according to an existing harmonised standard, because, inter alia:</w:t>
            </w:r>
          </w:p>
          <w:p w14:paraId="5522E42D" w14:textId="77777777" w:rsidR="00C27779" w:rsidRPr="00487209" w:rsidRDefault="00C27779"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the product does not fall within the scope of any existing harmonised standard;</w:t>
            </w:r>
          </w:p>
          <w:p w14:paraId="36987BFF" w14:textId="77777777" w:rsidR="00C27779" w:rsidRPr="00487209" w:rsidRDefault="00C27779" w:rsidP="006C6323">
            <w:pPr>
              <w:jc w:val="both"/>
              <w:rPr>
                <w:rFonts w:ascii="Times New Roman" w:hAnsi="Times New Roman" w:cs="Times New Roman"/>
                <w:sz w:val="18"/>
                <w:szCs w:val="18"/>
                <w:lang w:val="sr-Cyrl-CS"/>
              </w:rPr>
            </w:pPr>
          </w:p>
        </w:tc>
        <w:tc>
          <w:tcPr>
            <w:tcW w:w="429" w:type="pct"/>
            <w:shd w:val="clear" w:color="auto" w:fill="auto"/>
            <w:vAlign w:val="center"/>
          </w:tcPr>
          <w:p w14:paraId="1C2F29BA" w14:textId="77777777" w:rsidR="00F249E1" w:rsidRPr="00487209" w:rsidRDefault="00F249E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473A357E" w14:textId="65BBAFA9" w:rsidR="00C27779" w:rsidRPr="00487209" w:rsidRDefault="0053403F" w:rsidP="0053403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rPr>
              <w:t>2</w:t>
            </w:r>
            <w:r>
              <w:rPr>
                <w:rFonts w:ascii="Times New Roman" w:hAnsi="Times New Roman" w:cs="Times New Roman"/>
                <w:sz w:val="18"/>
                <w:szCs w:val="18"/>
                <w:lang w:val="sr-Cyrl-CS"/>
              </w:rPr>
              <w:t>1</w:t>
            </w:r>
            <w:r w:rsidR="00C27779" w:rsidRPr="00487209">
              <w:rPr>
                <w:rFonts w:ascii="Times New Roman" w:hAnsi="Times New Roman" w:cs="Times New Roman"/>
                <w:sz w:val="18"/>
                <w:szCs w:val="18"/>
                <w:lang w:val="ru-RU"/>
              </w:rPr>
              <w:t>.1.1)</w:t>
            </w:r>
          </w:p>
        </w:tc>
        <w:tc>
          <w:tcPr>
            <w:tcW w:w="1231" w:type="pct"/>
            <w:gridSpan w:val="2"/>
            <w:shd w:val="clear" w:color="auto" w:fill="auto"/>
          </w:tcPr>
          <w:p w14:paraId="20C9348E" w14:textId="09D460D4" w:rsidR="0053403F" w:rsidRPr="000145D5" w:rsidRDefault="0053403F" w:rsidP="000145D5">
            <w:pPr>
              <w:ind w:left="36"/>
              <w:jc w:val="both"/>
              <w:rPr>
                <w:rStyle w:val="tw4winMark"/>
                <w:rFonts w:ascii="Times New Roman" w:eastAsia="Batang" w:hAnsi="Times New Roman" w:cs="Times New Roman"/>
                <w:vanish w:val="0"/>
                <w:color w:val="auto"/>
                <w:sz w:val="18"/>
                <w:szCs w:val="18"/>
                <w:vertAlign w:val="baseline"/>
                <w:lang w:val="sr-Cyrl-CS" w:eastAsia="ko-KR"/>
              </w:rPr>
            </w:pPr>
            <w:r w:rsidRPr="000145D5">
              <w:rPr>
                <w:rStyle w:val="tw4winMark"/>
                <w:rFonts w:ascii="Times New Roman" w:eastAsia="Batang" w:hAnsi="Times New Roman" w:cs="Times New Roman"/>
                <w:vanish w:val="0"/>
                <w:color w:val="auto"/>
                <w:sz w:val="18"/>
                <w:szCs w:val="18"/>
                <w:vertAlign w:val="baseline"/>
                <w:lang w:val="sr-Cyrl-CS" w:eastAsia="ko-KR"/>
              </w:rPr>
              <w:t>За сваки грађевински производ који није обухваћен или није у потпуности обухваћен</w:t>
            </w:r>
            <w:r w:rsidR="00B715B5">
              <w:rPr>
                <w:rStyle w:val="tw4winMark"/>
                <w:rFonts w:ascii="Times New Roman" w:eastAsia="Batang" w:hAnsi="Times New Roman" w:cs="Times New Roman"/>
                <w:vanish w:val="0"/>
                <w:color w:val="auto"/>
                <w:sz w:val="18"/>
                <w:szCs w:val="18"/>
                <w:vertAlign w:val="baseline"/>
                <w:lang w:eastAsia="ko-KR"/>
              </w:rPr>
              <w:t xml:space="preserve"> </w:t>
            </w:r>
            <w:r w:rsidR="00B715B5" w:rsidRPr="0087473F">
              <w:rPr>
                <w:rFonts w:ascii="Times New Roman" w:hAnsi="Times New Roman" w:cs="Times New Roman"/>
                <w:sz w:val="18"/>
                <w:szCs w:val="24"/>
                <w:lang w:val="sr-Cyrl-CS"/>
              </w:rPr>
              <w:t>хармонизованим</w:t>
            </w:r>
            <w:r w:rsidR="00B715B5" w:rsidRPr="00B715B5">
              <w:rPr>
                <w:rFonts w:ascii="Times New Roman" w:hAnsi="Times New Roman" w:cs="Times New Roman"/>
                <w:sz w:val="24"/>
                <w:szCs w:val="24"/>
                <w:lang w:val="sr-Cyrl-CS"/>
              </w:rPr>
              <w:t xml:space="preserve"> </w:t>
            </w:r>
            <w:r w:rsidR="00B715B5" w:rsidRPr="0087473F">
              <w:rPr>
                <w:rFonts w:ascii="Times New Roman" w:hAnsi="Times New Roman" w:cs="Times New Roman"/>
                <w:sz w:val="18"/>
                <w:szCs w:val="24"/>
                <w:lang w:val="sr-Cyrl-CS"/>
              </w:rPr>
              <w:t>стандардом</w:t>
            </w:r>
            <w:r w:rsidRPr="000145D5">
              <w:rPr>
                <w:rStyle w:val="tw4winMark"/>
                <w:rFonts w:ascii="Times New Roman" w:eastAsia="Batang" w:hAnsi="Times New Roman" w:cs="Times New Roman"/>
                <w:vanish w:val="0"/>
                <w:color w:val="auto"/>
                <w:sz w:val="18"/>
                <w:szCs w:val="18"/>
                <w:vertAlign w:val="baseline"/>
                <w:lang w:val="sr-Cyrl-CS" w:eastAsia="ko-KR"/>
              </w:rPr>
              <w:t xml:space="preserve">, техничким прописом или српским стандардом и за који перформансе у вези са његовим битним карактеристикама не могу бити у потпуности оцењене у складу са </w:t>
            </w:r>
            <w:r w:rsidR="00B715B5" w:rsidRPr="000145D5">
              <w:rPr>
                <w:rStyle w:val="tw4winMark"/>
                <w:rFonts w:ascii="Times New Roman" w:eastAsia="Batang" w:hAnsi="Times New Roman" w:cs="Times New Roman"/>
                <w:vanish w:val="0"/>
                <w:color w:val="auto"/>
                <w:sz w:val="18"/>
                <w:szCs w:val="18"/>
                <w:vertAlign w:val="baseline"/>
                <w:lang w:val="sr-Cyrl-CS" w:eastAsia="ko-KR"/>
              </w:rPr>
              <w:t>постојећ</w:t>
            </w:r>
            <w:r w:rsidR="00B715B5">
              <w:rPr>
                <w:rStyle w:val="tw4winMark"/>
                <w:rFonts w:ascii="Times New Roman" w:eastAsia="Batang" w:hAnsi="Times New Roman" w:cs="Times New Roman"/>
                <w:vanish w:val="0"/>
                <w:color w:val="auto"/>
                <w:sz w:val="18"/>
                <w:szCs w:val="18"/>
                <w:vertAlign w:val="baseline"/>
                <w:lang w:val="sr-Cyrl-CS" w:eastAsia="ko-KR"/>
              </w:rPr>
              <w:t>и</w:t>
            </w:r>
            <w:r w:rsidR="00B715B5" w:rsidRPr="000145D5">
              <w:rPr>
                <w:rStyle w:val="tw4winMark"/>
                <w:rFonts w:ascii="Times New Roman" w:eastAsia="Batang" w:hAnsi="Times New Roman" w:cs="Times New Roman"/>
                <w:vanish w:val="0"/>
                <w:color w:val="auto"/>
                <w:sz w:val="18"/>
                <w:szCs w:val="18"/>
                <w:vertAlign w:val="baseline"/>
                <w:lang w:val="sr-Cyrl-CS" w:eastAsia="ko-KR"/>
              </w:rPr>
              <w:t>м</w:t>
            </w:r>
            <w:r w:rsidR="00B715B5">
              <w:rPr>
                <w:rStyle w:val="tw4winMark"/>
                <w:rFonts w:ascii="Times New Roman" w:eastAsia="Batang" w:hAnsi="Times New Roman" w:cs="Times New Roman"/>
                <w:vanish w:val="0"/>
                <w:color w:val="auto"/>
                <w:sz w:val="18"/>
                <w:szCs w:val="18"/>
                <w:vertAlign w:val="baseline"/>
                <w:lang w:val="sr-Cyrl-CS" w:eastAsia="ko-KR"/>
              </w:rPr>
              <w:t xml:space="preserve"> стандардом</w:t>
            </w:r>
            <w:r w:rsidRPr="000145D5">
              <w:rPr>
                <w:rStyle w:val="tw4winMark"/>
                <w:rFonts w:ascii="Times New Roman" w:eastAsia="Batang" w:hAnsi="Times New Roman" w:cs="Times New Roman"/>
                <w:vanish w:val="0"/>
                <w:color w:val="auto"/>
                <w:sz w:val="18"/>
                <w:szCs w:val="18"/>
                <w:vertAlign w:val="baseline"/>
                <w:lang w:val="sr-Cyrl-CS" w:eastAsia="ko-KR"/>
              </w:rPr>
              <w:t>, техничким прописом или српским стандардом, на захтев произвођача за српску техничку оцену, тело за техничко оцењивање саставља српски документ за оцењивање, уз сагласност министарства надлежног за послове грађевинарства, у случајевима када:</w:t>
            </w:r>
          </w:p>
          <w:p w14:paraId="20035335" w14:textId="398DEABA" w:rsidR="0053403F" w:rsidRPr="0053403F" w:rsidRDefault="0053403F" w:rsidP="000145D5">
            <w:pPr>
              <w:ind w:left="461"/>
              <w:jc w:val="both"/>
              <w:rPr>
                <w:rStyle w:val="tw4winMark"/>
                <w:rFonts w:ascii="Times New Roman" w:eastAsia="Batang" w:hAnsi="Times New Roman" w:cs="Times New Roman"/>
                <w:color w:val="auto"/>
                <w:sz w:val="18"/>
                <w:szCs w:val="18"/>
                <w:lang w:val="sr-Cyrl-CS" w:eastAsia="ko-KR"/>
              </w:rPr>
            </w:pPr>
            <w:r w:rsidRPr="000145D5">
              <w:rPr>
                <w:rStyle w:val="tw4winMark"/>
                <w:rFonts w:ascii="Times New Roman" w:eastAsia="Batang" w:hAnsi="Times New Roman" w:cs="Times New Roman"/>
                <w:vanish w:val="0"/>
                <w:color w:val="auto"/>
                <w:sz w:val="18"/>
                <w:szCs w:val="18"/>
                <w:vertAlign w:val="baseline"/>
                <w:lang w:val="sr-Cyrl-CS" w:eastAsia="ko-KR"/>
              </w:rPr>
              <w:t>1)</w:t>
            </w:r>
            <w:r w:rsidRPr="000145D5">
              <w:rPr>
                <w:rStyle w:val="tw4winMark"/>
                <w:rFonts w:ascii="Times New Roman" w:eastAsia="Batang" w:hAnsi="Times New Roman" w:cs="Times New Roman"/>
                <w:vanish w:val="0"/>
                <w:color w:val="auto"/>
                <w:sz w:val="18"/>
                <w:szCs w:val="18"/>
                <w:vertAlign w:val="baseline"/>
                <w:lang w:val="sr-Cyrl-CS" w:eastAsia="ko-KR"/>
              </w:rPr>
              <w:tab/>
              <w:t>грађевински производ не потпада у област примене неке постојеће</w:t>
            </w:r>
            <w:r w:rsidR="00B715B5">
              <w:rPr>
                <w:rStyle w:val="tw4winMark"/>
                <w:rFonts w:ascii="Times New Roman" w:eastAsia="Batang" w:hAnsi="Times New Roman" w:cs="Times New Roman"/>
                <w:vanish w:val="0"/>
                <w:color w:val="auto"/>
                <w:sz w:val="18"/>
                <w:szCs w:val="18"/>
                <w:vertAlign w:val="baseline"/>
                <w:lang w:val="sr-Cyrl-CS" w:eastAsia="ko-KR"/>
              </w:rPr>
              <w:t>г</w:t>
            </w:r>
            <w:r w:rsidRPr="000145D5">
              <w:rPr>
                <w:rStyle w:val="tw4winMark"/>
                <w:rFonts w:ascii="Times New Roman" w:eastAsia="Batang" w:hAnsi="Times New Roman" w:cs="Times New Roman"/>
                <w:vanish w:val="0"/>
                <w:color w:val="auto"/>
                <w:sz w:val="18"/>
                <w:szCs w:val="18"/>
                <w:vertAlign w:val="baseline"/>
                <w:lang w:val="sr-Cyrl-CS" w:eastAsia="ko-KR"/>
              </w:rPr>
              <w:t xml:space="preserve"> </w:t>
            </w:r>
            <w:r w:rsidR="00B715B5" w:rsidRPr="000145D5">
              <w:rPr>
                <w:rStyle w:val="tw4winMark"/>
                <w:rFonts w:ascii="Times New Roman" w:eastAsia="Batang" w:hAnsi="Times New Roman" w:cs="Times New Roman"/>
                <w:vanish w:val="0"/>
                <w:color w:val="auto"/>
                <w:sz w:val="18"/>
                <w:szCs w:val="18"/>
                <w:vertAlign w:val="baseline"/>
                <w:lang w:val="sr-Cyrl-CS" w:eastAsia="ko-KR"/>
              </w:rPr>
              <w:t>хармонизован</w:t>
            </w:r>
            <w:r w:rsidR="00B715B5">
              <w:rPr>
                <w:rStyle w:val="tw4winMark"/>
                <w:rFonts w:ascii="Times New Roman" w:eastAsia="Batang" w:hAnsi="Times New Roman" w:cs="Times New Roman"/>
                <w:vanish w:val="0"/>
                <w:color w:val="auto"/>
                <w:sz w:val="18"/>
                <w:szCs w:val="18"/>
                <w:vertAlign w:val="baseline"/>
                <w:lang w:val="sr-Cyrl-CS" w:eastAsia="ko-KR"/>
              </w:rPr>
              <w:t>ог стандарда</w:t>
            </w:r>
            <w:r w:rsidRPr="000145D5">
              <w:rPr>
                <w:rStyle w:val="tw4winMark"/>
                <w:rFonts w:ascii="Times New Roman" w:eastAsia="Batang" w:hAnsi="Times New Roman" w:cs="Times New Roman"/>
                <w:vanish w:val="0"/>
                <w:color w:val="auto"/>
                <w:sz w:val="18"/>
                <w:szCs w:val="18"/>
                <w:vertAlign w:val="baseline"/>
                <w:lang w:val="sr-Cyrl-CS" w:eastAsia="ko-KR"/>
              </w:rPr>
              <w:t>, техничког прописа или српског стандарда;</w:t>
            </w:r>
            <w:r w:rsidRPr="0053403F">
              <w:rPr>
                <w:rStyle w:val="tw4winMark"/>
                <w:rFonts w:ascii="Times New Roman" w:eastAsia="Batang" w:hAnsi="Times New Roman" w:cs="Times New Roman"/>
                <w:color w:val="auto"/>
                <w:sz w:val="18"/>
                <w:szCs w:val="18"/>
                <w:lang w:val="sr-Cyrl-CS" w:eastAsia="ko-KR"/>
              </w:rPr>
              <w:t>За сваки грађевински производ који није обухваћен или није у потпуности обухваћен хармонизованом техничком спецификацијом, техничким прописом или српским стандардом и за који перформансе у вези са његовим битним карактеристикама не могу бити у потпуности оцењене у складу са постојећом хармонизованом техничким спецификацијом, техничким прописом или српским стандардом, на захтев произвођача за српску техничку оцену, тело за техничко оцењивање саставља српски документ за оцењивање, уз сагласност министарства надлежног за послове грађевинарства, у случајевима када:</w:t>
            </w:r>
          </w:p>
          <w:p w14:paraId="1ADD74BF" w14:textId="48F8C454" w:rsidR="00C27779" w:rsidRPr="00487209" w:rsidRDefault="0053403F" w:rsidP="006C6323">
            <w:pPr>
              <w:pStyle w:val="Style24"/>
              <w:tabs>
                <w:tab w:val="left" w:pos="432"/>
              </w:tabs>
              <w:spacing w:before="120" w:line="240" w:lineRule="auto"/>
              <w:ind w:left="290"/>
              <w:rPr>
                <w:rStyle w:val="FontStyle41"/>
                <w:rFonts w:ascii="Times New Roman" w:hAnsi="Times New Roman" w:cs="Times New Roman"/>
                <w:sz w:val="18"/>
                <w:szCs w:val="18"/>
                <w:lang w:val="sr-Cyrl-CS"/>
              </w:rPr>
            </w:pPr>
            <w:r w:rsidRPr="0053403F">
              <w:rPr>
                <w:rStyle w:val="tw4winMark"/>
                <w:rFonts w:ascii="Times New Roman" w:hAnsi="Times New Roman"/>
                <w:color w:val="auto"/>
                <w:sz w:val="18"/>
                <w:szCs w:val="18"/>
                <w:lang w:val="sr-Cyrl-CS"/>
              </w:rPr>
              <w:t>1)</w:t>
            </w:r>
            <w:r w:rsidRPr="0053403F">
              <w:rPr>
                <w:rStyle w:val="tw4winMark"/>
                <w:rFonts w:ascii="Times New Roman" w:hAnsi="Times New Roman"/>
                <w:color w:val="auto"/>
                <w:sz w:val="18"/>
                <w:szCs w:val="18"/>
                <w:lang w:val="sr-Cyrl-CS"/>
              </w:rPr>
              <w:tab/>
              <w:t>грађевински производ не потпада у област примене неке постојеће хармонизоване техничке спецификације, техничког прописа или српског стандарда;</w:t>
            </w:r>
            <w:r w:rsidR="00C27779" w:rsidRPr="00487209">
              <w:rPr>
                <w:rStyle w:val="tw4winMark"/>
                <w:rFonts w:ascii="Times New Roman" w:hAnsi="Times New Roman"/>
                <w:color w:val="auto"/>
                <w:sz w:val="18"/>
                <w:szCs w:val="18"/>
                <w:lang w:val="sr-Cyrl-CS"/>
              </w:rPr>
              <w:t>&lt;0}</w:t>
            </w:r>
          </w:p>
        </w:tc>
        <w:tc>
          <w:tcPr>
            <w:tcW w:w="458" w:type="pct"/>
            <w:shd w:val="clear" w:color="auto" w:fill="auto"/>
            <w:vAlign w:val="center"/>
          </w:tcPr>
          <w:p w14:paraId="3CD482B4" w14:textId="0A90973F" w:rsidR="00C27779" w:rsidRPr="00487209" w:rsidRDefault="0053403F" w:rsidP="006C6323">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Д</w:t>
            </w:r>
            <w:r w:rsidRPr="00487209">
              <w:rPr>
                <w:rFonts w:ascii="Times New Roman" w:hAnsi="Times New Roman" w:cs="Times New Roman"/>
                <w:sz w:val="18"/>
                <w:szCs w:val="18"/>
                <w:lang w:val="ru-RU"/>
              </w:rPr>
              <w:t>У</w:t>
            </w:r>
          </w:p>
        </w:tc>
        <w:tc>
          <w:tcPr>
            <w:tcW w:w="598" w:type="pct"/>
            <w:gridSpan w:val="2"/>
            <w:shd w:val="clear" w:color="auto" w:fill="auto"/>
            <w:vAlign w:val="center"/>
          </w:tcPr>
          <w:p w14:paraId="3FA6F986" w14:textId="04BB6CEC" w:rsidR="00C27779" w:rsidRPr="00487209" w:rsidRDefault="00E47112" w:rsidP="001518DD">
            <w:pPr>
              <w:spacing w:before="120" w:after="120"/>
              <w:ind w:firstLine="21"/>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Чл</w:t>
            </w:r>
            <w:r w:rsidR="001518DD">
              <w:rPr>
                <w:rFonts w:ascii="Times New Roman" w:hAnsi="Times New Roman" w:cs="Times New Roman"/>
                <w:sz w:val="18"/>
                <w:szCs w:val="18"/>
                <w:lang w:val="ru-RU"/>
              </w:rPr>
              <w:t xml:space="preserve">ан </w:t>
            </w:r>
            <w:r>
              <w:rPr>
                <w:rFonts w:ascii="Times New Roman" w:hAnsi="Times New Roman" w:cs="Times New Roman"/>
                <w:sz w:val="18"/>
                <w:szCs w:val="18"/>
                <w:lang w:val="ru-RU"/>
              </w:rPr>
              <w:t>19.1.</w:t>
            </w:r>
            <w:r w:rsidRPr="00487209">
              <w:rPr>
                <w:rFonts w:ascii="Times New Roman" w:hAnsi="Times New Roman" w:cs="Times New Roman"/>
                <w:sz w:val="18"/>
                <w:szCs w:val="18"/>
                <w:lang w:val="ru-RU"/>
              </w:rPr>
              <w:t>(</w:t>
            </w:r>
            <w:r>
              <w:rPr>
                <w:rFonts w:ascii="Times New Roman" w:hAnsi="Times New Roman" w:cs="Times New Roman"/>
                <w:sz w:val="18"/>
                <w:szCs w:val="18"/>
                <w:lang w:val="ru-RU"/>
              </w:rPr>
              <w:t>а</w:t>
            </w:r>
            <w:r w:rsidRPr="00487209">
              <w:rPr>
                <w:rFonts w:ascii="Times New Roman" w:hAnsi="Times New Roman" w:cs="Times New Roman"/>
                <w:sz w:val="18"/>
                <w:szCs w:val="18"/>
                <w:lang w:val="ru-RU"/>
              </w:rPr>
              <w:t>)</w:t>
            </w:r>
            <w:r w:rsidRPr="00487209">
              <w:rPr>
                <w:rFonts w:ascii="Times New Roman" w:hAnsi="Times New Roman" w:cs="Times New Roman"/>
                <w:sz w:val="18"/>
                <w:szCs w:val="18"/>
                <w:lang w:val="sr-Cyrl-CS"/>
              </w:rPr>
              <w:t xml:space="preserve"> Уре</w:t>
            </w:r>
            <w:r w:rsidR="001518DD">
              <w:rPr>
                <w:rFonts w:ascii="Times New Roman" w:hAnsi="Times New Roman" w:cs="Times New Roman"/>
                <w:sz w:val="18"/>
                <w:szCs w:val="18"/>
                <w:lang w:val="sr-Cyrl-CS"/>
              </w:rPr>
              <w:t xml:space="preserve">дбе 305/2011 (ЕУ) је пренет члан </w:t>
            </w:r>
            <w:r>
              <w:rPr>
                <w:rFonts w:ascii="Times New Roman" w:hAnsi="Times New Roman" w:cs="Times New Roman"/>
                <w:sz w:val="18"/>
                <w:szCs w:val="18"/>
                <w:lang w:val="sr-Cyrl-CS"/>
              </w:rPr>
              <w:t>21</w:t>
            </w:r>
            <w:r w:rsidR="001518DD">
              <w:rPr>
                <w:rFonts w:ascii="Times New Roman" w:hAnsi="Times New Roman" w:cs="Times New Roman"/>
                <w:sz w:val="18"/>
                <w:szCs w:val="18"/>
                <w:lang w:val="sr-Cyrl-CS"/>
              </w:rPr>
              <w:t>. став</w:t>
            </w:r>
            <w:r w:rsidRPr="00487209">
              <w:rPr>
                <w:rFonts w:ascii="Times New Roman" w:hAnsi="Times New Roman" w:cs="Times New Roman"/>
                <w:sz w:val="18"/>
                <w:szCs w:val="18"/>
                <w:lang w:val="sr-Cyrl-CS"/>
              </w:rPr>
              <w:t xml:space="preserve"> </w:t>
            </w:r>
            <w:r w:rsidR="001518DD">
              <w:rPr>
                <w:rFonts w:ascii="Times New Roman" w:hAnsi="Times New Roman" w:cs="Times New Roman"/>
                <w:sz w:val="18"/>
                <w:szCs w:val="18"/>
                <w:lang w:val="sr-Cyrl-CS"/>
              </w:rPr>
              <w:t>1. тачка</w:t>
            </w:r>
            <w:r>
              <w:rPr>
                <w:rFonts w:ascii="Times New Roman" w:hAnsi="Times New Roman" w:cs="Times New Roman"/>
                <w:sz w:val="18"/>
                <w:szCs w:val="18"/>
                <w:lang w:val="sr-Cyrl-CS"/>
              </w:rPr>
              <w:t xml:space="preserve"> 1)</w:t>
            </w:r>
            <w:r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Pr="00487209">
              <w:rPr>
                <w:rFonts w:ascii="Times New Roman" w:hAnsi="Times New Roman" w:cs="Times New Roman"/>
                <w:sz w:val="18"/>
                <w:szCs w:val="18"/>
                <w:lang w:val="sr-Cyrl-CS"/>
              </w:rPr>
              <w:t xml:space="preserve">а закона о грађевинским производима у делу који се односи на </w:t>
            </w:r>
            <w:r>
              <w:rPr>
                <w:rFonts w:ascii="Times New Roman" w:hAnsi="Times New Roman" w:cs="Times New Roman"/>
                <w:sz w:val="18"/>
                <w:szCs w:val="18"/>
                <w:lang w:val="sr-Cyrl-CS"/>
              </w:rPr>
              <w:t xml:space="preserve">израду националног документа за оцењивање. </w:t>
            </w:r>
            <w:r w:rsidRPr="00487209">
              <w:rPr>
                <w:rFonts w:ascii="Times New Roman" w:hAnsi="Times New Roman" w:cs="Times New Roman"/>
                <w:bCs/>
                <w:sz w:val="18"/>
                <w:szCs w:val="18"/>
                <w:lang w:val="sr-Cyrl-CS"/>
              </w:rPr>
              <w:t>П</w:t>
            </w:r>
            <w:r w:rsidRPr="00487209">
              <w:rPr>
                <w:rFonts w:ascii="Times New Roman" w:hAnsi="Times New Roman" w:cs="Times New Roman"/>
                <w:sz w:val="18"/>
                <w:szCs w:val="18"/>
                <w:lang w:val="sr-Cyrl-CS"/>
              </w:rPr>
              <w:t>отпуно усклађивање биће могуће након приступања ЕУ.</w:t>
            </w:r>
          </w:p>
        </w:tc>
        <w:tc>
          <w:tcPr>
            <w:tcW w:w="480" w:type="pct"/>
            <w:shd w:val="clear" w:color="auto" w:fill="auto"/>
            <w:vAlign w:val="center"/>
          </w:tcPr>
          <w:p w14:paraId="03BF641F" w14:textId="77777777" w:rsidR="00C27779" w:rsidRPr="00487209" w:rsidRDefault="00C27779" w:rsidP="006C6323">
            <w:pPr>
              <w:spacing w:before="120" w:after="120"/>
              <w:jc w:val="center"/>
              <w:rPr>
                <w:rFonts w:ascii="Times New Roman" w:hAnsi="Times New Roman" w:cs="Times New Roman"/>
                <w:sz w:val="18"/>
                <w:szCs w:val="18"/>
                <w:lang w:val="ru-RU"/>
              </w:rPr>
            </w:pPr>
          </w:p>
        </w:tc>
      </w:tr>
      <w:tr w:rsidR="00337554" w:rsidRPr="00487209" w14:paraId="49A8D3B1" w14:textId="77777777" w:rsidTr="007D5144">
        <w:trPr>
          <w:trHeight w:val="1970"/>
          <w:jc w:val="center"/>
        </w:trPr>
        <w:tc>
          <w:tcPr>
            <w:tcW w:w="435" w:type="pct"/>
            <w:shd w:val="clear" w:color="auto" w:fill="auto"/>
            <w:vAlign w:val="center"/>
          </w:tcPr>
          <w:p w14:paraId="5F01306C" w14:textId="77777777" w:rsidR="00C27779" w:rsidRPr="00487209" w:rsidRDefault="00C27779"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19.1.(b)</w:t>
            </w:r>
          </w:p>
        </w:tc>
        <w:tc>
          <w:tcPr>
            <w:tcW w:w="1369" w:type="pct"/>
            <w:gridSpan w:val="2"/>
            <w:shd w:val="clear" w:color="auto" w:fill="auto"/>
            <w:vAlign w:val="center"/>
          </w:tcPr>
          <w:p w14:paraId="4BAB96D2" w14:textId="77777777" w:rsidR="00C27779" w:rsidRPr="00487209" w:rsidRDefault="00C27779" w:rsidP="006C6323">
            <w:pPr>
              <w:jc w:val="both"/>
              <w:rPr>
                <w:rFonts w:ascii="Times New Roman" w:hAnsi="Times New Roman" w:cs="Times New Roman"/>
                <w:sz w:val="18"/>
                <w:szCs w:val="18"/>
              </w:rPr>
            </w:pPr>
            <w:r w:rsidRPr="00487209">
              <w:rPr>
                <w:rFonts w:ascii="Times New Roman" w:hAnsi="Times New Roman" w:cs="Times New Roman"/>
                <w:sz w:val="18"/>
                <w:szCs w:val="18"/>
              </w:rPr>
              <w:t>for at least one essential characteristic of that product, the assessment method provided for in the harmonised standard is not appropriate; or</w:t>
            </w:r>
          </w:p>
        </w:tc>
        <w:tc>
          <w:tcPr>
            <w:tcW w:w="429" w:type="pct"/>
            <w:shd w:val="clear" w:color="auto" w:fill="auto"/>
            <w:vAlign w:val="center"/>
          </w:tcPr>
          <w:p w14:paraId="586073D9" w14:textId="77777777" w:rsidR="00F249E1" w:rsidRPr="00487209" w:rsidRDefault="00F249E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0F38DA63" w14:textId="6F7F6474" w:rsidR="00C27779" w:rsidRPr="00487209" w:rsidRDefault="0053403F" w:rsidP="0053403F">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w:t>
            </w:r>
            <w:r>
              <w:rPr>
                <w:rFonts w:ascii="Times New Roman" w:hAnsi="Times New Roman" w:cs="Times New Roman"/>
                <w:sz w:val="18"/>
                <w:szCs w:val="18"/>
                <w:lang w:val="sr-Cyrl-CS"/>
              </w:rPr>
              <w:t>1</w:t>
            </w:r>
            <w:r w:rsidR="00C27779" w:rsidRPr="00487209">
              <w:rPr>
                <w:rFonts w:ascii="Times New Roman" w:hAnsi="Times New Roman" w:cs="Times New Roman"/>
                <w:sz w:val="18"/>
                <w:szCs w:val="18"/>
                <w:lang w:val="ru-RU"/>
              </w:rPr>
              <w:t>.1.2)</w:t>
            </w:r>
          </w:p>
        </w:tc>
        <w:tc>
          <w:tcPr>
            <w:tcW w:w="1231" w:type="pct"/>
            <w:gridSpan w:val="2"/>
            <w:shd w:val="clear" w:color="auto" w:fill="auto"/>
          </w:tcPr>
          <w:p w14:paraId="131ED179" w14:textId="77777777" w:rsidR="00C27779" w:rsidRPr="00487209" w:rsidRDefault="00C27779" w:rsidP="000145D5">
            <w:pPr>
              <w:pStyle w:val="Style23"/>
              <w:tabs>
                <w:tab w:val="left" w:pos="278"/>
              </w:tabs>
              <w:spacing w:before="120" w:line="240" w:lineRule="auto"/>
              <w:ind w:left="319" w:firstLine="0"/>
              <w:rPr>
                <w:rFonts w:ascii="Times New Roman" w:hAnsi="Times New Roman"/>
                <w:sz w:val="18"/>
                <w:szCs w:val="18"/>
                <w:lang w:val="sr-Cyrl-CS"/>
              </w:rPr>
            </w:pPr>
          </w:p>
          <w:p w14:paraId="2056C9B4" w14:textId="0F75A95D" w:rsidR="00C27779" w:rsidRPr="00487209" w:rsidRDefault="0053403F" w:rsidP="000145D5">
            <w:pPr>
              <w:pStyle w:val="Style23"/>
              <w:tabs>
                <w:tab w:val="left" w:pos="278"/>
              </w:tabs>
              <w:spacing w:before="120" w:line="240" w:lineRule="auto"/>
              <w:ind w:left="319" w:firstLine="0"/>
              <w:rPr>
                <w:rStyle w:val="FontStyle41"/>
                <w:rFonts w:ascii="Times New Roman" w:eastAsia="Calibri" w:hAnsi="Times New Roman" w:cs="Times New Roman"/>
                <w:sz w:val="18"/>
                <w:szCs w:val="18"/>
                <w:lang w:val="sr-Cyrl-CS" w:eastAsia="en-US"/>
              </w:rPr>
            </w:pPr>
            <w:r w:rsidRPr="0053403F">
              <w:rPr>
                <w:rFonts w:ascii="Times New Roman" w:hAnsi="Times New Roman"/>
                <w:sz w:val="18"/>
                <w:szCs w:val="18"/>
                <w:lang w:val="sr-Cyrl-CS"/>
              </w:rPr>
              <w:t>2)</w:t>
            </w:r>
            <w:r w:rsidRPr="0053403F">
              <w:rPr>
                <w:rFonts w:ascii="Times New Roman" w:hAnsi="Times New Roman"/>
                <w:sz w:val="18"/>
                <w:szCs w:val="18"/>
                <w:lang w:val="sr-Cyrl-CS"/>
              </w:rPr>
              <w:tab/>
              <w:t xml:space="preserve">метод оцењивања предвиђен постојећом </w:t>
            </w:r>
            <w:r w:rsidR="00B715B5" w:rsidRPr="0053403F">
              <w:rPr>
                <w:rFonts w:ascii="Times New Roman" w:hAnsi="Times New Roman"/>
                <w:sz w:val="18"/>
                <w:szCs w:val="18"/>
                <w:lang w:val="sr-Cyrl-CS"/>
              </w:rPr>
              <w:t>хармонизован</w:t>
            </w:r>
            <w:r w:rsidR="00B715B5">
              <w:rPr>
                <w:rFonts w:ascii="Times New Roman" w:hAnsi="Times New Roman"/>
                <w:sz w:val="18"/>
                <w:szCs w:val="18"/>
                <w:lang w:val="sr-Cyrl-CS"/>
              </w:rPr>
              <w:t>и</w:t>
            </w:r>
            <w:r w:rsidR="00B715B5" w:rsidRPr="0053403F">
              <w:rPr>
                <w:rFonts w:ascii="Times New Roman" w:hAnsi="Times New Roman"/>
                <w:sz w:val="18"/>
                <w:szCs w:val="18"/>
                <w:lang w:val="sr-Cyrl-CS"/>
              </w:rPr>
              <w:t xml:space="preserve">м </w:t>
            </w:r>
            <w:r w:rsidR="00B715B5">
              <w:rPr>
                <w:rFonts w:ascii="Times New Roman" w:hAnsi="Times New Roman"/>
                <w:sz w:val="18"/>
                <w:szCs w:val="18"/>
                <w:lang w:val="sr-Cyrl-CS"/>
              </w:rPr>
              <w:t>стандардом</w:t>
            </w:r>
            <w:r w:rsidRPr="0053403F">
              <w:rPr>
                <w:rFonts w:ascii="Times New Roman" w:hAnsi="Times New Roman"/>
                <w:sz w:val="18"/>
                <w:szCs w:val="18"/>
                <w:lang w:val="sr-Cyrl-CS"/>
              </w:rPr>
              <w:t>, техничким прописом или српским стандардом не одговара за оцену ни једне  битне карактеристике тог грађевинског производа или</w:t>
            </w:r>
            <w:r w:rsidR="00C27779" w:rsidRPr="00487209">
              <w:rPr>
                <w:rStyle w:val="tw4winMark"/>
                <w:rFonts w:ascii="Times New Roman" w:hAnsi="Times New Roman"/>
                <w:color w:val="auto"/>
                <w:sz w:val="18"/>
                <w:szCs w:val="18"/>
                <w:lang w:val="sr-Cyrl-CS"/>
              </w:rPr>
              <w:t>&lt;0}</w:t>
            </w:r>
          </w:p>
          <w:p w14:paraId="3C84C174" w14:textId="77777777" w:rsidR="00C27779" w:rsidRPr="00487209" w:rsidRDefault="00C27779" w:rsidP="000145D5">
            <w:pPr>
              <w:pStyle w:val="Style23"/>
              <w:tabs>
                <w:tab w:val="left" w:pos="278"/>
              </w:tabs>
              <w:spacing w:before="120" w:line="240" w:lineRule="auto"/>
              <w:ind w:left="319" w:firstLine="0"/>
              <w:rPr>
                <w:rStyle w:val="FontStyle41"/>
                <w:rFonts w:ascii="Times New Roman" w:hAnsi="Times New Roman" w:cs="Times New Roman"/>
                <w:sz w:val="18"/>
                <w:szCs w:val="18"/>
                <w:lang w:val="sr-Cyrl-CS"/>
              </w:rPr>
            </w:pPr>
            <w:r w:rsidRPr="00487209">
              <w:rPr>
                <w:rStyle w:val="tw4winMark"/>
                <w:rFonts w:ascii="Times New Roman" w:hAnsi="Times New Roman"/>
                <w:color w:val="auto"/>
                <w:sz w:val="18"/>
                <w:szCs w:val="18"/>
                <w:vertAlign w:val="baseline"/>
                <w:lang w:val="sr-Cyrl-CS"/>
              </w:rPr>
              <w:t>{0&gt;</w:t>
            </w:r>
            <w:r w:rsidRPr="00487209">
              <w:rPr>
                <w:rStyle w:val="FontStyle41"/>
                <w:rFonts w:ascii="Times New Roman" w:hAnsi="Times New Roman" w:cs="Times New Roman"/>
                <w:noProof/>
                <w:vanish/>
                <w:sz w:val="18"/>
                <w:szCs w:val="18"/>
                <w:lang w:val="sr-Cyrl-CS"/>
              </w:rPr>
              <w:t>the product does not fall within the scope of any existing harmonised standard;</w:t>
            </w:r>
            <w:r w:rsidRPr="00487209">
              <w:rPr>
                <w:rStyle w:val="tw4winMark"/>
                <w:rFonts w:ascii="Times New Roman" w:hAnsi="Times New Roman"/>
                <w:color w:val="auto"/>
                <w:sz w:val="18"/>
                <w:szCs w:val="18"/>
                <w:vertAlign w:val="baseline"/>
                <w:lang w:val="sr-Cyrl-CS"/>
              </w:rPr>
              <w:t>&lt;}0{&gt;</w:t>
            </w:r>
            <w:r w:rsidRPr="00487209">
              <w:rPr>
                <w:rStyle w:val="tw4winMark"/>
                <w:rFonts w:ascii="Times New Roman" w:hAnsi="Times New Roman"/>
                <w:color w:val="auto"/>
                <w:sz w:val="18"/>
                <w:szCs w:val="18"/>
                <w:lang w:val="sr-Cyrl-CS"/>
              </w:rPr>
              <w:t>&lt;0}</w:t>
            </w:r>
          </w:p>
        </w:tc>
        <w:tc>
          <w:tcPr>
            <w:tcW w:w="458" w:type="pct"/>
            <w:shd w:val="clear" w:color="auto" w:fill="auto"/>
            <w:vAlign w:val="center"/>
          </w:tcPr>
          <w:p w14:paraId="4BFE486C" w14:textId="30EC147F" w:rsidR="00C27779" w:rsidRPr="00487209" w:rsidRDefault="0053403F" w:rsidP="006C6323">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Д</w:t>
            </w:r>
            <w:r w:rsidRPr="00487209">
              <w:rPr>
                <w:rFonts w:ascii="Times New Roman" w:hAnsi="Times New Roman" w:cs="Times New Roman"/>
                <w:sz w:val="18"/>
                <w:szCs w:val="18"/>
                <w:lang w:val="ru-RU"/>
              </w:rPr>
              <w:t>У</w:t>
            </w:r>
          </w:p>
        </w:tc>
        <w:tc>
          <w:tcPr>
            <w:tcW w:w="598" w:type="pct"/>
            <w:gridSpan w:val="2"/>
            <w:shd w:val="clear" w:color="auto" w:fill="auto"/>
            <w:vAlign w:val="center"/>
          </w:tcPr>
          <w:p w14:paraId="752D236F" w14:textId="4A611A5B" w:rsidR="00C27779" w:rsidRPr="00487209" w:rsidRDefault="001518DD" w:rsidP="008E0A09">
            <w:pPr>
              <w:spacing w:before="120" w:after="120"/>
              <w:ind w:firstLine="21"/>
              <w:jc w:val="center"/>
              <w:rPr>
                <w:rFonts w:ascii="Times New Roman" w:hAnsi="Times New Roman" w:cs="Times New Roman"/>
                <w:sz w:val="18"/>
                <w:szCs w:val="18"/>
                <w:lang w:val="ru-RU"/>
              </w:rPr>
            </w:pPr>
            <w:r>
              <w:rPr>
                <w:rFonts w:ascii="Times New Roman" w:hAnsi="Times New Roman" w:cs="Times New Roman"/>
                <w:sz w:val="18"/>
                <w:szCs w:val="18"/>
                <w:lang w:val="ru-RU"/>
              </w:rPr>
              <w:t xml:space="preserve">Члан </w:t>
            </w:r>
            <w:r w:rsidR="008E0A09">
              <w:rPr>
                <w:rFonts w:ascii="Times New Roman" w:hAnsi="Times New Roman" w:cs="Times New Roman"/>
                <w:sz w:val="18"/>
                <w:szCs w:val="18"/>
                <w:lang w:val="ru-RU"/>
              </w:rPr>
              <w:t>19.1.</w:t>
            </w:r>
            <w:r w:rsidR="008E0A09" w:rsidRPr="00487209">
              <w:rPr>
                <w:rFonts w:ascii="Times New Roman" w:hAnsi="Times New Roman" w:cs="Times New Roman"/>
                <w:sz w:val="18"/>
                <w:szCs w:val="18"/>
                <w:lang w:val="ru-RU"/>
              </w:rPr>
              <w:t>(</w:t>
            </w:r>
            <w:r w:rsidR="008E0A09">
              <w:rPr>
                <w:rFonts w:ascii="Times New Roman" w:hAnsi="Times New Roman" w:cs="Times New Roman"/>
                <w:sz w:val="18"/>
                <w:szCs w:val="18"/>
              </w:rPr>
              <w:t>b</w:t>
            </w:r>
            <w:r w:rsidR="008E0A09" w:rsidRPr="00487209">
              <w:rPr>
                <w:rFonts w:ascii="Times New Roman" w:hAnsi="Times New Roman" w:cs="Times New Roman"/>
                <w:sz w:val="18"/>
                <w:szCs w:val="18"/>
                <w:lang w:val="ru-RU"/>
              </w:rPr>
              <w:t>)</w:t>
            </w:r>
            <w:r w:rsidR="008E0A09" w:rsidRPr="00487209">
              <w:rPr>
                <w:rFonts w:ascii="Times New Roman" w:hAnsi="Times New Roman" w:cs="Times New Roman"/>
                <w:sz w:val="18"/>
                <w:szCs w:val="18"/>
                <w:lang w:val="sr-Cyrl-CS"/>
              </w:rPr>
              <w:t xml:space="preserve"> Уре</w:t>
            </w:r>
            <w:r>
              <w:rPr>
                <w:rFonts w:ascii="Times New Roman" w:hAnsi="Times New Roman" w:cs="Times New Roman"/>
                <w:sz w:val="18"/>
                <w:szCs w:val="18"/>
                <w:lang w:val="sr-Cyrl-CS"/>
              </w:rPr>
              <w:t xml:space="preserve">дбе 305/2011 (ЕУ) је пренет члан </w:t>
            </w:r>
            <w:r w:rsidR="008E0A09">
              <w:rPr>
                <w:rFonts w:ascii="Times New Roman" w:hAnsi="Times New Roman" w:cs="Times New Roman"/>
                <w:sz w:val="18"/>
                <w:szCs w:val="18"/>
                <w:lang w:val="sr-Cyrl-CS"/>
              </w:rPr>
              <w:t>21</w:t>
            </w:r>
            <w:r>
              <w:rPr>
                <w:rFonts w:ascii="Times New Roman" w:hAnsi="Times New Roman" w:cs="Times New Roman"/>
                <w:sz w:val="18"/>
                <w:szCs w:val="18"/>
                <w:lang w:val="sr-Cyrl-CS"/>
              </w:rPr>
              <w:t>. став</w:t>
            </w:r>
            <w:r w:rsidR="008E0A09" w:rsidRPr="00487209">
              <w:rPr>
                <w:rFonts w:ascii="Times New Roman" w:hAnsi="Times New Roman" w:cs="Times New Roman"/>
                <w:sz w:val="18"/>
                <w:szCs w:val="18"/>
                <w:lang w:val="sr-Cyrl-CS"/>
              </w:rPr>
              <w:t xml:space="preserve"> </w:t>
            </w:r>
            <w:r>
              <w:rPr>
                <w:rFonts w:ascii="Times New Roman" w:hAnsi="Times New Roman" w:cs="Times New Roman"/>
                <w:sz w:val="18"/>
                <w:szCs w:val="18"/>
                <w:lang w:val="sr-Cyrl-CS"/>
              </w:rPr>
              <w:t>1. тачка</w:t>
            </w:r>
            <w:r w:rsidR="008E0A09">
              <w:rPr>
                <w:rFonts w:ascii="Times New Roman" w:hAnsi="Times New Roman" w:cs="Times New Roman"/>
                <w:sz w:val="18"/>
                <w:szCs w:val="18"/>
                <w:lang w:val="sr-Cyrl-CS"/>
              </w:rPr>
              <w:t xml:space="preserve"> 2)</w:t>
            </w:r>
            <w:r w:rsidR="008E0A09"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8E0A09" w:rsidRPr="00487209">
              <w:rPr>
                <w:rFonts w:ascii="Times New Roman" w:hAnsi="Times New Roman" w:cs="Times New Roman"/>
                <w:sz w:val="18"/>
                <w:szCs w:val="18"/>
                <w:lang w:val="sr-Cyrl-CS"/>
              </w:rPr>
              <w:t xml:space="preserve">а закона о грађевинским производима у делу који се односи на </w:t>
            </w:r>
            <w:r w:rsidR="008E0A09">
              <w:rPr>
                <w:rFonts w:ascii="Times New Roman" w:hAnsi="Times New Roman" w:cs="Times New Roman"/>
                <w:sz w:val="18"/>
                <w:szCs w:val="18"/>
                <w:lang w:val="sr-Cyrl-CS"/>
              </w:rPr>
              <w:t xml:space="preserve">израду националног документа за оцењивање. </w:t>
            </w:r>
            <w:r w:rsidR="008E0A09" w:rsidRPr="00487209">
              <w:rPr>
                <w:rFonts w:ascii="Times New Roman" w:hAnsi="Times New Roman" w:cs="Times New Roman"/>
                <w:bCs/>
                <w:sz w:val="18"/>
                <w:szCs w:val="18"/>
                <w:lang w:val="sr-Cyrl-CS"/>
              </w:rPr>
              <w:t>П</w:t>
            </w:r>
            <w:r w:rsidR="008E0A09" w:rsidRPr="00487209">
              <w:rPr>
                <w:rFonts w:ascii="Times New Roman" w:hAnsi="Times New Roman" w:cs="Times New Roman"/>
                <w:sz w:val="18"/>
                <w:szCs w:val="18"/>
                <w:lang w:val="sr-Cyrl-CS"/>
              </w:rPr>
              <w:t>отпуно усклађивање биће могуће након приступања ЕУ.</w:t>
            </w:r>
          </w:p>
        </w:tc>
        <w:tc>
          <w:tcPr>
            <w:tcW w:w="480" w:type="pct"/>
            <w:shd w:val="clear" w:color="auto" w:fill="auto"/>
            <w:vAlign w:val="center"/>
          </w:tcPr>
          <w:p w14:paraId="5FB54F1C" w14:textId="77777777" w:rsidR="00C27779" w:rsidRPr="00487209" w:rsidRDefault="00C27779" w:rsidP="006C6323">
            <w:pPr>
              <w:spacing w:before="120" w:after="120"/>
              <w:jc w:val="center"/>
              <w:rPr>
                <w:rFonts w:ascii="Times New Roman" w:hAnsi="Times New Roman" w:cs="Times New Roman"/>
                <w:sz w:val="18"/>
                <w:szCs w:val="18"/>
                <w:lang w:val="ru-RU"/>
              </w:rPr>
            </w:pPr>
          </w:p>
        </w:tc>
      </w:tr>
      <w:tr w:rsidR="00337554" w:rsidRPr="00487209" w14:paraId="63FDF60D" w14:textId="77777777" w:rsidTr="007D5144">
        <w:trPr>
          <w:trHeight w:val="1970"/>
          <w:jc w:val="center"/>
        </w:trPr>
        <w:tc>
          <w:tcPr>
            <w:tcW w:w="435" w:type="pct"/>
            <w:shd w:val="clear" w:color="auto" w:fill="auto"/>
            <w:vAlign w:val="center"/>
          </w:tcPr>
          <w:p w14:paraId="6CCE0411" w14:textId="77777777" w:rsidR="000174C1" w:rsidRPr="00487209" w:rsidRDefault="000174C1" w:rsidP="006C6323">
            <w:pPr>
              <w:spacing w:before="120" w:after="120"/>
              <w:jc w:val="center"/>
              <w:rPr>
                <w:rFonts w:ascii="Times New Roman" w:hAnsi="Times New Roman" w:cs="Times New Roman"/>
                <w:b/>
                <w:sz w:val="18"/>
                <w:szCs w:val="18"/>
              </w:rPr>
            </w:pPr>
            <w:r w:rsidRPr="00487209">
              <w:rPr>
                <w:rFonts w:ascii="Times New Roman" w:hAnsi="Times New Roman" w:cs="Times New Roman"/>
                <w:sz w:val="18"/>
                <w:szCs w:val="18"/>
              </w:rPr>
              <w:lastRenderedPageBreak/>
              <w:t>19.1.(c)</w:t>
            </w:r>
          </w:p>
        </w:tc>
        <w:tc>
          <w:tcPr>
            <w:tcW w:w="1369" w:type="pct"/>
            <w:gridSpan w:val="2"/>
            <w:shd w:val="clear" w:color="auto" w:fill="auto"/>
            <w:vAlign w:val="center"/>
          </w:tcPr>
          <w:p w14:paraId="367EE70E"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the harmonised standard does not provide for any assessment method in relation to at least one essential characteristic of that product.</w:t>
            </w:r>
          </w:p>
        </w:tc>
        <w:tc>
          <w:tcPr>
            <w:tcW w:w="429" w:type="pct"/>
            <w:shd w:val="clear" w:color="auto" w:fill="auto"/>
            <w:vAlign w:val="center"/>
          </w:tcPr>
          <w:p w14:paraId="07493D47" w14:textId="77777777" w:rsidR="00F249E1" w:rsidRPr="00487209" w:rsidRDefault="00F249E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773D86DC" w14:textId="6BDB13FE" w:rsidR="000174C1" w:rsidRPr="00487209" w:rsidRDefault="0053403F" w:rsidP="0053403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rPr>
              <w:t>2</w:t>
            </w:r>
            <w:r>
              <w:rPr>
                <w:rFonts w:ascii="Times New Roman" w:hAnsi="Times New Roman" w:cs="Times New Roman"/>
                <w:sz w:val="18"/>
                <w:szCs w:val="18"/>
                <w:lang w:val="sr-Cyrl-CS"/>
              </w:rPr>
              <w:t>1</w:t>
            </w:r>
            <w:r w:rsidR="00042ABD" w:rsidRPr="00487209">
              <w:rPr>
                <w:rFonts w:ascii="Times New Roman" w:hAnsi="Times New Roman" w:cs="Times New Roman"/>
                <w:sz w:val="18"/>
                <w:szCs w:val="18"/>
                <w:lang w:val="ru-RU"/>
              </w:rPr>
              <w:t>.1.3)</w:t>
            </w:r>
          </w:p>
        </w:tc>
        <w:tc>
          <w:tcPr>
            <w:tcW w:w="1231" w:type="pct"/>
            <w:gridSpan w:val="2"/>
            <w:shd w:val="clear" w:color="auto" w:fill="auto"/>
            <w:vAlign w:val="center"/>
          </w:tcPr>
          <w:p w14:paraId="4EBA9A72" w14:textId="28D3374A" w:rsidR="000174C1" w:rsidRPr="00487209" w:rsidRDefault="0053403F" w:rsidP="00B715B5">
            <w:pPr>
              <w:pStyle w:val="Style7"/>
              <w:spacing w:before="240" w:after="0" w:line="240" w:lineRule="auto"/>
              <w:ind w:left="319" w:right="-23"/>
              <w:jc w:val="both"/>
              <w:outlineLvl w:val="3"/>
              <w:rPr>
                <w:sz w:val="18"/>
                <w:szCs w:val="18"/>
              </w:rPr>
            </w:pPr>
            <w:r>
              <w:rPr>
                <w:sz w:val="18"/>
                <w:szCs w:val="18"/>
              </w:rPr>
              <w:t xml:space="preserve">3) </w:t>
            </w:r>
            <w:r w:rsidRPr="000145D5">
              <w:rPr>
                <w:sz w:val="18"/>
                <w:szCs w:val="18"/>
              </w:rPr>
              <w:t>постојећ</w:t>
            </w:r>
            <w:r w:rsidR="00B715B5">
              <w:rPr>
                <w:sz w:val="18"/>
                <w:szCs w:val="18"/>
              </w:rPr>
              <w:t>и</w:t>
            </w:r>
            <w:r w:rsidRPr="000145D5">
              <w:rPr>
                <w:sz w:val="18"/>
                <w:szCs w:val="18"/>
              </w:rPr>
              <w:t xml:space="preserve"> хармонизован</w:t>
            </w:r>
            <w:r w:rsidR="00B715B5">
              <w:rPr>
                <w:sz w:val="18"/>
                <w:szCs w:val="18"/>
              </w:rPr>
              <w:t>и</w:t>
            </w:r>
            <w:r w:rsidRPr="000145D5">
              <w:rPr>
                <w:sz w:val="18"/>
                <w:szCs w:val="18"/>
              </w:rPr>
              <w:t xml:space="preserve"> </w:t>
            </w:r>
            <w:r w:rsidR="00B715B5">
              <w:rPr>
                <w:sz w:val="18"/>
                <w:szCs w:val="18"/>
              </w:rPr>
              <w:t>стандард</w:t>
            </w:r>
            <w:r w:rsidRPr="000145D5">
              <w:rPr>
                <w:sz w:val="18"/>
                <w:szCs w:val="18"/>
              </w:rPr>
              <w:t>, технички пропис или српски стандард не обезбеђује ни једну методу оцењивања у вези са најмање  једном битном карактеристиком тог грађевинског производа</w:t>
            </w:r>
            <w:r w:rsidRPr="0053403F" w:rsidDel="0053403F">
              <w:rPr>
                <w:sz w:val="18"/>
                <w:szCs w:val="18"/>
                <w:lang w:val="ru-RU"/>
              </w:rPr>
              <w:t xml:space="preserve"> </w:t>
            </w:r>
          </w:p>
        </w:tc>
        <w:tc>
          <w:tcPr>
            <w:tcW w:w="458" w:type="pct"/>
            <w:shd w:val="clear" w:color="auto" w:fill="auto"/>
            <w:vAlign w:val="center"/>
          </w:tcPr>
          <w:p w14:paraId="67C3EBAA" w14:textId="2C88D106" w:rsidR="000174C1" w:rsidRPr="00487209" w:rsidRDefault="0053403F" w:rsidP="006C6323">
            <w:pPr>
              <w:spacing w:before="120" w:after="120"/>
              <w:jc w:val="center"/>
              <w:rPr>
                <w:rFonts w:ascii="Times New Roman" w:hAnsi="Times New Roman" w:cs="Times New Roman"/>
                <w:sz w:val="18"/>
                <w:szCs w:val="18"/>
                <w:lang w:val="ru-RU"/>
              </w:rPr>
            </w:pPr>
            <w:r>
              <w:rPr>
                <w:rFonts w:ascii="Times New Roman" w:hAnsi="Times New Roman" w:cs="Times New Roman"/>
                <w:sz w:val="18"/>
                <w:szCs w:val="18"/>
                <w:lang w:val="ru-RU"/>
              </w:rPr>
              <w:t>Д</w:t>
            </w:r>
            <w:r w:rsidRPr="00487209">
              <w:rPr>
                <w:rFonts w:ascii="Times New Roman" w:hAnsi="Times New Roman" w:cs="Times New Roman"/>
                <w:sz w:val="18"/>
                <w:szCs w:val="18"/>
                <w:lang w:val="ru-RU"/>
              </w:rPr>
              <w:t>У</w:t>
            </w:r>
          </w:p>
        </w:tc>
        <w:tc>
          <w:tcPr>
            <w:tcW w:w="598" w:type="pct"/>
            <w:gridSpan w:val="2"/>
            <w:shd w:val="clear" w:color="auto" w:fill="auto"/>
            <w:vAlign w:val="center"/>
          </w:tcPr>
          <w:p w14:paraId="6234DA4F" w14:textId="3489C660" w:rsidR="000174C1" w:rsidRPr="00487209" w:rsidRDefault="001518DD" w:rsidP="008E0A09">
            <w:pPr>
              <w:spacing w:before="120" w:after="120"/>
              <w:ind w:firstLine="21"/>
              <w:jc w:val="center"/>
              <w:rPr>
                <w:rFonts w:ascii="Times New Roman" w:hAnsi="Times New Roman" w:cs="Times New Roman"/>
                <w:sz w:val="18"/>
                <w:szCs w:val="18"/>
                <w:lang w:val="ru-RU"/>
              </w:rPr>
            </w:pPr>
            <w:r>
              <w:rPr>
                <w:rFonts w:ascii="Times New Roman" w:hAnsi="Times New Roman" w:cs="Times New Roman"/>
                <w:sz w:val="18"/>
                <w:szCs w:val="18"/>
                <w:lang w:val="ru-RU"/>
              </w:rPr>
              <w:t>Члан</w:t>
            </w:r>
            <w:r w:rsidR="008E0A09" w:rsidRPr="00487209">
              <w:rPr>
                <w:rFonts w:ascii="Times New Roman" w:hAnsi="Times New Roman" w:cs="Times New Roman"/>
                <w:sz w:val="18"/>
                <w:szCs w:val="18"/>
                <w:lang w:val="ru-RU"/>
              </w:rPr>
              <w:t xml:space="preserve"> </w:t>
            </w:r>
            <w:r w:rsidR="008E0A09">
              <w:rPr>
                <w:rFonts w:ascii="Times New Roman" w:hAnsi="Times New Roman" w:cs="Times New Roman"/>
                <w:sz w:val="18"/>
                <w:szCs w:val="18"/>
                <w:lang w:val="ru-RU"/>
              </w:rPr>
              <w:t>19.1.</w:t>
            </w:r>
            <w:r w:rsidR="008E0A09" w:rsidRPr="00487209">
              <w:rPr>
                <w:rFonts w:ascii="Times New Roman" w:hAnsi="Times New Roman" w:cs="Times New Roman"/>
                <w:sz w:val="18"/>
                <w:szCs w:val="18"/>
                <w:lang w:val="ru-RU"/>
              </w:rPr>
              <w:t>(</w:t>
            </w:r>
            <w:r w:rsidR="008E0A09">
              <w:rPr>
                <w:rFonts w:ascii="Times New Roman" w:hAnsi="Times New Roman" w:cs="Times New Roman"/>
                <w:sz w:val="18"/>
                <w:szCs w:val="18"/>
                <w:lang w:val="ru-RU"/>
              </w:rPr>
              <w:t>с</w:t>
            </w:r>
            <w:r w:rsidR="008E0A09" w:rsidRPr="00487209">
              <w:rPr>
                <w:rFonts w:ascii="Times New Roman" w:hAnsi="Times New Roman" w:cs="Times New Roman"/>
                <w:sz w:val="18"/>
                <w:szCs w:val="18"/>
                <w:lang w:val="ru-RU"/>
              </w:rPr>
              <w:t>)</w:t>
            </w:r>
            <w:r w:rsidR="008E0A09" w:rsidRPr="00487209">
              <w:rPr>
                <w:rFonts w:ascii="Times New Roman" w:hAnsi="Times New Roman" w:cs="Times New Roman"/>
                <w:sz w:val="18"/>
                <w:szCs w:val="18"/>
                <w:lang w:val="sr-Cyrl-CS"/>
              </w:rPr>
              <w:t xml:space="preserve"> Уре</w:t>
            </w:r>
            <w:r>
              <w:rPr>
                <w:rFonts w:ascii="Times New Roman" w:hAnsi="Times New Roman" w:cs="Times New Roman"/>
                <w:sz w:val="18"/>
                <w:szCs w:val="18"/>
                <w:lang w:val="sr-Cyrl-CS"/>
              </w:rPr>
              <w:t xml:space="preserve">дбе 305/2011 (ЕУ) је пренет члан </w:t>
            </w:r>
            <w:r w:rsidR="008E0A09">
              <w:rPr>
                <w:rFonts w:ascii="Times New Roman" w:hAnsi="Times New Roman" w:cs="Times New Roman"/>
                <w:sz w:val="18"/>
                <w:szCs w:val="18"/>
                <w:lang w:val="sr-Cyrl-CS"/>
              </w:rPr>
              <w:t>21</w:t>
            </w:r>
            <w:r>
              <w:rPr>
                <w:rFonts w:ascii="Times New Roman" w:hAnsi="Times New Roman" w:cs="Times New Roman"/>
                <w:sz w:val="18"/>
                <w:szCs w:val="18"/>
                <w:lang w:val="sr-Cyrl-CS"/>
              </w:rPr>
              <w:t>. став</w:t>
            </w:r>
            <w:r w:rsidR="008E0A09" w:rsidRPr="00487209">
              <w:rPr>
                <w:rFonts w:ascii="Times New Roman" w:hAnsi="Times New Roman" w:cs="Times New Roman"/>
                <w:sz w:val="18"/>
                <w:szCs w:val="18"/>
                <w:lang w:val="sr-Cyrl-CS"/>
              </w:rPr>
              <w:t xml:space="preserve"> </w:t>
            </w:r>
            <w:r>
              <w:rPr>
                <w:rFonts w:ascii="Times New Roman" w:hAnsi="Times New Roman" w:cs="Times New Roman"/>
                <w:sz w:val="18"/>
                <w:szCs w:val="18"/>
                <w:lang w:val="sr-Cyrl-CS"/>
              </w:rPr>
              <w:t>1. тачка</w:t>
            </w:r>
            <w:r w:rsidR="008E0A09">
              <w:rPr>
                <w:rFonts w:ascii="Times New Roman" w:hAnsi="Times New Roman" w:cs="Times New Roman"/>
                <w:sz w:val="18"/>
                <w:szCs w:val="18"/>
                <w:lang w:val="sr-Cyrl-CS"/>
              </w:rPr>
              <w:t xml:space="preserve"> 3)</w:t>
            </w:r>
            <w:r w:rsidR="008E0A09"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8E0A09" w:rsidRPr="00487209">
              <w:rPr>
                <w:rFonts w:ascii="Times New Roman" w:hAnsi="Times New Roman" w:cs="Times New Roman"/>
                <w:sz w:val="18"/>
                <w:szCs w:val="18"/>
                <w:lang w:val="sr-Cyrl-CS"/>
              </w:rPr>
              <w:t xml:space="preserve">а закона о грађевинским производима у делу који се односи на </w:t>
            </w:r>
            <w:r w:rsidR="008E0A09">
              <w:rPr>
                <w:rFonts w:ascii="Times New Roman" w:hAnsi="Times New Roman" w:cs="Times New Roman"/>
                <w:sz w:val="18"/>
                <w:szCs w:val="18"/>
                <w:lang w:val="sr-Cyrl-CS"/>
              </w:rPr>
              <w:t xml:space="preserve">израду националног документа за оцењивање. </w:t>
            </w:r>
            <w:r w:rsidR="008E0A09" w:rsidRPr="00487209">
              <w:rPr>
                <w:rFonts w:ascii="Times New Roman" w:hAnsi="Times New Roman" w:cs="Times New Roman"/>
                <w:bCs/>
                <w:sz w:val="18"/>
                <w:szCs w:val="18"/>
                <w:lang w:val="sr-Cyrl-CS"/>
              </w:rPr>
              <w:t>П</w:t>
            </w:r>
            <w:r w:rsidR="008E0A09" w:rsidRPr="00487209">
              <w:rPr>
                <w:rFonts w:ascii="Times New Roman" w:hAnsi="Times New Roman" w:cs="Times New Roman"/>
                <w:sz w:val="18"/>
                <w:szCs w:val="18"/>
                <w:lang w:val="sr-Cyrl-CS"/>
              </w:rPr>
              <w:t>отпуно усклађивање биће могуће након приступања ЕУ.</w:t>
            </w:r>
          </w:p>
        </w:tc>
        <w:tc>
          <w:tcPr>
            <w:tcW w:w="480" w:type="pct"/>
            <w:shd w:val="clear" w:color="auto" w:fill="auto"/>
            <w:vAlign w:val="center"/>
          </w:tcPr>
          <w:p w14:paraId="20A7E4B7" w14:textId="77777777" w:rsidR="000174C1" w:rsidRPr="00487209" w:rsidRDefault="000174C1" w:rsidP="006C6323">
            <w:pPr>
              <w:spacing w:before="120" w:after="120"/>
              <w:jc w:val="center"/>
              <w:rPr>
                <w:rFonts w:ascii="Times New Roman" w:hAnsi="Times New Roman" w:cs="Times New Roman"/>
                <w:sz w:val="18"/>
                <w:szCs w:val="18"/>
                <w:lang w:val="ru-RU"/>
              </w:rPr>
            </w:pPr>
          </w:p>
        </w:tc>
      </w:tr>
      <w:tr w:rsidR="00337554" w:rsidRPr="00487209" w14:paraId="3473A57F" w14:textId="77777777" w:rsidTr="007D5144">
        <w:trPr>
          <w:trHeight w:val="1970"/>
          <w:jc w:val="center"/>
        </w:trPr>
        <w:tc>
          <w:tcPr>
            <w:tcW w:w="435" w:type="pct"/>
            <w:shd w:val="clear" w:color="auto" w:fill="auto"/>
            <w:vAlign w:val="center"/>
          </w:tcPr>
          <w:p w14:paraId="20D54C0F"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19.2.</w:t>
            </w:r>
          </w:p>
        </w:tc>
        <w:tc>
          <w:tcPr>
            <w:tcW w:w="1369" w:type="pct"/>
            <w:gridSpan w:val="2"/>
            <w:shd w:val="clear" w:color="auto" w:fill="auto"/>
            <w:vAlign w:val="center"/>
          </w:tcPr>
          <w:p w14:paraId="31D38E2D"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The procedure for adopting the European Assessment Document shall respect the principles set out in Article 20 and shall comply with Article 21 and Annex II.</w:t>
            </w:r>
          </w:p>
        </w:tc>
        <w:tc>
          <w:tcPr>
            <w:tcW w:w="429" w:type="pct"/>
            <w:shd w:val="clear" w:color="auto" w:fill="auto"/>
            <w:vAlign w:val="center"/>
          </w:tcPr>
          <w:p w14:paraId="1A879B0D" w14:textId="583A75B8" w:rsidR="000174C1" w:rsidRPr="00487209" w:rsidRDefault="000174C1"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3664EF7F" w14:textId="77777777" w:rsidR="000174C1" w:rsidRPr="00487209" w:rsidRDefault="000174C1" w:rsidP="008C06F2">
            <w:pPr>
              <w:pStyle w:val="Style24"/>
              <w:tabs>
                <w:tab w:val="left" w:pos="432"/>
              </w:tabs>
              <w:spacing w:before="120" w:line="240" w:lineRule="auto"/>
              <w:rPr>
                <w:rFonts w:ascii="Times New Roman" w:hAnsi="Times New Roman"/>
                <w:sz w:val="18"/>
                <w:szCs w:val="18"/>
                <w:lang w:val="sr-Cyrl-CS"/>
              </w:rPr>
            </w:pPr>
          </w:p>
        </w:tc>
        <w:tc>
          <w:tcPr>
            <w:tcW w:w="458" w:type="pct"/>
            <w:shd w:val="clear" w:color="auto" w:fill="auto"/>
            <w:vAlign w:val="center"/>
          </w:tcPr>
          <w:p w14:paraId="5944B559" w14:textId="35C49BDB" w:rsidR="000174C1" w:rsidRPr="00487209" w:rsidRDefault="008C06F2"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НП</w:t>
            </w:r>
          </w:p>
        </w:tc>
        <w:tc>
          <w:tcPr>
            <w:tcW w:w="598" w:type="pct"/>
            <w:gridSpan w:val="2"/>
            <w:shd w:val="clear" w:color="auto" w:fill="auto"/>
            <w:vAlign w:val="center"/>
          </w:tcPr>
          <w:p w14:paraId="3BEE0BD9" w14:textId="3332EE07" w:rsidR="000174C1" w:rsidRPr="00487209" w:rsidRDefault="006A5266" w:rsidP="00BD1E56">
            <w:pPr>
              <w:spacing w:before="120" w:after="120"/>
              <w:ind w:firstLine="21"/>
              <w:jc w:val="both"/>
              <w:rPr>
                <w:rFonts w:ascii="Times New Roman" w:hAnsi="Times New Roman" w:cs="Times New Roman"/>
                <w:bCs/>
                <w:sz w:val="18"/>
                <w:szCs w:val="18"/>
                <w:lang w:val="sr-Cyrl-CS"/>
              </w:rPr>
            </w:pPr>
            <w:r>
              <w:rPr>
                <w:rFonts w:ascii="Times New Roman" w:hAnsi="Times New Roman" w:cs="Times New Roman"/>
                <w:sz w:val="18"/>
                <w:szCs w:val="18"/>
                <w:lang w:val="ru-RU"/>
              </w:rPr>
              <w:t xml:space="preserve">Члан </w:t>
            </w:r>
            <w:r w:rsidR="008C06F2" w:rsidRPr="00487209">
              <w:rPr>
                <w:rFonts w:ascii="Times New Roman" w:hAnsi="Times New Roman" w:cs="Times New Roman"/>
                <w:sz w:val="18"/>
                <w:szCs w:val="18"/>
                <w:lang w:val="ru-RU"/>
              </w:rPr>
              <w:t>2</w:t>
            </w:r>
            <w:r w:rsidR="008C06F2" w:rsidRPr="00487209">
              <w:rPr>
                <w:rFonts w:ascii="Times New Roman" w:hAnsi="Times New Roman" w:cs="Times New Roman"/>
                <w:sz w:val="18"/>
                <w:szCs w:val="18"/>
                <w:lang w:val="sr-Cyrl-CS"/>
              </w:rPr>
              <w:t>1.3. Уредбе 305/2011 (ЕУ) није пренет, пошто се односи на обавезу Европске комисије</w:t>
            </w:r>
            <w:r w:rsidR="008C06F2" w:rsidRPr="00487209">
              <w:rPr>
                <w:rFonts w:ascii="Times New Roman" w:hAnsi="Times New Roman" w:cs="Times New Roman"/>
                <w:bCs/>
                <w:sz w:val="18"/>
                <w:szCs w:val="18"/>
                <w:lang w:val="sr-Cyrl-CS"/>
              </w:rPr>
              <w:t>.</w:t>
            </w:r>
          </w:p>
        </w:tc>
        <w:tc>
          <w:tcPr>
            <w:tcW w:w="480" w:type="pct"/>
            <w:shd w:val="clear" w:color="auto" w:fill="auto"/>
            <w:vAlign w:val="center"/>
          </w:tcPr>
          <w:p w14:paraId="3649489E" w14:textId="77777777" w:rsidR="000174C1" w:rsidRPr="00487209" w:rsidRDefault="000174C1" w:rsidP="006C6323">
            <w:pPr>
              <w:spacing w:before="120" w:after="120"/>
              <w:jc w:val="center"/>
              <w:rPr>
                <w:rFonts w:ascii="Times New Roman" w:hAnsi="Times New Roman" w:cs="Times New Roman"/>
                <w:sz w:val="18"/>
                <w:szCs w:val="18"/>
                <w:lang w:val="sr-Cyrl-CS"/>
              </w:rPr>
            </w:pPr>
          </w:p>
        </w:tc>
      </w:tr>
      <w:tr w:rsidR="00337554" w:rsidRPr="00487209" w14:paraId="4F6E0766" w14:textId="77777777" w:rsidTr="007D5144">
        <w:trPr>
          <w:trHeight w:val="1970"/>
          <w:jc w:val="center"/>
        </w:trPr>
        <w:tc>
          <w:tcPr>
            <w:tcW w:w="435" w:type="pct"/>
            <w:shd w:val="clear" w:color="auto" w:fill="auto"/>
            <w:vAlign w:val="center"/>
          </w:tcPr>
          <w:p w14:paraId="53A0D9A5"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19.3.</w:t>
            </w:r>
          </w:p>
        </w:tc>
        <w:tc>
          <w:tcPr>
            <w:tcW w:w="1369" w:type="pct"/>
            <w:gridSpan w:val="2"/>
            <w:shd w:val="clear" w:color="auto" w:fill="auto"/>
            <w:vAlign w:val="center"/>
          </w:tcPr>
          <w:p w14:paraId="5CCA66FB" w14:textId="77777777" w:rsidR="000174C1" w:rsidRPr="00487209" w:rsidRDefault="000174C1" w:rsidP="006C6323">
            <w:pPr>
              <w:jc w:val="both"/>
              <w:rPr>
                <w:rFonts w:ascii="Times New Roman" w:hAnsi="Times New Roman" w:cs="Times New Roman"/>
                <w:b/>
                <w:sz w:val="18"/>
                <w:szCs w:val="18"/>
              </w:rPr>
            </w:pPr>
            <w:r w:rsidRPr="00487209">
              <w:rPr>
                <w:rFonts w:ascii="Times New Roman" w:hAnsi="Times New Roman" w:cs="Times New Roman"/>
                <w:sz w:val="18"/>
                <w:szCs w:val="18"/>
              </w:rPr>
              <w:t>The Commission may adopt delegated acts in accordance with Article 60 to amend Annex II and establish supplementary procedural rules for the development and adoption of a European Assessment Document.</w:t>
            </w:r>
          </w:p>
        </w:tc>
        <w:tc>
          <w:tcPr>
            <w:tcW w:w="429" w:type="pct"/>
            <w:shd w:val="clear" w:color="auto" w:fill="auto"/>
            <w:vAlign w:val="center"/>
          </w:tcPr>
          <w:p w14:paraId="4E902575" w14:textId="77777777" w:rsidR="000174C1" w:rsidRDefault="0053403F" w:rsidP="009A0D2C">
            <w:pPr>
              <w:pStyle w:val="Style7"/>
              <w:spacing w:before="240" w:after="0" w:line="240" w:lineRule="auto"/>
              <w:ind w:right="-23"/>
              <w:outlineLvl w:val="3"/>
              <w:rPr>
                <w:sz w:val="18"/>
                <w:szCs w:val="18"/>
              </w:rPr>
            </w:pPr>
            <w:r>
              <w:rPr>
                <w:sz w:val="18"/>
                <w:szCs w:val="18"/>
              </w:rPr>
              <w:t>01</w:t>
            </w:r>
          </w:p>
          <w:p w14:paraId="5BDD956E" w14:textId="393A51AF" w:rsidR="0053403F" w:rsidRPr="00487209" w:rsidRDefault="0053403F" w:rsidP="009A0D2C">
            <w:pPr>
              <w:pStyle w:val="Style7"/>
              <w:spacing w:before="240" w:after="0" w:line="240" w:lineRule="auto"/>
              <w:ind w:right="-23"/>
              <w:outlineLvl w:val="3"/>
              <w:rPr>
                <w:sz w:val="18"/>
                <w:szCs w:val="18"/>
              </w:rPr>
            </w:pPr>
            <w:r>
              <w:rPr>
                <w:sz w:val="18"/>
                <w:szCs w:val="18"/>
              </w:rPr>
              <w:t>22.2.</w:t>
            </w:r>
          </w:p>
        </w:tc>
        <w:tc>
          <w:tcPr>
            <w:tcW w:w="1231" w:type="pct"/>
            <w:gridSpan w:val="2"/>
            <w:shd w:val="clear" w:color="auto" w:fill="auto"/>
            <w:vAlign w:val="center"/>
          </w:tcPr>
          <w:p w14:paraId="5EBA8C87" w14:textId="11F5CC0B" w:rsidR="000174C1" w:rsidRPr="00487209" w:rsidRDefault="0053403F" w:rsidP="006C6323">
            <w:pPr>
              <w:pStyle w:val="Style7"/>
              <w:spacing w:before="240" w:after="0" w:line="240" w:lineRule="auto"/>
              <w:ind w:right="-23"/>
              <w:jc w:val="both"/>
              <w:outlineLvl w:val="3"/>
              <w:rPr>
                <w:sz w:val="18"/>
                <w:szCs w:val="18"/>
              </w:rPr>
            </w:pPr>
            <w:r w:rsidRPr="0053403F">
              <w:rPr>
                <w:sz w:val="18"/>
                <w:szCs w:val="18"/>
              </w:rPr>
              <w:t>Министар надлежан за послове грађевинарства ближе прописује поступак израде, начин доношења и садржину српског документа за оцењивање.</w:t>
            </w:r>
          </w:p>
        </w:tc>
        <w:tc>
          <w:tcPr>
            <w:tcW w:w="458" w:type="pct"/>
            <w:shd w:val="clear" w:color="auto" w:fill="auto"/>
            <w:vAlign w:val="center"/>
          </w:tcPr>
          <w:p w14:paraId="35AE02A4" w14:textId="74B48EB1" w:rsidR="000174C1" w:rsidRPr="00545ABB" w:rsidRDefault="0053403F" w:rsidP="006C6323">
            <w:pPr>
              <w:spacing w:before="120" w:after="120"/>
              <w:jc w:val="center"/>
              <w:rPr>
                <w:rFonts w:ascii="Times New Roman" w:hAnsi="Times New Roman" w:cs="Times New Roman"/>
                <w:sz w:val="18"/>
                <w:szCs w:val="18"/>
                <w:lang w:val="sr-Cyrl-CS"/>
              </w:rPr>
            </w:pPr>
            <w:r w:rsidRPr="00545ABB">
              <w:rPr>
                <w:rFonts w:ascii="Times New Roman" w:hAnsi="Times New Roman" w:cs="Times New Roman"/>
                <w:sz w:val="18"/>
                <w:szCs w:val="18"/>
                <w:lang w:val="sr-Cyrl-CS"/>
              </w:rPr>
              <w:t>ДУ</w:t>
            </w:r>
          </w:p>
        </w:tc>
        <w:tc>
          <w:tcPr>
            <w:tcW w:w="598" w:type="pct"/>
            <w:gridSpan w:val="2"/>
            <w:shd w:val="clear" w:color="auto" w:fill="auto"/>
            <w:vAlign w:val="center"/>
          </w:tcPr>
          <w:p w14:paraId="200B9069" w14:textId="0B30AD13" w:rsidR="000174C1" w:rsidRPr="00487209" w:rsidRDefault="006A5266" w:rsidP="00B62669">
            <w:pPr>
              <w:spacing w:before="120" w:after="120"/>
              <w:jc w:val="both"/>
              <w:rPr>
                <w:rFonts w:ascii="Times New Roman" w:hAnsi="Times New Roman" w:cs="Times New Roman"/>
                <w:bCs/>
                <w:sz w:val="18"/>
                <w:szCs w:val="18"/>
                <w:lang w:val="sr-Cyrl-CS"/>
              </w:rPr>
            </w:pPr>
            <w:r>
              <w:rPr>
                <w:rFonts w:ascii="Times New Roman" w:hAnsi="Times New Roman" w:cs="Times New Roman"/>
                <w:sz w:val="18"/>
                <w:szCs w:val="18"/>
                <w:lang w:val="ru-RU"/>
              </w:rPr>
              <w:t>Члан</w:t>
            </w:r>
            <w:r w:rsidR="00B62669" w:rsidRPr="00B62669">
              <w:rPr>
                <w:rFonts w:ascii="Times New Roman" w:hAnsi="Times New Roman" w:cs="Times New Roman"/>
                <w:sz w:val="18"/>
                <w:szCs w:val="18"/>
                <w:lang w:val="ru-RU"/>
              </w:rPr>
              <w:t xml:space="preserve"> 19.</w:t>
            </w:r>
            <w:r w:rsidR="00B62669">
              <w:rPr>
                <w:rFonts w:ascii="Times New Roman" w:hAnsi="Times New Roman" w:cs="Times New Roman"/>
                <w:sz w:val="18"/>
                <w:szCs w:val="18"/>
              </w:rPr>
              <w:t>3.</w:t>
            </w:r>
            <w:r w:rsidR="00B62669" w:rsidRPr="00B62669">
              <w:rPr>
                <w:rFonts w:ascii="Times New Roman" w:hAnsi="Times New Roman" w:cs="Times New Roman"/>
                <w:sz w:val="18"/>
                <w:szCs w:val="18"/>
                <w:lang w:val="ru-RU"/>
              </w:rPr>
              <w:t xml:space="preserve"> Ур</w:t>
            </w:r>
            <w:r>
              <w:rPr>
                <w:rFonts w:ascii="Times New Roman" w:hAnsi="Times New Roman" w:cs="Times New Roman"/>
                <w:sz w:val="18"/>
                <w:szCs w:val="18"/>
                <w:lang w:val="ru-RU"/>
              </w:rPr>
              <w:t>едбе 305/2011 (ЕУ) је пренет члан</w:t>
            </w:r>
            <w:r w:rsidR="00605BA1">
              <w:rPr>
                <w:rFonts w:ascii="Times New Roman" w:hAnsi="Times New Roman" w:cs="Times New Roman"/>
                <w:sz w:val="18"/>
                <w:szCs w:val="18"/>
                <w:lang w:val="ru-RU"/>
              </w:rPr>
              <w:t xml:space="preserve"> </w:t>
            </w:r>
            <w:r w:rsidR="00B62669">
              <w:rPr>
                <w:rFonts w:ascii="Times New Roman" w:hAnsi="Times New Roman" w:cs="Times New Roman"/>
                <w:sz w:val="18"/>
                <w:szCs w:val="18"/>
              </w:rPr>
              <w:t>22</w:t>
            </w:r>
            <w:r w:rsidR="00B62669" w:rsidRPr="00B62669">
              <w:rPr>
                <w:rFonts w:ascii="Times New Roman" w:hAnsi="Times New Roman" w:cs="Times New Roman"/>
                <w:sz w:val="18"/>
                <w:szCs w:val="18"/>
                <w:lang w:val="ru-RU"/>
              </w:rPr>
              <w:t xml:space="preserve">. </w:t>
            </w:r>
            <w:r w:rsidR="0073105A">
              <w:rPr>
                <w:rFonts w:ascii="Times New Roman" w:hAnsi="Times New Roman" w:cs="Times New Roman"/>
                <w:sz w:val="18"/>
                <w:szCs w:val="18"/>
                <w:lang w:val="ru-RU"/>
              </w:rPr>
              <w:t>Предлог</w:t>
            </w:r>
            <w:r w:rsidR="00B62669" w:rsidRPr="00B62669">
              <w:rPr>
                <w:rFonts w:ascii="Times New Roman" w:hAnsi="Times New Roman" w:cs="Times New Roman"/>
                <w:sz w:val="18"/>
                <w:szCs w:val="18"/>
                <w:lang w:val="ru-RU"/>
              </w:rPr>
              <w:t xml:space="preserve">а закона о грађевинским производима у делу који се односи на израду националног документа за оцењивање. </w:t>
            </w:r>
            <w:r w:rsidR="00B62669" w:rsidRPr="00B62669">
              <w:rPr>
                <w:rFonts w:ascii="Times New Roman" w:hAnsi="Times New Roman" w:cs="Times New Roman"/>
                <w:sz w:val="18"/>
                <w:szCs w:val="18"/>
                <w:lang w:val="ru-RU"/>
              </w:rPr>
              <w:lastRenderedPageBreak/>
              <w:t>Потпуно усклађивање биће могуће након приступања ЕУ.</w:t>
            </w:r>
          </w:p>
        </w:tc>
        <w:tc>
          <w:tcPr>
            <w:tcW w:w="480" w:type="pct"/>
            <w:shd w:val="clear" w:color="auto" w:fill="auto"/>
            <w:vAlign w:val="center"/>
          </w:tcPr>
          <w:p w14:paraId="76AFC037" w14:textId="77777777" w:rsidR="000174C1" w:rsidRPr="00487209" w:rsidRDefault="000174C1" w:rsidP="006C6323">
            <w:pPr>
              <w:spacing w:before="120" w:after="120"/>
              <w:jc w:val="center"/>
              <w:rPr>
                <w:rFonts w:ascii="Times New Roman" w:hAnsi="Times New Roman" w:cs="Times New Roman"/>
                <w:sz w:val="18"/>
                <w:szCs w:val="18"/>
                <w:lang w:val="ru-RU"/>
              </w:rPr>
            </w:pPr>
          </w:p>
        </w:tc>
      </w:tr>
      <w:tr w:rsidR="00337554" w:rsidRPr="00487209" w14:paraId="06635DD9" w14:textId="77777777" w:rsidTr="007D5144">
        <w:trPr>
          <w:trHeight w:val="546"/>
          <w:jc w:val="center"/>
        </w:trPr>
        <w:tc>
          <w:tcPr>
            <w:tcW w:w="435" w:type="pct"/>
            <w:shd w:val="clear" w:color="auto" w:fill="auto"/>
            <w:vAlign w:val="center"/>
          </w:tcPr>
          <w:p w14:paraId="4B1EB2FD"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19.4.</w:t>
            </w:r>
          </w:p>
        </w:tc>
        <w:tc>
          <w:tcPr>
            <w:tcW w:w="1369" w:type="pct"/>
            <w:gridSpan w:val="2"/>
            <w:shd w:val="clear" w:color="auto" w:fill="auto"/>
            <w:vAlign w:val="center"/>
          </w:tcPr>
          <w:p w14:paraId="73C57311"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Where appropriate, the Commission, after having consulted the Standing Committee on Construction, shall take existing European Assessment Documents as a basis for the mandates to be issued pursuant to Article 17(1) with a view to developing harmonised standards as regards the products referred to in paragraph 1 of this Article.</w:t>
            </w:r>
          </w:p>
        </w:tc>
        <w:tc>
          <w:tcPr>
            <w:tcW w:w="429" w:type="pct"/>
            <w:shd w:val="clear" w:color="auto" w:fill="auto"/>
            <w:vAlign w:val="center"/>
          </w:tcPr>
          <w:p w14:paraId="78DC473D" w14:textId="32E1BD99" w:rsidR="000174C1" w:rsidRPr="00487209" w:rsidRDefault="0053403F" w:rsidP="0080494B">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2</w:t>
            </w:r>
            <w:r w:rsidR="0080494B">
              <w:rPr>
                <w:rFonts w:ascii="Times New Roman" w:hAnsi="Times New Roman" w:cs="Times New Roman"/>
                <w:sz w:val="18"/>
                <w:szCs w:val="18"/>
                <w:lang w:val="ru-RU"/>
              </w:rPr>
              <w:t>1</w:t>
            </w:r>
            <w:r>
              <w:rPr>
                <w:rFonts w:ascii="Times New Roman" w:hAnsi="Times New Roman" w:cs="Times New Roman"/>
                <w:sz w:val="18"/>
                <w:szCs w:val="18"/>
                <w:lang w:val="ru-RU"/>
              </w:rPr>
              <w:t>.2</w:t>
            </w:r>
          </w:p>
        </w:tc>
        <w:tc>
          <w:tcPr>
            <w:tcW w:w="1231" w:type="pct"/>
            <w:gridSpan w:val="2"/>
            <w:shd w:val="clear" w:color="auto" w:fill="auto"/>
            <w:vAlign w:val="center"/>
          </w:tcPr>
          <w:p w14:paraId="35A5D6F0" w14:textId="2BA4B9F6" w:rsidR="000174C1" w:rsidRPr="00487209" w:rsidRDefault="0053403F" w:rsidP="006C6323">
            <w:pPr>
              <w:pStyle w:val="Style7"/>
              <w:spacing w:before="240" w:after="0" w:line="240" w:lineRule="auto"/>
              <w:ind w:right="-23"/>
              <w:jc w:val="both"/>
              <w:outlineLvl w:val="3"/>
              <w:rPr>
                <w:sz w:val="18"/>
                <w:szCs w:val="18"/>
              </w:rPr>
            </w:pPr>
            <w:r w:rsidRPr="0053403F">
              <w:rPr>
                <w:sz w:val="18"/>
                <w:szCs w:val="18"/>
              </w:rPr>
              <w:t>Министар надлежан за послове грађевинарства може користити српске документе за оцењивање као основ за предлог националном телу за стандардизацију за доношење српског стандарда за производе из става 1. овог члана.</w:t>
            </w:r>
          </w:p>
        </w:tc>
        <w:tc>
          <w:tcPr>
            <w:tcW w:w="458" w:type="pct"/>
            <w:shd w:val="clear" w:color="auto" w:fill="auto"/>
            <w:vAlign w:val="center"/>
          </w:tcPr>
          <w:p w14:paraId="36337EB1" w14:textId="76F469F9" w:rsidR="000174C1" w:rsidRPr="00545ABB" w:rsidRDefault="0053403F" w:rsidP="006C6323">
            <w:pPr>
              <w:spacing w:before="120" w:after="120"/>
              <w:jc w:val="center"/>
              <w:rPr>
                <w:rFonts w:ascii="Times New Roman" w:hAnsi="Times New Roman" w:cs="Times New Roman"/>
                <w:sz w:val="18"/>
                <w:szCs w:val="18"/>
                <w:lang w:val="sr-Cyrl-CS"/>
              </w:rPr>
            </w:pPr>
            <w:r w:rsidRPr="00545ABB">
              <w:rPr>
                <w:rFonts w:ascii="Times New Roman" w:hAnsi="Times New Roman" w:cs="Times New Roman"/>
                <w:sz w:val="18"/>
                <w:szCs w:val="18"/>
                <w:lang w:val="sr-Cyrl-CS"/>
              </w:rPr>
              <w:t>ДУ</w:t>
            </w:r>
          </w:p>
        </w:tc>
        <w:tc>
          <w:tcPr>
            <w:tcW w:w="598" w:type="pct"/>
            <w:gridSpan w:val="2"/>
            <w:shd w:val="clear" w:color="auto" w:fill="auto"/>
            <w:vAlign w:val="center"/>
          </w:tcPr>
          <w:p w14:paraId="662AD834" w14:textId="7C679EA0" w:rsidR="000174C1" w:rsidRPr="00487209" w:rsidRDefault="00605BA1" w:rsidP="008D7C62">
            <w:pPr>
              <w:spacing w:before="120" w:after="120"/>
              <w:jc w:val="both"/>
              <w:rPr>
                <w:rFonts w:ascii="Times New Roman" w:hAnsi="Times New Roman" w:cs="Times New Roman"/>
                <w:bCs/>
                <w:sz w:val="18"/>
                <w:szCs w:val="18"/>
                <w:lang w:val="sr-Cyrl-CS"/>
              </w:rPr>
            </w:pPr>
            <w:r>
              <w:rPr>
                <w:rFonts w:ascii="Times New Roman" w:hAnsi="Times New Roman" w:cs="Times New Roman"/>
                <w:sz w:val="18"/>
                <w:szCs w:val="18"/>
                <w:lang w:val="ru-RU"/>
              </w:rPr>
              <w:t>Члан</w:t>
            </w:r>
            <w:r w:rsidR="008D7C62" w:rsidRPr="00B62669">
              <w:rPr>
                <w:rFonts w:ascii="Times New Roman" w:hAnsi="Times New Roman" w:cs="Times New Roman"/>
                <w:sz w:val="18"/>
                <w:szCs w:val="18"/>
                <w:lang w:val="ru-RU"/>
              </w:rPr>
              <w:t xml:space="preserve"> 19.</w:t>
            </w:r>
            <w:r w:rsidR="008D7C62">
              <w:rPr>
                <w:rFonts w:ascii="Times New Roman" w:hAnsi="Times New Roman" w:cs="Times New Roman"/>
                <w:sz w:val="18"/>
                <w:szCs w:val="18"/>
              </w:rPr>
              <w:t>4.</w:t>
            </w:r>
            <w:r w:rsidR="008D7C62" w:rsidRPr="00B62669">
              <w:rPr>
                <w:rFonts w:ascii="Times New Roman" w:hAnsi="Times New Roman" w:cs="Times New Roman"/>
                <w:sz w:val="18"/>
                <w:szCs w:val="18"/>
                <w:lang w:val="ru-RU"/>
              </w:rPr>
              <w:t xml:space="preserve"> Ур</w:t>
            </w:r>
            <w:r>
              <w:rPr>
                <w:rFonts w:ascii="Times New Roman" w:hAnsi="Times New Roman" w:cs="Times New Roman"/>
                <w:sz w:val="18"/>
                <w:szCs w:val="18"/>
                <w:lang w:val="ru-RU"/>
              </w:rPr>
              <w:t>едбе 305/2011 (ЕУ) је пренет члан</w:t>
            </w:r>
            <w:r w:rsidR="008D7C62" w:rsidRPr="00B62669">
              <w:rPr>
                <w:rFonts w:ascii="Times New Roman" w:hAnsi="Times New Roman" w:cs="Times New Roman"/>
                <w:sz w:val="18"/>
                <w:szCs w:val="18"/>
                <w:lang w:val="ru-RU"/>
              </w:rPr>
              <w:t xml:space="preserve"> </w:t>
            </w:r>
            <w:r w:rsidR="008D7C62">
              <w:rPr>
                <w:rFonts w:ascii="Times New Roman" w:hAnsi="Times New Roman" w:cs="Times New Roman"/>
                <w:sz w:val="18"/>
                <w:szCs w:val="18"/>
              </w:rPr>
              <w:t>21</w:t>
            </w:r>
            <w:r w:rsidR="008D7C62" w:rsidRPr="00B62669">
              <w:rPr>
                <w:rFonts w:ascii="Times New Roman" w:hAnsi="Times New Roman" w:cs="Times New Roman"/>
                <w:sz w:val="18"/>
                <w:szCs w:val="18"/>
                <w:lang w:val="ru-RU"/>
              </w:rPr>
              <w:t>.</w:t>
            </w:r>
            <w:r w:rsidR="008D7C62">
              <w:rPr>
                <w:rFonts w:ascii="Times New Roman" w:hAnsi="Times New Roman" w:cs="Times New Roman"/>
                <w:sz w:val="18"/>
                <w:szCs w:val="18"/>
                <w:lang w:val="ru-RU"/>
              </w:rPr>
              <w:t xml:space="preserve"> </w:t>
            </w:r>
            <w:r>
              <w:rPr>
                <w:rFonts w:ascii="Times New Roman" w:hAnsi="Times New Roman" w:cs="Times New Roman"/>
                <w:sz w:val="18"/>
                <w:szCs w:val="18"/>
                <w:lang w:val="sr-Cyrl-CS"/>
              </w:rPr>
              <w:t>став</w:t>
            </w:r>
            <w:r w:rsidR="008D7C62">
              <w:rPr>
                <w:rFonts w:ascii="Times New Roman" w:hAnsi="Times New Roman" w:cs="Times New Roman"/>
                <w:sz w:val="18"/>
                <w:szCs w:val="18"/>
              </w:rPr>
              <w:t xml:space="preserve"> 2.</w:t>
            </w:r>
            <w:r w:rsidR="008D7C62" w:rsidRPr="00B62669">
              <w:rPr>
                <w:rFonts w:ascii="Times New Roman" w:hAnsi="Times New Roman" w:cs="Times New Roman"/>
                <w:sz w:val="18"/>
                <w:szCs w:val="18"/>
                <w:lang w:val="ru-RU"/>
              </w:rPr>
              <w:t xml:space="preserve"> </w:t>
            </w:r>
            <w:r w:rsidR="0073105A">
              <w:rPr>
                <w:rFonts w:ascii="Times New Roman" w:hAnsi="Times New Roman" w:cs="Times New Roman"/>
                <w:sz w:val="18"/>
                <w:szCs w:val="18"/>
                <w:lang w:val="ru-RU"/>
              </w:rPr>
              <w:t>Предлог</w:t>
            </w:r>
            <w:r w:rsidR="008D7C62" w:rsidRPr="00B62669">
              <w:rPr>
                <w:rFonts w:ascii="Times New Roman" w:hAnsi="Times New Roman" w:cs="Times New Roman"/>
                <w:sz w:val="18"/>
                <w:szCs w:val="18"/>
                <w:lang w:val="ru-RU"/>
              </w:rPr>
              <w:t>а закона о грађевинским производима у делу који се односи на израду националног документа за оцењивање. Потпуно усклађивање биће могуће након приступања ЕУ.</w:t>
            </w:r>
          </w:p>
        </w:tc>
        <w:tc>
          <w:tcPr>
            <w:tcW w:w="480" w:type="pct"/>
            <w:shd w:val="clear" w:color="auto" w:fill="auto"/>
            <w:vAlign w:val="center"/>
          </w:tcPr>
          <w:p w14:paraId="14B5329D" w14:textId="77777777" w:rsidR="000174C1" w:rsidRPr="00487209" w:rsidRDefault="000174C1" w:rsidP="006C6323">
            <w:pPr>
              <w:spacing w:before="120" w:after="120"/>
              <w:jc w:val="center"/>
              <w:rPr>
                <w:rFonts w:ascii="Times New Roman" w:hAnsi="Times New Roman" w:cs="Times New Roman"/>
                <w:sz w:val="18"/>
                <w:szCs w:val="18"/>
                <w:lang w:val="ru-RU"/>
              </w:rPr>
            </w:pPr>
          </w:p>
        </w:tc>
      </w:tr>
      <w:tr w:rsidR="00337554" w:rsidRPr="00487209" w14:paraId="0667DBD0" w14:textId="77777777" w:rsidTr="007D5144">
        <w:trPr>
          <w:trHeight w:val="1970"/>
          <w:jc w:val="center"/>
        </w:trPr>
        <w:tc>
          <w:tcPr>
            <w:tcW w:w="435" w:type="pct"/>
            <w:shd w:val="clear" w:color="auto" w:fill="auto"/>
            <w:vAlign w:val="center"/>
          </w:tcPr>
          <w:p w14:paraId="2D13F2C6"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20.1.(a)</w:t>
            </w:r>
          </w:p>
        </w:tc>
        <w:tc>
          <w:tcPr>
            <w:tcW w:w="1369" w:type="pct"/>
            <w:gridSpan w:val="2"/>
            <w:shd w:val="clear" w:color="auto" w:fill="auto"/>
            <w:vAlign w:val="center"/>
          </w:tcPr>
          <w:p w14:paraId="71555E75" w14:textId="77777777" w:rsidR="000174C1" w:rsidRPr="00487209" w:rsidRDefault="000174C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procedure for developing and adopting European Assessment Documents shall:</w:t>
            </w:r>
          </w:p>
          <w:p w14:paraId="7315A81C" w14:textId="77777777" w:rsidR="000174C1" w:rsidRPr="00487209" w:rsidRDefault="000174C1" w:rsidP="006C6323">
            <w:pPr>
              <w:pStyle w:val="ListParagraph"/>
              <w:numPr>
                <w:ilvl w:val="0"/>
                <w:numId w:val="16"/>
              </w:numPr>
              <w:jc w:val="both"/>
              <w:rPr>
                <w:sz w:val="18"/>
                <w:szCs w:val="18"/>
              </w:rPr>
            </w:pPr>
            <w:r w:rsidRPr="00487209">
              <w:rPr>
                <w:sz w:val="18"/>
                <w:szCs w:val="18"/>
              </w:rPr>
              <w:t>be transparent to the manufacturer concerned;</w:t>
            </w:r>
          </w:p>
          <w:p w14:paraId="20DF32E2" w14:textId="77777777" w:rsidR="000174C1" w:rsidRPr="00487209" w:rsidRDefault="000174C1" w:rsidP="006C6323">
            <w:pPr>
              <w:jc w:val="both"/>
              <w:rPr>
                <w:rFonts w:ascii="Times New Roman" w:hAnsi="Times New Roman" w:cs="Times New Roman"/>
                <w:sz w:val="18"/>
                <w:szCs w:val="18"/>
                <w:lang w:val="sr-Cyrl-CS"/>
              </w:rPr>
            </w:pPr>
          </w:p>
        </w:tc>
        <w:tc>
          <w:tcPr>
            <w:tcW w:w="429" w:type="pct"/>
            <w:shd w:val="clear" w:color="auto" w:fill="auto"/>
            <w:vAlign w:val="center"/>
          </w:tcPr>
          <w:p w14:paraId="308D782A" w14:textId="77777777" w:rsidR="000174C1" w:rsidRDefault="0053403F" w:rsidP="006C6323">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01</w:t>
            </w:r>
          </w:p>
          <w:p w14:paraId="2231D256" w14:textId="77777777" w:rsidR="0053403F" w:rsidRDefault="0053403F" w:rsidP="006C6323">
            <w:pPr>
              <w:spacing w:before="120" w:after="120"/>
              <w:ind w:firstLine="5"/>
              <w:jc w:val="center"/>
              <w:rPr>
                <w:rFonts w:ascii="Times New Roman" w:hAnsi="Times New Roman" w:cs="Times New Roman"/>
                <w:sz w:val="18"/>
                <w:szCs w:val="18"/>
                <w:lang w:val="ru-RU"/>
              </w:rPr>
            </w:pPr>
          </w:p>
          <w:p w14:paraId="4D53C50D" w14:textId="7497C06A" w:rsidR="0053403F" w:rsidRPr="00487209" w:rsidRDefault="0053403F" w:rsidP="0080494B">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2</w:t>
            </w:r>
            <w:r w:rsidR="0080494B">
              <w:rPr>
                <w:rFonts w:ascii="Times New Roman" w:hAnsi="Times New Roman" w:cs="Times New Roman"/>
                <w:sz w:val="18"/>
                <w:szCs w:val="18"/>
                <w:lang w:val="ru-RU"/>
              </w:rPr>
              <w:t>2</w:t>
            </w:r>
            <w:r>
              <w:rPr>
                <w:rFonts w:ascii="Times New Roman" w:hAnsi="Times New Roman" w:cs="Times New Roman"/>
                <w:sz w:val="18"/>
                <w:szCs w:val="18"/>
                <w:lang w:val="ru-RU"/>
              </w:rPr>
              <w:t>.1.1)</w:t>
            </w:r>
          </w:p>
        </w:tc>
        <w:tc>
          <w:tcPr>
            <w:tcW w:w="1231" w:type="pct"/>
            <w:gridSpan w:val="2"/>
            <w:shd w:val="clear" w:color="auto" w:fill="auto"/>
            <w:vAlign w:val="center"/>
          </w:tcPr>
          <w:p w14:paraId="592166C3" w14:textId="77777777" w:rsidR="00433651" w:rsidRPr="00433651" w:rsidRDefault="00433651" w:rsidP="009A0D2C">
            <w:pPr>
              <w:pStyle w:val="Style7"/>
              <w:spacing w:before="120" w:after="0" w:line="240" w:lineRule="auto"/>
              <w:ind w:left="36" w:right="-23"/>
              <w:jc w:val="both"/>
              <w:outlineLvl w:val="3"/>
              <w:rPr>
                <w:sz w:val="18"/>
                <w:szCs w:val="18"/>
              </w:rPr>
            </w:pPr>
            <w:r w:rsidRPr="00433651">
              <w:rPr>
                <w:sz w:val="18"/>
                <w:szCs w:val="18"/>
              </w:rPr>
              <w:t>Српски докуменат за оцењивање израђује се и доноси тако да:</w:t>
            </w:r>
          </w:p>
          <w:p w14:paraId="06D2349C" w14:textId="71702AF1" w:rsidR="000174C1" w:rsidRPr="00487209" w:rsidRDefault="00433651" w:rsidP="009A0D2C">
            <w:pPr>
              <w:pStyle w:val="Style7"/>
              <w:spacing w:before="120" w:after="0" w:line="240" w:lineRule="auto"/>
              <w:ind w:left="603" w:right="-23"/>
              <w:jc w:val="both"/>
              <w:outlineLvl w:val="3"/>
              <w:rPr>
                <w:sz w:val="18"/>
                <w:szCs w:val="18"/>
              </w:rPr>
            </w:pPr>
            <w:r w:rsidRPr="00433651">
              <w:rPr>
                <w:sz w:val="18"/>
                <w:szCs w:val="18"/>
              </w:rPr>
              <w:t>1)</w:t>
            </w:r>
            <w:r w:rsidRPr="00433651">
              <w:rPr>
                <w:sz w:val="18"/>
                <w:szCs w:val="18"/>
              </w:rPr>
              <w:tab/>
              <w:t>је транспарентан за произвођача на кога се односи;</w:t>
            </w:r>
          </w:p>
        </w:tc>
        <w:tc>
          <w:tcPr>
            <w:tcW w:w="458" w:type="pct"/>
            <w:shd w:val="clear" w:color="auto" w:fill="auto"/>
            <w:vAlign w:val="center"/>
          </w:tcPr>
          <w:p w14:paraId="4938EF15" w14:textId="48C6B2AF" w:rsidR="000174C1" w:rsidRPr="00545ABB" w:rsidRDefault="00433651" w:rsidP="006C6323">
            <w:pPr>
              <w:spacing w:before="120" w:after="120"/>
              <w:jc w:val="center"/>
              <w:rPr>
                <w:rFonts w:ascii="Times New Roman" w:hAnsi="Times New Roman" w:cs="Times New Roman"/>
                <w:sz w:val="18"/>
                <w:szCs w:val="18"/>
              </w:rPr>
            </w:pPr>
            <w:r w:rsidRPr="009A0D2C">
              <w:rPr>
                <w:rFonts w:ascii="Times New Roman" w:hAnsi="Times New Roman" w:cs="Times New Roman"/>
                <w:sz w:val="18"/>
                <w:szCs w:val="18"/>
              </w:rPr>
              <w:t>ДУ</w:t>
            </w:r>
          </w:p>
        </w:tc>
        <w:tc>
          <w:tcPr>
            <w:tcW w:w="598" w:type="pct"/>
            <w:gridSpan w:val="2"/>
            <w:shd w:val="clear" w:color="auto" w:fill="auto"/>
            <w:vAlign w:val="center"/>
          </w:tcPr>
          <w:p w14:paraId="2838CB20" w14:textId="30314B5F" w:rsidR="000174C1" w:rsidRPr="00487209" w:rsidRDefault="00605BA1" w:rsidP="00897FE1">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897FE1">
              <w:rPr>
                <w:rFonts w:ascii="Times New Roman" w:hAnsi="Times New Roman" w:cs="Times New Roman"/>
                <w:sz w:val="18"/>
                <w:szCs w:val="18"/>
                <w:lang w:val="ru-RU"/>
              </w:rPr>
              <w:t xml:space="preserve"> 20.1.(а) </w:t>
            </w:r>
            <w:r w:rsidR="00897FE1" w:rsidRPr="00B62669">
              <w:rPr>
                <w:rFonts w:ascii="Times New Roman" w:hAnsi="Times New Roman" w:cs="Times New Roman"/>
                <w:sz w:val="18"/>
                <w:szCs w:val="18"/>
                <w:lang w:val="ru-RU"/>
              </w:rPr>
              <w:t>Ур</w:t>
            </w:r>
            <w:r>
              <w:rPr>
                <w:rFonts w:ascii="Times New Roman" w:hAnsi="Times New Roman" w:cs="Times New Roman"/>
                <w:sz w:val="18"/>
                <w:szCs w:val="18"/>
                <w:lang w:val="ru-RU"/>
              </w:rPr>
              <w:t>едбе 305/2011 (ЕУ) је пренет члан</w:t>
            </w:r>
            <w:r w:rsidR="00897FE1" w:rsidRPr="00B62669">
              <w:rPr>
                <w:rFonts w:ascii="Times New Roman" w:hAnsi="Times New Roman" w:cs="Times New Roman"/>
                <w:sz w:val="18"/>
                <w:szCs w:val="18"/>
                <w:lang w:val="ru-RU"/>
              </w:rPr>
              <w:t xml:space="preserve"> </w:t>
            </w:r>
            <w:r w:rsidR="00897FE1">
              <w:rPr>
                <w:rFonts w:ascii="Times New Roman" w:hAnsi="Times New Roman" w:cs="Times New Roman"/>
                <w:sz w:val="18"/>
                <w:szCs w:val="18"/>
              </w:rPr>
              <w:t>22</w:t>
            </w:r>
            <w:r w:rsidR="00897FE1" w:rsidRPr="00B62669">
              <w:rPr>
                <w:rFonts w:ascii="Times New Roman" w:hAnsi="Times New Roman" w:cs="Times New Roman"/>
                <w:sz w:val="18"/>
                <w:szCs w:val="18"/>
                <w:lang w:val="ru-RU"/>
              </w:rPr>
              <w:t>.</w:t>
            </w:r>
            <w:r>
              <w:rPr>
                <w:rFonts w:ascii="Times New Roman" w:hAnsi="Times New Roman" w:cs="Times New Roman"/>
                <w:sz w:val="18"/>
                <w:szCs w:val="18"/>
                <w:lang w:val="sr-Cyrl-CS"/>
              </w:rPr>
              <w:t xml:space="preserve"> став</w:t>
            </w:r>
            <w:r w:rsidR="001736AC">
              <w:rPr>
                <w:rFonts w:ascii="Times New Roman" w:hAnsi="Times New Roman" w:cs="Times New Roman"/>
                <w:sz w:val="18"/>
                <w:szCs w:val="18"/>
                <w:lang w:val="sr-Cyrl-CS"/>
              </w:rPr>
              <w:t xml:space="preserve"> </w:t>
            </w:r>
            <w:r w:rsidR="001736AC" w:rsidRPr="00C6797A">
              <w:rPr>
                <w:rFonts w:ascii="Times New Roman" w:hAnsi="Times New Roman" w:cs="Times New Roman"/>
                <w:sz w:val="18"/>
                <w:szCs w:val="18"/>
                <w:lang w:val="sr-Cyrl-CS"/>
              </w:rPr>
              <w:t>1.</w:t>
            </w:r>
            <w:r>
              <w:rPr>
                <w:rFonts w:ascii="Times New Roman" w:hAnsi="Times New Roman" w:cs="Times New Roman"/>
                <w:sz w:val="18"/>
                <w:szCs w:val="18"/>
                <w:lang w:val="sr-Cyrl-CS"/>
              </w:rPr>
              <w:t xml:space="preserve"> тачка</w:t>
            </w:r>
            <w:r w:rsidR="001736AC">
              <w:rPr>
                <w:rFonts w:ascii="Times New Roman" w:hAnsi="Times New Roman" w:cs="Times New Roman"/>
                <w:sz w:val="18"/>
                <w:szCs w:val="18"/>
                <w:lang w:val="sr-Cyrl-CS"/>
              </w:rPr>
              <w:t xml:space="preserve"> </w:t>
            </w:r>
            <w:r w:rsidR="00897FE1">
              <w:rPr>
                <w:rFonts w:ascii="Times New Roman" w:hAnsi="Times New Roman" w:cs="Times New Roman"/>
                <w:sz w:val="18"/>
                <w:szCs w:val="18"/>
                <w:lang w:val="ru-RU"/>
              </w:rPr>
              <w:t>1)</w:t>
            </w:r>
            <w:r w:rsidR="00897FE1" w:rsidRPr="00B62669">
              <w:rPr>
                <w:rFonts w:ascii="Times New Roman" w:hAnsi="Times New Roman" w:cs="Times New Roman"/>
                <w:sz w:val="18"/>
                <w:szCs w:val="18"/>
                <w:lang w:val="ru-RU"/>
              </w:rPr>
              <w:t xml:space="preserve"> </w:t>
            </w:r>
            <w:r w:rsidR="0073105A">
              <w:rPr>
                <w:rFonts w:ascii="Times New Roman" w:hAnsi="Times New Roman" w:cs="Times New Roman"/>
                <w:sz w:val="18"/>
                <w:szCs w:val="18"/>
                <w:lang w:val="ru-RU"/>
              </w:rPr>
              <w:t>Предлог</w:t>
            </w:r>
            <w:r w:rsidR="00897FE1" w:rsidRPr="00B62669">
              <w:rPr>
                <w:rFonts w:ascii="Times New Roman" w:hAnsi="Times New Roman" w:cs="Times New Roman"/>
                <w:sz w:val="18"/>
                <w:szCs w:val="18"/>
                <w:lang w:val="ru-RU"/>
              </w:rPr>
              <w:t xml:space="preserve">а закона о грађевинским производима у делу који се односи на израду националног документа за оцењивање. </w:t>
            </w:r>
            <w:r w:rsidR="00897FE1" w:rsidRPr="00B62669">
              <w:rPr>
                <w:rFonts w:ascii="Times New Roman" w:hAnsi="Times New Roman" w:cs="Times New Roman"/>
                <w:sz w:val="18"/>
                <w:szCs w:val="18"/>
                <w:lang w:val="ru-RU"/>
              </w:rPr>
              <w:lastRenderedPageBreak/>
              <w:t>Потпуно усклађивање биће могуће након приступања ЕУ.</w:t>
            </w:r>
          </w:p>
        </w:tc>
        <w:tc>
          <w:tcPr>
            <w:tcW w:w="480" w:type="pct"/>
            <w:shd w:val="clear" w:color="auto" w:fill="auto"/>
            <w:vAlign w:val="center"/>
          </w:tcPr>
          <w:p w14:paraId="25D563F1" w14:textId="77777777" w:rsidR="000174C1" w:rsidRPr="00487209" w:rsidRDefault="000174C1" w:rsidP="006C6323">
            <w:pPr>
              <w:spacing w:before="120" w:after="120"/>
              <w:jc w:val="center"/>
              <w:rPr>
                <w:rFonts w:ascii="Times New Roman" w:hAnsi="Times New Roman" w:cs="Times New Roman"/>
                <w:sz w:val="18"/>
                <w:szCs w:val="18"/>
                <w:lang w:val="ru-RU"/>
              </w:rPr>
            </w:pPr>
          </w:p>
        </w:tc>
      </w:tr>
      <w:tr w:rsidR="00337554" w:rsidRPr="00487209" w14:paraId="14C705AE" w14:textId="77777777" w:rsidTr="007D5144">
        <w:trPr>
          <w:trHeight w:val="1970"/>
          <w:jc w:val="center"/>
        </w:trPr>
        <w:tc>
          <w:tcPr>
            <w:tcW w:w="435" w:type="pct"/>
            <w:shd w:val="clear" w:color="auto" w:fill="auto"/>
            <w:vAlign w:val="center"/>
          </w:tcPr>
          <w:p w14:paraId="59686412" w14:textId="77777777" w:rsidR="00B1546A" w:rsidRPr="00487209" w:rsidRDefault="00B1546A" w:rsidP="00B1546A">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20.1.(b)</w:t>
            </w:r>
          </w:p>
        </w:tc>
        <w:tc>
          <w:tcPr>
            <w:tcW w:w="1369" w:type="pct"/>
            <w:gridSpan w:val="2"/>
            <w:shd w:val="clear" w:color="auto" w:fill="auto"/>
            <w:vAlign w:val="center"/>
          </w:tcPr>
          <w:p w14:paraId="14D3F882" w14:textId="77777777" w:rsidR="00B1546A" w:rsidRPr="00487209" w:rsidRDefault="00B1546A" w:rsidP="00B1546A">
            <w:pPr>
              <w:jc w:val="both"/>
              <w:rPr>
                <w:rFonts w:ascii="Times New Roman" w:hAnsi="Times New Roman" w:cs="Times New Roman"/>
                <w:sz w:val="18"/>
                <w:szCs w:val="18"/>
              </w:rPr>
            </w:pPr>
            <w:r w:rsidRPr="00487209">
              <w:rPr>
                <w:rFonts w:ascii="Times New Roman" w:hAnsi="Times New Roman" w:cs="Times New Roman"/>
                <w:sz w:val="18"/>
                <w:szCs w:val="18"/>
              </w:rPr>
              <w:t>define appropriate mandatory time limits in order to avoid unjustified delay;</w:t>
            </w:r>
          </w:p>
        </w:tc>
        <w:tc>
          <w:tcPr>
            <w:tcW w:w="429" w:type="pct"/>
            <w:shd w:val="clear" w:color="auto" w:fill="auto"/>
            <w:vAlign w:val="center"/>
          </w:tcPr>
          <w:p w14:paraId="048DCA49" w14:textId="77777777" w:rsidR="0053403F" w:rsidRDefault="0053403F" w:rsidP="0053403F">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01</w:t>
            </w:r>
          </w:p>
          <w:p w14:paraId="4E960266" w14:textId="77777777" w:rsidR="0053403F" w:rsidRDefault="0053403F" w:rsidP="0053403F">
            <w:pPr>
              <w:spacing w:before="120" w:after="120"/>
              <w:ind w:firstLine="5"/>
              <w:jc w:val="center"/>
              <w:rPr>
                <w:rFonts w:ascii="Times New Roman" w:hAnsi="Times New Roman" w:cs="Times New Roman"/>
                <w:sz w:val="18"/>
                <w:szCs w:val="18"/>
                <w:lang w:val="ru-RU"/>
              </w:rPr>
            </w:pPr>
          </w:p>
          <w:p w14:paraId="1EC786D4" w14:textId="63D48586" w:rsidR="00B1546A" w:rsidRPr="00487209" w:rsidRDefault="0053403F" w:rsidP="0080494B">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2</w:t>
            </w:r>
            <w:r w:rsidR="0080494B">
              <w:rPr>
                <w:rFonts w:ascii="Times New Roman" w:hAnsi="Times New Roman" w:cs="Times New Roman"/>
                <w:sz w:val="18"/>
                <w:szCs w:val="18"/>
                <w:lang w:val="ru-RU"/>
              </w:rPr>
              <w:t>2</w:t>
            </w:r>
            <w:r>
              <w:rPr>
                <w:rFonts w:ascii="Times New Roman" w:hAnsi="Times New Roman" w:cs="Times New Roman"/>
                <w:sz w:val="18"/>
                <w:szCs w:val="18"/>
                <w:lang w:val="ru-RU"/>
              </w:rPr>
              <w:t>.1.2)</w:t>
            </w:r>
          </w:p>
        </w:tc>
        <w:tc>
          <w:tcPr>
            <w:tcW w:w="1231" w:type="pct"/>
            <w:gridSpan w:val="2"/>
            <w:shd w:val="clear" w:color="auto" w:fill="auto"/>
            <w:vAlign w:val="center"/>
          </w:tcPr>
          <w:p w14:paraId="678C46C9" w14:textId="77DE03A9" w:rsidR="00B1546A" w:rsidRPr="00487209" w:rsidRDefault="00433651" w:rsidP="009A0D2C">
            <w:pPr>
              <w:pStyle w:val="Style7"/>
              <w:spacing w:before="120" w:after="0" w:line="240" w:lineRule="auto"/>
              <w:ind w:left="603" w:right="-23"/>
              <w:jc w:val="both"/>
              <w:outlineLvl w:val="3"/>
              <w:rPr>
                <w:sz w:val="18"/>
                <w:szCs w:val="18"/>
              </w:rPr>
            </w:pPr>
            <w:r w:rsidRPr="00433651">
              <w:rPr>
                <w:sz w:val="18"/>
                <w:szCs w:val="18"/>
              </w:rPr>
              <w:t>2)</w:t>
            </w:r>
            <w:r w:rsidRPr="00433651">
              <w:rPr>
                <w:sz w:val="18"/>
                <w:szCs w:val="18"/>
              </w:rPr>
              <w:tab/>
              <w:t>дефинишe одговарајућe обавезнe рокове за израду како би се избегло неоправдано кашњење;</w:t>
            </w:r>
          </w:p>
        </w:tc>
        <w:tc>
          <w:tcPr>
            <w:tcW w:w="458" w:type="pct"/>
            <w:shd w:val="clear" w:color="auto" w:fill="auto"/>
            <w:vAlign w:val="center"/>
          </w:tcPr>
          <w:p w14:paraId="0B8469B6" w14:textId="65026FC8" w:rsidR="00B1546A" w:rsidRPr="00545ABB" w:rsidRDefault="00433651" w:rsidP="00B1546A">
            <w:pPr>
              <w:spacing w:before="120" w:after="120"/>
              <w:jc w:val="center"/>
              <w:rPr>
                <w:rFonts w:ascii="Times New Roman" w:hAnsi="Times New Roman" w:cs="Times New Roman"/>
                <w:sz w:val="18"/>
                <w:szCs w:val="18"/>
              </w:rPr>
            </w:pPr>
            <w:r w:rsidRPr="009A0D2C">
              <w:rPr>
                <w:rFonts w:ascii="Times New Roman" w:hAnsi="Times New Roman" w:cs="Times New Roman"/>
                <w:sz w:val="18"/>
                <w:szCs w:val="18"/>
              </w:rPr>
              <w:t>ДУ</w:t>
            </w:r>
          </w:p>
        </w:tc>
        <w:tc>
          <w:tcPr>
            <w:tcW w:w="598" w:type="pct"/>
            <w:gridSpan w:val="2"/>
            <w:shd w:val="clear" w:color="auto" w:fill="auto"/>
            <w:vAlign w:val="center"/>
          </w:tcPr>
          <w:p w14:paraId="71D812AD" w14:textId="41161BBE" w:rsidR="00B1546A" w:rsidRPr="00487209" w:rsidRDefault="00605BA1" w:rsidP="00605BA1">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897FE1">
              <w:rPr>
                <w:rFonts w:ascii="Times New Roman" w:hAnsi="Times New Roman" w:cs="Times New Roman"/>
                <w:sz w:val="18"/>
                <w:szCs w:val="18"/>
                <w:lang w:val="ru-RU"/>
              </w:rPr>
              <w:t xml:space="preserve"> 20.1.(</w:t>
            </w:r>
            <w:r w:rsidR="00897FE1">
              <w:rPr>
                <w:rFonts w:ascii="Times New Roman" w:hAnsi="Times New Roman" w:cs="Times New Roman"/>
                <w:sz w:val="18"/>
                <w:szCs w:val="18"/>
              </w:rPr>
              <w:t>b</w:t>
            </w:r>
            <w:r w:rsidR="00897FE1">
              <w:rPr>
                <w:rFonts w:ascii="Times New Roman" w:hAnsi="Times New Roman" w:cs="Times New Roman"/>
                <w:sz w:val="18"/>
                <w:szCs w:val="18"/>
                <w:lang w:val="ru-RU"/>
              </w:rPr>
              <w:t xml:space="preserve">) </w:t>
            </w:r>
            <w:r w:rsidR="00897FE1" w:rsidRPr="00B62669">
              <w:rPr>
                <w:rFonts w:ascii="Times New Roman" w:hAnsi="Times New Roman" w:cs="Times New Roman"/>
                <w:sz w:val="18"/>
                <w:szCs w:val="18"/>
                <w:lang w:val="ru-RU"/>
              </w:rPr>
              <w:t>Ур</w:t>
            </w:r>
            <w:r>
              <w:rPr>
                <w:rFonts w:ascii="Times New Roman" w:hAnsi="Times New Roman" w:cs="Times New Roman"/>
                <w:sz w:val="18"/>
                <w:szCs w:val="18"/>
                <w:lang w:val="ru-RU"/>
              </w:rPr>
              <w:t>едбе 305/2011 (ЕУ) је пренет члан</w:t>
            </w:r>
            <w:r w:rsidR="00897FE1" w:rsidRPr="00B62669">
              <w:rPr>
                <w:rFonts w:ascii="Times New Roman" w:hAnsi="Times New Roman" w:cs="Times New Roman"/>
                <w:sz w:val="18"/>
                <w:szCs w:val="18"/>
                <w:lang w:val="ru-RU"/>
              </w:rPr>
              <w:t xml:space="preserve"> </w:t>
            </w:r>
            <w:r w:rsidR="00897FE1">
              <w:rPr>
                <w:rFonts w:ascii="Times New Roman" w:hAnsi="Times New Roman" w:cs="Times New Roman"/>
                <w:sz w:val="18"/>
                <w:szCs w:val="18"/>
              </w:rPr>
              <w:t>22</w:t>
            </w:r>
            <w:r w:rsidR="00897FE1" w:rsidRPr="00B62669">
              <w:rPr>
                <w:rFonts w:ascii="Times New Roman" w:hAnsi="Times New Roman" w:cs="Times New Roman"/>
                <w:sz w:val="18"/>
                <w:szCs w:val="18"/>
                <w:lang w:val="ru-RU"/>
              </w:rPr>
              <w:t>.</w:t>
            </w:r>
            <w:r>
              <w:rPr>
                <w:rFonts w:ascii="Times New Roman" w:hAnsi="Times New Roman" w:cs="Times New Roman"/>
                <w:sz w:val="18"/>
                <w:szCs w:val="18"/>
                <w:lang w:val="sr-Cyrl-CS"/>
              </w:rPr>
              <w:t xml:space="preserve"> став</w:t>
            </w:r>
            <w:r w:rsidR="001736AC">
              <w:rPr>
                <w:rFonts w:ascii="Times New Roman" w:hAnsi="Times New Roman" w:cs="Times New Roman"/>
                <w:sz w:val="18"/>
                <w:szCs w:val="18"/>
                <w:lang w:val="sr-Cyrl-CS"/>
              </w:rPr>
              <w:t xml:space="preserve"> </w:t>
            </w:r>
            <w:r w:rsidR="001736AC" w:rsidRPr="00C6797A">
              <w:rPr>
                <w:rFonts w:ascii="Times New Roman" w:hAnsi="Times New Roman" w:cs="Times New Roman"/>
                <w:sz w:val="18"/>
                <w:szCs w:val="18"/>
                <w:lang w:val="sr-Cyrl-CS"/>
              </w:rPr>
              <w:t>1.</w:t>
            </w:r>
            <w:r w:rsidR="001736AC">
              <w:rPr>
                <w:rFonts w:ascii="Times New Roman" w:hAnsi="Times New Roman" w:cs="Times New Roman"/>
                <w:sz w:val="18"/>
                <w:szCs w:val="18"/>
                <w:lang w:val="sr-Cyrl-CS"/>
              </w:rPr>
              <w:t xml:space="preserve"> тач</w:t>
            </w:r>
            <w:r>
              <w:rPr>
                <w:rFonts w:ascii="Times New Roman" w:hAnsi="Times New Roman" w:cs="Times New Roman"/>
                <w:sz w:val="18"/>
                <w:szCs w:val="18"/>
                <w:lang w:val="sr-Cyrl-CS"/>
              </w:rPr>
              <w:t>ка</w:t>
            </w:r>
            <w:r w:rsidR="001736AC">
              <w:rPr>
                <w:rFonts w:ascii="Times New Roman" w:hAnsi="Times New Roman" w:cs="Times New Roman"/>
                <w:sz w:val="18"/>
                <w:szCs w:val="18"/>
                <w:lang w:val="sr-Cyrl-CS"/>
              </w:rPr>
              <w:t xml:space="preserve"> </w:t>
            </w:r>
            <w:r w:rsidR="00897FE1">
              <w:rPr>
                <w:rFonts w:ascii="Times New Roman" w:hAnsi="Times New Roman" w:cs="Times New Roman"/>
                <w:sz w:val="18"/>
                <w:szCs w:val="18"/>
              </w:rPr>
              <w:t>2</w:t>
            </w:r>
            <w:r w:rsidR="00897FE1">
              <w:rPr>
                <w:rFonts w:ascii="Times New Roman" w:hAnsi="Times New Roman" w:cs="Times New Roman"/>
                <w:sz w:val="18"/>
                <w:szCs w:val="18"/>
                <w:lang w:val="ru-RU"/>
              </w:rPr>
              <w:t>)</w:t>
            </w:r>
            <w:r w:rsidR="00897FE1" w:rsidRPr="00B62669">
              <w:rPr>
                <w:rFonts w:ascii="Times New Roman" w:hAnsi="Times New Roman" w:cs="Times New Roman"/>
                <w:sz w:val="18"/>
                <w:szCs w:val="18"/>
                <w:lang w:val="ru-RU"/>
              </w:rPr>
              <w:t xml:space="preserve"> </w:t>
            </w:r>
            <w:r w:rsidR="0073105A">
              <w:rPr>
                <w:rFonts w:ascii="Times New Roman" w:hAnsi="Times New Roman" w:cs="Times New Roman"/>
                <w:sz w:val="18"/>
                <w:szCs w:val="18"/>
                <w:lang w:val="ru-RU"/>
              </w:rPr>
              <w:t>Предлог</w:t>
            </w:r>
            <w:r w:rsidR="00897FE1" w:rsidRPr="00B62669">
              <w:rPr>
                <w:rFonts w:ascii="Times New Roman" w:hAnsi="Times New Roman" w:cs="Times New Roman"/>
                <w:sz w:val="18"/>
                <w:szCs w:val="18"/>
                <w:lang w:val="ru-RU"/>
              </w:rPr>
              <w:t>а закона о грађевинским производима у делу који се односи на израду националног документа за оцењивање. Потпуно усклађивање биће могуће након приступања ЕУ.</w:t>
            </w:r>
          </w:p>
        </w:tc>
        <w:tc>
          <w:tcPr>
            <w:tcW w:w="480" w:type="pct"/>
            <w:shd w:val="clear" w:color="auto" w:fill="auto"/>
            <w:vAlign w:val="center"/>
          </w:tcPr>
          <w:p w14:paraId="09517375" w14:textId="77777777" w:rsidR="00B1546A" w:rsidRPr="00487209" w:rsidRDefault="00B1546A" w:rsidP="00B1546A">
            <w:pPr>
              <w:spacing w:before="120" w:after="120"/>
              <w:jc w:val="center"/>
              <w:rPr>
                <w:rFonts w:ascii="Times New Roman" w:hAnsi="Times New Roman" w:cs="Times New Roman"/>
                <w:sz w:val="18"/>
                <w:szCs w:val="18"/>
              </w:rPr>
            </w:pPr>
          </w:p>
        </w:tc>
      </w:tr>
      <w:tr w:rsidR="00337554" w:rsidRPr="00487209" w14:paraId="0C99F7C0" w14:textId="77777777" w:rsidTr="007D5144">
        <w:trPr>
          <w:trHeight w:val="1970"/>
          <w:jc w:val="center"/>
        </w:trPr>
        <w:tc>
          <w:tcPr>
            <w:tcW w:w="435" w:type="pct"/>
            <w:shd w:val="clear" w:color="auto" w:fill="auto"/>
            <w:vAlign w:val="center"/>
          </w:tcPr>
          <w:p w14:paraId="3231A433" w14:textId="77777777" w:rsidR="00B1546A" w:rsidRPr="00487209" w:rsidRDefault="00B1546A" w:rsidP="00B1546A">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20.1.(c)</w:t>
            </w:r>
          </w:p>
        </w:tc>
        <w:tc>
          <w:tcPr>
            <w:tcW w:w="1369" w:type="pct"/>
            <w:gridSpan w:val="2"/>
            <w:shd w:val="clear" w:color="auto" w:fill="auto"/>
            <w:vAlign w:val="center"/>
          </w:tcPr>
          <w:p w14:paraId="35751703" w14:textId="77777777" w:rsidR="00B1546A" w:rsidRPr="00487209" w:rsidRDefault="00B1546A" w:rsidP="00B1546A">
            <w:pPr>
              <w:jc w:val="both"/>
              <w:rPr>
                <w:rFonts w:ascii="Times New Roman" w:hAnsi="Times New Roman" w:cs="Times New Roman"/>
                <w:sz w:val="18"/>
                <w:szCs w:val="18"/>
              </w:rPr>
            </w:pPr>
            <w:r w:rsidRPr="00487209">
              <w:rPr>
                <w:rFonts w:ascii="Times New Roman" w:hAnsi="Times New Roman" w:cs="Times New Roman"/>
                <w:sz w:val="18"/>
                <w:szCs w:val="18"/>
              </w:rPr>
              <w:t>take appropriately into account the protection of commercial secrecy and confidentiality;</w:t>
            </w:r>
          </w:p>
        </w:tc>
        <w:tc>
          <w:tcPr>
            <w:tcW w:w="429" w:type="pct"/>
            <w:shd w:val="clear" w:color="auto" w:fill="auto"/>
            <w:vAlign w:val="center"/>
          </w:tcPr>
          <w:p w14:paraId="13565A4A" w14:textId="77777777" w:rsidR="0053403F" w:rsidRDefault="0053403F" w:rsidP="0053403F">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01</w:t>
            </w:r>
          </w:p>
          <w:p w14:paraId="72D277B6" w14:textId="77777777" w:rsidR="0053403F" w:rsidRDefault="0053403F" w:rsidP="0053403F">
            <w:pPr>
              <w:spacing w:before="120" w:after="120"/>
              <w:ind w:firstLine="5"/>
              <w:jc w:val="center"/>
              <w:rPr>
                <w:rFonts w:ascii="Times New Roman" w:hAnsi="Times New Roman" w:cs="Times New Roman"/>
                <w:sz w:val="18"/>
                <w:szCs w:val="18"/>
                <w:lang w:val="ru-RU"/>
              </w:rPr>
            </w:pPr>
          </w:p>
          <w:p w14:paraId="7C7F03E5" w14:textId="1D71EDFC" w:rsidR="00B1546A" w:rsidRPr="00487209" w:rsidRDefault="0053403F" w:rsidP="0080494B">
            <w:pPr>
              <w:jc w:val="center"/>
              <w:rPr>
                <w:rFonts w:ascii="Times New Roman" w:hAnsi="Times New Roman" w:cs="Times New Roman"/>
                <w:sz w:val="18"/>
                <w:szCs w:val="18"/>
              </w:rPr>
            </w:pPr>
            <w:r>
              <w:rPr>
                <w:rFonts w:ascii="Times New Roman" w:hAnsi="Times New Roman" w:cs="Times New Roman"/>
                <w:sz w:val="18"/>
                <w:szCs w:val="18"/>
                <w:lang w:val="ru-RU"/>
              </w:rPr>
              <w:t>2</w:t>
            </w:r>
            <w:r w:rsidR="0080494B">
              <w:rPr>
                <w:rFonts w:ascii="Times New Roman" w:hAnsi="Times New Roman" w:cs="Times New Roman"/>
                <w:sz w:val="18"/>
                <w:szCs w:val="18"/>
                <w:lang w:val="ru-RU"/>
              </w:rPr>
              <w:t>2</w:t>
            </w:r>
            <w:r>
              <w:rPr>
                <w:rFonts w:ascii="Times New Roman" w:hAnsi="Times New Roman" w:cs="Times New Roman"/>
                <w:sz w:val="18"/>
                <w:szCs w:val="18"/>
                <w:lang w:val="ru-RU"/>
              </w:rPr>
              <w:t>.1.3)</w:t>
            </w:r>
          </w:p>
        </w:tc>
        <w:tc>
          <w:tcPr>
            <w:tcW w:w="1231" w:type="pct"/>
            <w:gridSpan w:val="2"/>
            <w:shd w:val="clear" w:color="auto" w:fill="auto"/>
            <w:vAlign w:val="center"/>
          </w:tcPr>
          <w:p w14:paraId="45004878" w14:textId="4542EEC4" w:rsidR="00B1546A" w:rsidRPr="00487209" w:rsidRDefault="00433651" w:rsidP="009A0D2C">
            <w:pPr>
              <w:pStyle w:val="Style7"/>
              <w:spacing w:before="120" w:after="0" w:line="240" w:lineRule="auto"/>
              <w:ind w:left="603" w:right="-23"/>
              <w:jc w:val="both"/>
              <w:outlineLvl w:val="3"/>
              <w:rPr>
                <w:sz w:val="18"/>
                <w:szCs w:val="18"/>
              </w:rPr>
            </w:pPr>
            <w:r w:rsidRPr="00433651">
              <w:rPr>
                <w:sz w:val="18"/>
                <w:szCs w:val="18"/>
              </w:rPr>
              <w:t>3)</w:t>
            </w:r>
            <w:r w:rsidRPr="00433651">
              <w:rPr>
                <w:sz w:val="18"/>
                <w:szCs w:val="18"/>
              </w:rPr>
              <w:tab/>
              <w:t>на одговарајући начин узима у обзир заштиту пословне тајне и поверљивости;</w:t>
            </w:r>
          </w:p>
        </w:tc>
        <w:tc>
          <w:tcPr>
            <w:tcW w:w="458" w:type="pct"/>
            <w:shd w:val="clear" w:color="auto" w:fill="auto"/>
            <w:vAlign w:val="center"/>
          </w:tcPr>
          <w:p w14:paraId="36E8F1F8" w14:textId="47C88BF2" w:rsidR="00B1546A" w:rsidRPr="00545ABB" w:rsidRDefault="00433651" w:rsidP="00B1546A">
            <w:pPr>
              <w:spacing w:before="120" w:after="120"/>
              <w:jc w:val="center"/>
              <w:rPr>
                <w:rFonts w:ascii="Times New Roman" w:hAnsi="Times New Roman" w:cs="Times New Roman"/>
                <w:sz w:val="18"/>
                <w:szCs w:val="18"/>
              </w:rPr>
            </w:pPr>
            <w:r w:rsidRPr="009A0D2C">
              <w:rPr>
                <w:rFonts w:ascii="Times New Roman" w:hAnsi="Times New Roman" w:cs="Times New Roman"/>
                <w:sz w:val="18"/>
                <w:szCs w:val="18"/>
              </w:rPr>
              <w:t>ДУ</w:t>
            </w:r>
          </w:p>
        </w:tc>
        <w:tc>
          <w:tcPr>
            <w:tcW w:w="598" w:type="pct"/>
            <w:gridSpan w:val="2"/>
            <w:shd w:val="clear" w:color="auto" w:fill="auto"/>
            <w:vAlign w:val="center"/>
          </w:tcPr>
          <w:p w14:paraId="219790C9" w14:textId="3AD040A6" w:rsidR="00B1546A" w:rsidRPr="00487209" w:rsidRDefault="00EC462C" w:rsidP="00897FE1">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897FE1">
              <w:rPr>
                <w:rFonts w:ascii="Times New Roman" w:hAnsi="Times New Roman" w:cs="Times New Roman"/>
                <w:sz w:val="18"/>
                <w:szCs w:val="18"/>
                <w:lang w:val="ru-RU"/>
              </w:rPr>
              <w:t xml:space="preserve"> 20.1.(</w:t>
            </w:r>
            <w:r w:rsidR="00897FE1">
              <w:rPr>
                <w:rFonts w:ascii="Times New Roman" w:hAnsi="Times New Roman" w:cs="Times New Roman"/>
                <w:sz w:val="18"/>
                <w:szCs w:val="18"/>
              </w:rPr>
              <w:t>c</w:t>
            </w:r>
            <w:r w:rsidR="00897FE1">
              <w:rPr>
                <w:rFonts w:ascii="Times New Roman" w:hAnsi="Times New Roman" w:cs="Times New Roman"/>
                <w:sz w:val="18"/>
                <w:szCs w:val="18"/>
                <w:lang w:val="ru-RU"/>
              </w:rPr>
              <w:t xml:space="preserve">) </w:t>
            </w:r>
            <w:r w:rsidR="00897FE1" w:rsidRPr="00B62669">
              <w:rPr>
                <w:rFonts w:ascii="Times New Roman" w:hAnsi="Times New Roman" w:cs="Times New Roman"/>
                <w:sz w:val="18"/>
                <w:szCs w:val="18"/>
                <w:lang w:val="ru-RU"/>
              </w:rPr>
              <w:t>Уредбе 305/20</w:t>
            </w:r>
            <w:r>
              <w:rPr>
                <w:rFonts w:ascii="Times New Roman" w:hAnsi="Times New Roman" w:cs="Times New Roman"/>
                <w:sz w:val="18"/>
                <w:szCs w:val="18"/>
                <w:lang w:val="ru-RU"/>
              </w:rPr>
              <w:t>11 (ЕУ) је пренет члан</w:t>
            </w:r>
            <w:r w:rsidR="00897FE1" w:rsidRPr="00B62669">
              <w:rPr>
                <w:rFonts w:ascii="Times New Roman" w:hAnsi="Times New Roman" w:cs="Times New Roman"/>
                <w:sz w:val="18"/>
                <w:szCs w:val="18"/>
                <w:lang w:val="ru-RU"/>
              </w:rPr>
              <w:t xml:space="preserve"> </w:t>
            </w:r>
            <w:r w:rsidR="00897FE1">
              <w:rPr>
                <w:rFonts w:ascii="Times New Roman" w:hAnsi="Times New Roman" w:cs="Times New Roman"/>
                <w:sz w:val="18"/>
                <w:szCs w:val="18"/>
              </w:rPr>
              <w:t>22</w:t>
            </w:r>
            <w:r w:rsidR="00897FE1" w:rsidRPr="00B62669">
              <w:rPr>
                <w:rFonts w:ascii="Times New Roman" w:hAnsi="Times New Roman" w:cs="Times New Roman"/>
                <w:sz w:val="18"/>
                <w:szCs w:val="18"/>
                <w:lang w:val="ru-RU"/>
              </w:rPr>
              <w:t>.</w:t>
            </w:r>
            <w:r>
              <w:rPr>
                <w:rFonts w:ascii="Times New Roman" w:hAnsi="Times New Roman" w:cs="Times New Roman"/>
                <w:sz w:val="18"/>
                <w:szCs w:val="18"/>
                <w:lang w:val="sr-Cyrl-CS"/>
              </w:rPr>
              <w:t xml:space="preserve"> став</w:t>
            </w:r>
            <w:r w:rsidR="001736AC">
              <w:rPr>
                <w:rFonts w:ascii="Times New Roman" w:hAnsi="Times New Roman" w:cs="Times New Roman"/>
                <w:sz w:val="18"/>
                <w:szCs w:val="18"/>
                <w:lang w:val="sr-Cyrl-CS"/>
              </w:rPr>
              <w:t xml:space="preserve"> </w:t>
            </w:r>
            <w:r w:rsidR="001736AC" w:rsidRPr="00C6797A">
              <w:rPr>
                <w:rFonts w:ascii="Times New Roman" w:hAnsi="Times New Roman" w:cs="Times New Roman"/>
                <w:sz w:val="18"/>
                <w:szCs w:val="18"/>
                <w:lang w:val="sr-Cyrl-CS"/>
              </w:rPr>
              <w:t>1.</w:t>
            </w:r>
            <w:r>
              <w:rPr>
                <w:rFonts w:ascii="Times New Roman" w:hAnsi="Times New Roman" w:cs="Times New Roman"/>
                <w:sz w:val="18"/>
                <w:szCs w:val="18"/>
                <w:lang w:val="sr-Cyrl-CS"/>
              </w:rPr>
              <w:t xml:space="preserve"> тачка</w:t>
            </w:r>
            <w:r w:rsidR="001736AC">
              <w:rPr>
                <w:rFonts w:ascii="Times New Roman" w:hAnsi="Times New Roman" w:cs="Times New Roman"/>
                <w:sz w:val="18"/>
                <w:szCs w:val="18"/>
                <w:lang w:val="sr-Cyrl-CS"/>
              </w:rPr>
              <w:t xml:space="preserve"> </w:t>
            </w:r>
            <w:r w:rsidR="00897FE1">
              <w:rPr>
                <w:rFonts w:ascii="Times New Roman" w:hAnsi="Times New Roman" w:cs="Times New Roman"/>
                <w:sz w:val="18"/>
                <w:szCs w:val="18"/>
              </w:rPr>
              <w:t>3</w:t>
            </w:r>
            <w:r w:rsidR="00897FE1">
              <w:rPr>
                <w:rFonts w:ascii="Times New Roman" w:hAnsi="Times New Roman" w:cs="Times New Roman"/>
                <w:sz w:val="18"/>
                <w:szCs w:val="18"/>
                <w:lang w:val="ru-RU"/>
              </w:rPr>
              <w:t>)</w:t>
            </w:r>
            <w:r w:rsidR="00897FE1" w:rsidRPr="00B62669">
              <w:rPr>
                <w:rFonts w:ascii="Times New Roman" w:hAnsi="Times New Roman" w:cs="Times New Roman"/>
                <w:sz w:val="18"/>
                <w:szCs w:val="18"/>
                <w:lang w:val="ru-RU"/>
              </w:rPr>
              <w:t xml:space="preserve"> </w:t>
            </w:r>
            <w:r w:rsidR="0073105A">
              <w:rPr>
                <w:rFonts w:ascii="Times New Roman" w:hAnsi="Times New Roman" w:cs="Times New Roman"/>
                <w:sz w:val="18"/>
                <w:szCs w:val="18"/>
                <w:lang w:val="ru-RU"/>
              </w:rPr>
              <w:t>Предлог</w:t>
            </w:r>
            <w:r w:rsidR="00897FE1" w:rsidRPr="00B62669">
              <w:rPr>
                <w:rFonts w:ascii="Times New Roman" w:hAnsi="Times New Roman" w:cs="Times New Roman"/>
                <w:sz w:val="18"/>
                <w:szCs w:val="18"/>
                <w:lang w:val="ru-RU"/>
              </w:rPr>
              <w:t xml:space="preserve">а закона о грађевинским производима у делу који се односи на израду националног документа за </w:t>
            </w:r>
            <w:r w:rsidR="00897FE1" w:rsidRPr="00B62669">
              <w:rPr>
                <w:rFonts w:ascii="Times New Roman" w:hAnsi="Times New Roman" w:cs="Times New Roman"/>
                <w:sz w:val="18"/>
                <w:szCs w:val="18"/>
                <w:lang w:val="ru-RU"/>
              </w:rPr>
              <w:lastRenderedPageBreak/>
              <w:t>оцењивање. Потпуно усклађивање биће могуће након приступања ЕУ.</w:t>
            </w:r>
          </w:p>
        </w:tc>
        <w:tc>
          <w:tcPr>
            <w:tcW w:w="480" w:type="pct"/>
            <w:shd w:val="clear" w:color="auto" w:fill="auto"/>
            <w:vAlign w:val="center"/>
          </w:tcPr>
          <w:p w14:paraId="4E9A32C1" w14:textId="77777777" w:rsidR="00B1546A" w:rsidRPr="00487209" w:rsidRDefault="00B1546A" w:rsidP="00B1546A">
            <w:pPr>
              <w:spacing w:before="120" w:after="120"/>
              <w:jc w:val="center"/>
              <w:rPr>
                <w:rFonts w:ascii="Times New Roman" w:hAnsi="Times New Roman" w:cs="Times New Roman"/>
                <w:sz w:val="18"/>
                <w:szCs w:val="18"/>
              </w:rPr>
            </w:pPr>
          </w:p>
        </w:tc>
      </w:tr>
      <w:tr w:rsidR="00337554" w:rsidRPr="00487209" w14:paraId="784A5A6C" w14:textId="77777777" w:rsidTr="007D5144">
        <w:trPr>
          <w:trHeight w:val="1970"/>
          <w:jc w:val="center"/>
        </w:trPr>
        <w:tc>
          <w:tcPr>
            <w:tcW w:w="435" w:type="pct"/>
            <w:shd w:val="clear" w:color="auto" w:fill="auto"/>
            <w:vAlign w:val="center"/>
          </w:tcPr>
          <w:p w14:paraId="09C227DE" w14:textId="1722CF47" w:rsidR="00B1546A" w:rsidRPr="00487209" w:rsidRDefault="00BA377B" w:rsidP="00545ABB">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20.1.(</w:t>
            </w:r>
            <w:r w:rsidR="00545ABB">
              <w:rPr>
                <w:rFonts w:ascii="Times New Roman" w:hAnsi="Times New Roman" w:cs="Times New Roman"/>
                <w:sz w:val="18"/>
                <w:szCs w:val="18"/>
              </w:rPr>
              <w:t>d</w:t>
            </w:r>
            <w:r w:rsidRPr="00487209">
              <w:rPr>
                <w:rFonts w:ascii="Times New Roman" w:hAnsi="Times New Roman" w:cs="Times New Roman"/>
                <w:sz w:val="18"/>
                <w:szCs w:val="18"/>
              </w:rPr>
              <w:t>)</w:t>
            </w:r>
          </w:p>
        </w:tc>
        <w:tc>
          <w:tcPr>
            <w:tcW w:w="1369" w:type="pct"/>
            <w:gridSpan w:val="2"/>
            <w:shd w:val="clear" w:color="auto" w:fill="auto"/>
            <w:vAlign w:val="center"/>
          </w:tcPr>
          <w:p w14:paraId="78801C14" w14:textId="77777777" w:rsidR="00B1546A" w:rsidRPr="00487209" w:rsidRDefault="00B1546A" w:rsidP="00B1546A">
            <w:pPr>
              <w:jc w:val="both"/>
              <w:rPr>
                <w:rFonts w:ascii="Times New Roman" w:hAnsi="Times New Roman" w:cs="Times New Roman"/>
                <w:sz w:val="18"/>
                <w:szCs w:val="18"/>
              </w:rPr>
            </w:pPr>
            <w:r w:rsidRPr="00487209">
              <w:rPr>
                <w:rFonts w:ascii="Times New Roman" w:hAnsi="Times New Roman" w:cs="Times New Roman"/>
                <w:sz w:val="18"/>
                <w:szCs w:val="18"/>
              </w:rPr>
              <w:t>allow for adequate participation by the Commission;</w:t>
            </w:r>
          </w:p>
        </w:tc>
        <w:tc>
          <w:tcPr>
            <w:tcW w:w="429" w:type="pct"/>
            <w:shd w:val="clear" w:color="auto" w:fill="auto"/>
            <w:vAlign w:val="center"/>
          </w:tcPr>
          <w:p w14:paraId="1B58B413" w14:textId="77777777" w:rsidR="0053403F" w:rsidRDefault="0053403F" w:rsidP="0053403F">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01</w:t>
            </w:r>
          </w:p>
          <w:p w14:paraId="3500F673" w14:textId="77777777" w:rsidR="0053403F" w:rsidRDefault="0053403F" w:rsidP="0053403F">
            <w:pPr>
              <w:spacing w:before="120" w:after="120"/>
              <w:ind w:firstLine="5"/>
              <w:jc w:val="center"/>
              <w:rPr>
                <w:rFonts w:ascii="Times New Roman" w:hAnsi="Times New Roman" w:cs="Times New Roman"/>
                <w:sz w:val="18"/>
                <w:szCs w:val="18"/>
                <w:lang w:val="ru-RU"/>
              </w:rPr>
            </w:pPr>
          </w:p>
          <w:p w14:paraId="6363DF46" w14:textId="49B15207" w:rsidR="00B1546A" w:rsidRPr="00487209" w:rsidRDefault="0053403F" w:rsidP="0053403F">
            <w:pPr>
              <w:jc w:val="center"/>
              <w:rPr>
                <w:rFonts w:ascii="Times New Roman" w:hAnsi="Times New Roman" w:cs="Times New Roman"/>
                <w:sz w:val="18"/>
                <w:szCs w:val="18"/>
              </w:rPr>
            </w:pPr>
            <w:r>
              <w:rPr>
                <w:rFonts w:ascii="Times New Roman" w:hAnsi="Times New Roman" w:cs="Times New Roman"/>
                <w:sz w:val="18"/>
                <w:szCs w:val="18"/>
                <w:lang w:val="ru-RU"/>
              </w:rPr>
              <w:t>21.1.4)</w:t>
            </w:r>
          </w:p>
        </w:tc>
        <w:tc>
          <w:tcPr>
            <w:tcW w:w="1231" w:type="pct"/>
            <w:gridSpan w:val="2"/>
            <w:shd w:val="clear" w:color="auto" w:fill="auto"/>
            <w:vAlign w:val="center"/>
          </w:tcPr>
          <w:p w14:paraId="1403C724" w14:textId="185D7975" w:rsidR="00B1546A" w:rsidRPr="00487209" w:rsidRDefault="00433651" w:rsidP="009A0D2C">
            <w:pPr>
              <w:pStyle w:val="Style7"/>
              <w:spacing w:before="120" w:after="0" w:line="240" w:lineRule="auto"/>
              <w:ind w:left="603" w:right="-23"/>
              <w:jc w:val="both"/>
              <w:outlineLvl w:val="3"/>
              <w:rPr>
                <w:sz w:val="18"/>
                <w:szCs w:val="18"/>
              </w:rPr>
            </w:pPr>
            <w:r w:rsidRPr="00433651">
              <w:rPr>
                <w:sz w:val="18"/>
                <w:szCs w:val="18"/>
              </w:rPr>
              <w:t>4)</w:t>
            </w:r>
            <w:r w:rsidRPr="00433651">
              <w:rPr>
                <w:sz w:val="18"/>
                <w:szCs w:val="18"/>
              </w:rPr>
              <w:tab/>
              <w:t>омогућава одговарајуће учешће министарства надлежног за послове грађевинарства;</w:t>
            </w:r>
          </w:p>
        </w:tc>
        <w:tc>
          <w:tcPr>
            <w:tcW w:w="458" w:type="pct"/>
            <w:shd w:val="clear" w:color="auto" w:fill="auto"/>
            <w:vAlign w:val="center"/>
          </w:tcPr>
          <w:p w14:paraId="6FFB686C" w14:textId="2D769F66" w:rsidR="00B1546A" w:rsidRPr="00545ABB" w:rsidRDefault="00433651" w:rsidP="00B1546A">
            <w:pPr>
              <w:spacing w:before="120" w:after="120"/>
              <w:jc w:val="center"/>
              <w:rPr>
                <w:rFonts w:ascii="Times New Roman" w:hAnsi="Times New Roman" w:cs="Times New Roman"/>
                <w:sz w:val="18"/>
                <w:szCs w:val="18"/>
              </w:rPr>
            </w:pPr>
            <w:r w:rsidRPr="009A0D2C">
              <w:rPr>
                <w:rFonts w:ascii="Times New Roman" w:hAnsi="Times New Roman" w:cs="Times New Roman"/>
                <w:sz w:val="18"/>
                <w:szCs w:val="18"/>
              </w:rPr>
              <w:t>ДУ</w:t>
            </w:r>
          </w:p>
        </w:tc>
        <w:tc>
          <w:tcPr>
            <w:tcW w:w="598" w:type="pct"/>
            <w:gridSpan w:val="2"/>
            <w:shd w:val="clear" w:color="auto" w:fill="auto"/>
            <w:vAlign w:val="center"/>
          </w:tcPr>
          <w:p w14:paraId="1AE1E7DB" w14:textId="0965749A" w:rsidR="00B1546A" w:rsidRPr="00487209" w:rsidRDefault="000301C4" w:rsidP="00545ABB">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545ABB">
              <w:rPr>
                <w:rFonts w:ascii="Times New Roman" w:hAnsi="Times New Roman" w:cs="Times New Roman"/>
                <w:sz w:val="18"/>
                <w:szCs w:val="18"/>
                <w:lang w:val="ru-RU"/>
              </w:rPr>
              <w:t xml:space="preserve"> 20.1.(</w:t>
            </w:r>
            <w:r w:rsidR="00545ABB">
              <w:rPr>
                <w:rFonts w:ascii="Times New Roman" w:hAnsi="Times New Roman" w:cs="Times New Roman"/>
                <w:sz w:val="18"/>
                <w:szCs w:val="18"/>
              </w:rPr>
              <w:t>d</w:t>
            </w:r>
            <w:r w:rsidR="00545ABB">
              <w:rPr>
                <w:rFonts w:ascii="Times New Roman" w:hAnsi="Times New Roman" w:cs="Times New Roman"/>
                <w:sz w:val="18"/>
                <w:szCs w:val="18"/>
                <w:lang w:val="ru-RU"/>
              </w:rPr>
              <w:t xml:space="preserve">) </w:t>
            </w:r>
            <w:r w:rsidR="00545ABB" w:rsidRPr="00B62669">
              <w:rPr>
                <w:rFonts w:ascii="Times New Roman" w:hAnsi="Times New Roman" w:cs="Times New Roman"/>
                <w:sz w:val="18"/>
                <w:szCs w:val="18"/>
                <w:lang w:val="ru-RU"/>
              </w:rPr>
              <w:t>Уре</w:t>
            </w:r>
            <w:r>
              <w:rPr>
                <w:rFonts w:ascii="Times New Roman" w:hAnsi="Times New Roman" w:cs="Times New Roman"/>
                <w:sz w:val="18"/>
                <w:szCs w:val="18"/>
                <w:lang w:val="ru-RU"/>
              </w:rPr>
              <w:t xml:space="preserve">дбе 305/2011 (ЕУ) је пренет члан </w:t>
            </w:r>
            <w:r w:rsidR="00545ABB">
              <w:rPr>
                <w:rFonts w:ascii="Times New Roman" w:hAnsi="Times New Roman" w:cs="Times New Roman"/>
                <w:sz w:val="18"/>
                <w:szCs w:val="18"/>
              </w:rPr>
              <w:t>22</w:t>
            </w:r>
            <w:r w:rsidR="00545ABB" w:rsidRPr="00B62669">
              <w:rPr>
                <w:rFonts w:ascii="Times New Roman" w:hAnsi="Times New Roman" w:cs="Times New Roman"/>
                <w:sz w:val="18"/>
                <w:szCs w:val="18"/>
                <w:lang w:val="ru-RU"/>
              </w:rPr>
              <w:t>.</w:t>
            </w:r>
            <w:r>
              <w:rPr>
                <w:rFonts w:ascii="Times New Roman" w:hAnsi="Times New Roman" w:cs="Times New Roman"/>
                <w:sz w:val="18"/>
                <w:szCs w:val="18"/>
                <w:lang w:val="sr-Cyrl-CS"/>
              </w:rPr>
              <w:t xml:space="preserve"> став</w:t>
            </w:r>
            <w:r w:rsidR="001736AC">
              <w:rPr>
                <w:rFonts w:ascii="Times New Roman" w:hAnsi="Times New Roman" w:cs="Times New Roman"/>
                <w:sz w:val="18"/>
                <w:szCs w:val="18"/>
                <w:lang w:val="sr-Cyrl-CS"/>
              </w:rPr>
              <w:t xml:space="preserve"> </w:t>
            </w:r>
            <w:r w:rsidR="001736AC" w:rsidRPr="00C6797A">
              <w:rPr>
                <w:rFonts w:ascii="Times New Roman" w:hAnsi="Times New Roman" w:cs="Times New Roman"/>
                <w:sz w:val="18"/>
                <w:szCs w:val="18"/>
                <w:lang w:val="sr-Cyrl-CS"/>
              </w:rPr>
              <w:t>1.</w:t>
            </w:r>
            <w:r>
              <w:rPr>
                <w:rFonts w:ascii="Times New Roman" w:hAnsi="Times New Roman" w:cs="Times New Roman"/>
                <w:sz w:val="18"/>
                <w:szCs w:val="18"/>
                <w:lang w:val="sr-Cyrl-CS"/>
              </w:rPr>
              <w:t xml:space="preserve"> тачка</w:t>
            </w:r>
            <w:r w:rsidR="001736AC">
              <w:rPr>
                <w:rFonts w:ascii="Times New Roman" w:hAnsi="Times New Roman" w:cs="Times New Roman"/>
                <w:sz w:val="18"/>
                <w:szCs w:val="18"/>
                <w:lang w:val="sr-Cyrl-CS"/>
              </w:rPr>
              <w:t xml:space="preserve"> </w:t>
            </w:r>
            <w:r w:rsidR="00545ABB">
              <w:rPr>
                <w:rFonts w:ascii="Times New Roman" w:hAnsi="Times New Roman" w:cs="Times New Roman"/>
                <w:sz w:val="18"/>
                <w:szCs w:val="18"/>
              </w:rPr>
              <w:t>4</w:t>
            </w:r>
            <w:r w:rsidR="00545ABB">
              <w:rPr>
                <w:rFonts w:ascii="Times New Roman" w:hAnsi="Times New Roman" w:cs="Times New Roman"/>
                <w:sz w:val="18"/>
                <w:szCs w:val="18"/>
                <w:lang w:val="ru-RU"/>
              </w:rPr>
              <w:t>)</w:t>
            </w:r>
            <w:r w:rsidR="00545ABB" w:rsidRPr="00B62669">
              <w:rPr>
                <w:rFonts w:ascii="Times New Roman" w:hAnsi="Times New Roman" w:cs="Times New Roman"/>
                <w:sz w:val="18"/>
                <w:szCs w:val="18"/>
                <w:lang w:val="ru-RU"/>
              </w:rPr>
              <w:t xml:space="preserve"> </w:t>
            </w:r>
            <w:r w:rsidR="0073105A">
              <w:rPr>
                <w:rFonts w:ascii="Times New Roman" w:hAnsi="Times New Roman" w:cs="Times New Roman"/>
                <w:sz w:val="18"/>
                <w:szCs w:val="18"/>
                <w:lang w:val="ru-RU"/>
              </w:rPr>
              <w:t>Предлог</w:t>
            </w:r>
            <w:r w:rsidR="00545ABB" w:rsidRPr="00B62669">
              <w:rPr>
                <w:rFonts w:ascii="Times New Roman" w:hAnsi="Times New Roman" w:cs="Times New Roman"/>
                <w:sz w:val="18"/>
                <w:szCs w:val="18"/>
                <w:lang w:val="ru-RU"/>
              </w:rPr>
              <w:t>а закона о грађевинским производима у делу који се односи на израду националног документа за оцењивање. Потпуно усклађивање биће могуће након приступања ЕУ.</w:t>
            </w:r>
          </w:p>
        </w:tc>
        <w:tc>
          <w:tcPr>
            <w:tcW w:w="480" w:type="pct"/>
            <w:shd w:val="clear" w:color="auto" w:fill="auto"/>
            <w:vAlign w:val="center"/>
          </w:tcPr>
          <w:p w14:paraId="67887055" w14:textId="77777777" w:rsidR="00B1546A" w:rsidRPr="00487209" w:rsidRDefault="00B1546A" w:rsidP="00B1546A">
            <w:pPr>
              <w:spacing w:before="120" w:after="120"/>
              <w:jc w:val="center"/>
              <w:rPr>
                <w:rFonts w:ascii="Times New Roman" w:hAnsi="Times New Roman" w:cs="Times New Roman"/>
                <w:sz w:val="18"/>
                <w:szCs w:val="18"/>
              </w:rPr>
            </w:pPr>
          </w:p>
        </w:tc>
      </w:tr>
      <w:tr w:rsidR="00337554" w:rsidRPr="00487209" w14:paraId="1AE49AEC" w14:textId="77777777" w:rsidTr="007D5144">
        <w:trPr>
          <w:trHeight w:val="1970"/>
          <w:jc w:val="center"/>
        </w:trPr>
        <w:tc>
          <w:tcPr>
            <w:tcW w:w="435" w:type="pct"/>
            <w:shd w:val="clear" w:color="auto" w:fill="auto"/>
            <w:vAlign w:val="center"/>
          </w:tcPr>
          <w:p w14:paraId="577BD080" w14:textId="77777777" w:rsidR="00B1546A" w:rsidRPr="00487209" w:rsidRDefault="00B1546A" w:rsidP="00B1546A">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20.1.(e)</w:t>
            </w:r>
          </w:p>
        </w:tc>
        <w:tc>
          <w:tcPr>
            <w:tcW w:w="1369" w:type="pct"/>
            <w:gridSpan w:val="2"/>
            <w:shd w:val="clear" w:color="auto" w:fill="auto"/>
            <w:vAlign w:val="center"/>
          </w:tcPr>
          <w:p w14:paraId="43FAB4A9" w14:textId="77777777" w:rsidR="00B1546A" w:rsidRPr="00487209" w:rsidRDefault="00B1546A" w:rsidP="00B1546A">
            <w:pPr>
              <w:jc w:val="both"/>
              <w:rPr>
                <w:rFonts w:ascii="Times New Roman" w:hAnsi="Times New Roman" w:cs="Times New Roman"/>
                <w:sz w:val="18"/>
                <w:szCs w:val="18"/>
              </w:rPr>
            </w:pPr>
            <w:r w:rsidRPr="00487209">
              <w:rPr>
                <w:rFonts w:ascii="Times New Roman" w:hAnsi="Times New Roman" w:cs="Times New Roman"/>
                <w:sz w:val="18"/>
                <w:szCs w:val="18"/>
              </w:rPr>
              <w:t>be cost-effective for the manufacturer; and</w:t>
            </w:r>
          </w:p>
        </w:tc>
        <w:tc>
          <w:tcPr>
            <w:tcW w:w="429" w:type="pct"/>
            <w:shd w:val="clear" w:color="auto" w:fill="auto"/>
            <w:vAlign w:val="center"/>
          </w:tcPr>
          <w:p w14:paraId="07DFDE64" w14:textId="77777777" w:rsidR="0053403F" w:rsidRDefault="0053403F" w:rsidP="0053403F">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01</w:t>
            </w:r>
          </w:p>
          <w:p w14:paraId="32636757" w14:textId="77777777" w:rsidR="0053403F" w:rsidRDefault="0053403F" w:rsidP="0053403F">
            <w:pPr>
              <w:spacing w:before="120" w:after="120"/>
              <w:ind w:firstLine="5"/>
              <w:jc w:val="center"/>
              <w:rPr>
                <w:rFonts w:ascii="Times New Roman" w:hAnsi="Times New Roman" w:cs="Times New Roman"/>
                <w:sz w:val="18"/>
                <w:szCs w:val="18"/>
                <w:lang w:val="ru-RU"/>
              </w:rPr>
            </w:pPr>
          </w:p>
          <w:p w14:paraId="67EFBEDA" w14:textId="68686F1E" w:rsidR="00B1546A" w:rsidRPr="00487209" w:rsidRDefault="0053403F" w:rsidP="0080494B">
            <w:pPr>
              <w:jc w:val="center"/>
              <w:rPr>
                <w:rFonts w:ascii="Times New Roman" w:hAnsi="Times New Roman" w:cs="Times New Roman"/>
                <w:sz w:val="18"/>
                <w:szCs w:val="18"/>
              </w:rPr>
            </w:pPr>
            <w:r>
              <w:rPr>
                <w:rFonts w:ascii="Times New Roman" w:hAnsi="Times New Roman" w:cs="Times New Roman"/>
                <w:sz w:val="18"/>
                <w:szCs w:val="18"/>
                <w:lang w:val="ru-RU"/>
              </w:rPr>
              <w:t>2</w:t>
            </w:r>
            <w:r w:rsidR="0080494B">
              <w:rPr>
                <w:rFonts w:ascii="Times New Roman" w:hAnsi="Times New Roman" w:cs="Times New Roman"/>
                <w:sz w:val="18"/>
                <w:szCs w:val="18"/>
                <w:lang w:val="ru-RU"/>
              </w:rPr>
              <w:t>2</w:t>
            </w:r>
            <w:r>
              <w:rPr>
                <w:rFonts w:ascii="Times New Roman" w:hAnsi="Times New Roman" w:cs="Times New Roman"/>
                <w:sz w:val="18"/>
                <w:szCs w:val="18"/>
                <w:lang w:val="ru-RU"/>
              </w:rPr>
              <w:t>.1.5)</w:t>
            </w:r>
          </w:p>
        </w:tc>
        <w:tc>
          <w:tcPr>
            <w:tcW w:w="1231" w:type="pct"/>
            <w:gridSpan w:val="2"/>
            <w:shd w:val="clear" w:color="auto" w:fill="auto"/>
            <w:vAlign w:val="center"/>
          </w:tcPr>
          <w:p w14:paraId="1B13B035" w14:textId="5A2074B7" w:rsidR="00B1546A" w:rsidRPr="00487209" w:rsidRDefault="00433651" w:rsidP="009A0D2C">
            <w:pPr>
              <w:pStyle w:val="Style10"/>
              <w:spacing w:before="120" w:line="240" w:lineRule="auto"/>
              <w:ind w:left="603" w:right="-23"/>
              <w:rPr>
                <w:rFonts w:ascii="Times New Roman" w:hAnsi="Times New Roman"/>
                <w:sz w:val="18"/>
                <w:szCs w:val="18"/>
                <w:lang w:val="sr-Cyrl-CS"/>
              </w:rPr>
            </w:pPr>
            <w:r w:rsidRPr="00433651">
              <w:rPr>
                <w:rFonts w:ascii="Times New Roman" w:hAnsi="Times New Roman"/>
                <w:sz w:val="18"/>
                <w:szCs w:val="18"/>
                <w:lang w:val="sr-Cyrl-CS"/>
              </w:rPr>
              <w:t>5)</w:t>
            </w:r>
            <w:r w:rsidRPr="00433651">
              <w:rPr>
                <w:rFonts w:ascii="Times New Roman" w:hAnsi="Times New Roman"/>
                <w:sz w:val="18"/>
                <w:szCs w:val="18"/>
                <w:lang w:val="sr-Cyrl-CS"/>
              </w:rPr>
              <w:tab/>
              <w:t>je исплатив за произвођача и</w:t>
            </w:r>
          </w:p>
        </w:tc>
        <w:tc>
          <w:tcPr>
            <w:tcW w:w="458" w:type="pct"/>
            <w:shd w:val="clear" w:color="auto" w:fill="auto"/>
            <w:vAlign w:val="center"/>
          </w:tcPr>
          <w:p w14:paraId="5D5BAC41" w14:textId="08194C63" w:rsidR="00B1546A" w:rsidRPr="00487209" w:rsidRDefault="00433651" w:rsidP="00B1546A">
            <w:pPr>
              <w:spacing w:before="120" w:after="120"/>
              <w:jc w:val="center"/>
              <w:rPr>
                <w:rFonts w:ascii="Times New Roman" w:hAnsi="Times New Roman" w:cs="Times New Roman"/>
                <w:sz w:val="18"/>
                <w:szCs w:val="18"/>
              </w:rPr>
            </w:pPr>
            <w:r>
              <w:rPr>
                <w:sz w:val="18"/>
                <w:szCs w:val="18"/>
              </w:rPr>
              <w:t>ДУ</w:t>
            </w:r>
          </w:p>
        </w:tc>
        <w:tc>
          <w:tcPr>
            <w:tcW w:w="598" w:type="pct"/>
            <w:gridSpan w:val="2"/>
            <w:shd w:val="clear" w:color="auto" w:fill="auto"/>
            <w:vAlign w:val="center"/>
          </w:tcPr>
          <w:p w14:paraId="20EC3300" w14:textId="34CDCF8D" w:rsidR="00B1546A" w:rsidRPr="00487209" w:rsidRDefault="000301C4" w:rsidP="00545ABB">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545ABB">
              <w:rPr>
                <w:rFonts w:ascii="Times New Roman" w:hAnsi="Times New Roman" w:cs="Times New Roman"/>
                <w:sz w:val="18"/>
                <w:szCs w:val="18"/>
                <w:lang w:val="ru-RU"/>
              </w:rPr>
              <w:t xml:space="preserve"> 20.1.(</w:t>
            </w:r>
            <w:r w:rsidR="00545ABB">
              <w:rPr>
                <w:rFonts w:ascii="Times New Roman" w:hAnsi="Times New Roman" w:cs="Times New Roman"/>
                <w:sz w:val="18"/>
                <w:szCs w:val="18"/>
              </w:rPr>
              <w:t>e</w:t>
            </w:r>
            <w:r w:rsidR="00545ABB">
              <w:rPr>
                <w:rFonts w:ascii="Times New Roman" w:hAnsi="Times New Roman" w:cs="Times New Roman"/>
                <w:sz w:val="18"/>
                <w:szCs w:val="18"/>
                <w:lang w:val="ru-RU"/>
              </w:rPr>
              <w:t xml:space="preserve">) </w:t>
            </w:r>
            <w:r w:rsidR="00545ABB" w:rsidRPr="00B62669">
              <w:rPr>
                <w:rFonts w:ascii="Times New Roman" w:hAnsi="Times New Roman" w:cs="Times New Roman"/>
                <w:sz w:val="18"/>
                <w:szCs w:val="18"/>
                <w:lang w:val="ru-RU"/>
              </w:rPr>
              <w:t>Ур</w:t>
            </w:r>
            <w:r>
              <w:rPr>
                <w:rFonts w:ascii="Times New Roman" w:hAnsi="Times New Roman" w:cs="Times New Roman"/>
                <w:sz w:val="18"/>
                <w:szCs w:val="18"/>
                <w:lang w:val="ru-RU"/>
              </w:rPr>
              <w:t>едбе 305/2011 (ЕУ) је пренет члан</w:t>
            </w:r>
            <w:r w:rsidR="00545ABB" w:rsidRPr="00B62669">
              <w:rPr>
                <w:rFonts w:ascii="Times New Roman" w:hAnsi="Times New Roman" w:cs="Times New Roman"/>
                <w:sz w:val="18"/>
                <w:szCs w:val="18"/>
                <w:lang w:val="ru-RU"/>
              </w:rPr>
              <w:t xml:space="preserve"> </w:t>
            </w:r>
            <w:r w:rsidR="00545ABB">
              <w:rPr>
                <w:rFonts w:ascii="Times New Roman" w:hAnsi="Times New Roman" w:cs="Times New Roman"/>
                <w:sz w:val="18"/>
                <w:szCs w:val="18"/>
              </w:rPr>
              <w:t>22</w:t>
            </w:r>
            <w:r w:rsidR="00545ABB" w:rsidRPr="00B62669">
              <w:rPr>
                <w:rFonts w:ascii="Times New Roman" w:hAnsi="Times New Roman" w:cs="Times New Roman"/>
                <w:sz w:val="18"/>
                <w:szCs w:val="18"/>
                <w:lang w:val="ru-RU"/>
              </w:rPr>
              <w:t>.</w:t>
            </w:r>
            <w:r>
              <w:rPr>
                <w:rFonts w:ascii="Times New Roman" w:hAnsi="Times New Roman" w:cs="Times New Roman"/>
                <w:sz w:val="18"/>
                <w:szCs w:val="18"/>
                <w:lang w:val="sr-Cyrl-CS"/>
              </w:rPr>
              <w:t xml:space="preserve"> став</w:t>
            </w:r>
            <w:r w:rsidR="001736AC">
              <w:rPr>
                <w:rFonts w:ascii="Times New Roman" w:hAnsi="Times New Roman" w:cs="Times New Roman"/>
                <w:sz w:val="18"/>
                <w:szCs w:val="18"/>
                <w:lang w:val="sr-Cyrl-CS"/>
              </w:rPr>
              <w:t xml:space="preserve"> </w:t>
            </w:r>
            <w:r w:rsidR="001736AC" w:rsidRPr="00C6797A">
              <w:rPr>
                <w:rFonts w:ascii="Times New Roman" w:hAnsi="Times New Roman" w:cs="Times New Roman"/>
                <w:sz w:val="18"/>
                <w:szCs w:val="18"/>
                <w:lang w:val="sr-Cyrl-CS"/>
              </w:rPr>
              <w:t>1.</w:t>
            </w:r>
            <w:r>
              <w:rPr>
                <w:rFonts w:ascii="Times New Roman" w:hAnsi="Times New Roman" w:cs="Times New Roman"/>
                <w:sz w:val="18"/>
                <w:szCs w:val="18"/>
                <w:lang w:val="sr-Cyrl-CS"/>
              </w:rPr>
              <w:t xml:space="preserve"> тачка</w:t>
            </w:r>
            <w:r w:rsidR="001736AC">
              <w:rPr>
                <w:rFonts w:ascii="Times New Roman" w:hAnsi="Times New Roman" w:cs="Times New Roman"/>
                <w:sz w:val="18"/>
                <w:szCs w:val="18"/>
                <w:lang w:val="sr-Cyrl-CS"/>
              </w:rPr>
              <w:t xml:space="preserve"> </w:t>
            </w:r>
            <w:r w:rsidR="00545ABB">
              <w:rPr>
                <w:rFonts w:ascii="Times New Roman" w:hAnsi="Times New Roman" w:cs="Times New Roman"/>
                <w:sz w:val="18"/>
                <w:szCs w:val="18"/>
              </w:rPr>
              <w:t>5</w:t>
            </w:r>
            <w:r w:rsidR="00545ABB">
              <w:rPr>
                <w:rFonts w:ascii="Times New Roman" w:hAnsi="Times New Roman" w:cs="Times New Roman"/>
                <w:sz w:val="18"/>
                <w:szCs w:val="18"/>
                <w:lang w:val="ru-RU"/>
              </w:rPr>
              <w:t>)</w:t>
            </w:r>
            <w:r w:rsidR="00545ABB" w:rsidRPr="00B62669">
              <w:rPr>
                <w:rFonts w:ascii="Times New Roman" w:hAnsi="Times New Roman" w:cs="Times New Roman"/>
                <w:sz w:val="18"/>
                <w:szCs w:val="18"/>
                <w:lang w:val="ru-RU"/>
              </w:rPr>
              <w:t xml:space="preserve"> </w:t>
            </w:r>
            <w:r w:rsidR="0073105A">
              <w:rPr>
                <w:rFonts w:ascii="Times New Roman" w:hAnsi="Times New Roman" w:cs="Times New Roman"/>
                <w:sz w:val="18"/>
                <w:szCs w:val="18"/>
                <w:lang w:val="ru-RU"/>
              </w:rPr>
              <w:t>Предлог</w:t>
            </w:r>
            <w:r w:rsidR="00545ABB" w:rsidRPr="00B62669">
              <w:rPr>
                <w:rFonts w:ascii="Times New Roman" w:hAnsi="Times New Roman" w:cs="Times New Roman"/>
                <w:sz w:val="18"/>
                <w:szCs w:val="18"/>
                <w:lang w:val="ru-RU"/>
              </w:rPr>
              <w:t xml:space="preserve">а закона о грађевинским производима у делу који се односи на израду националног документа за </w:t>
            </w:r>
            <w:r w:rsidR="00545ABB" w:rsidRPr="00B62669">
              <w:rPr>
                <w:rFonts w:ascii="Times New Roman" w:hAnsi="Times New Roman" w:cs="Times New Roman"/>
                <w:sz w:val="18"/>
                <w:szCs w:val="18"/>
                <w:lang w:val="ru-RU"/>
              </w:rPr>
              <w:lastRenderedPageBreak/>
              <w:t>оцењивање. Потпуно усклађивање биће могуће након приступања ЕУ.</w:t>
            </w:r>
          </w:p>
        </w:tc>
        <w:tc>
          <w:tcPr>
            <w:tcW w:w="480" w:type="pct"/>
            <w:shd w:val="clear" w:color="auto" w:fill="auto"/>
            <w:vAlign w:val="center"/>
          </w:tcPr>
          <w:p w14:paraId="206D445E" w14:textId="77777777" w:rsidR="00B1546A" w:rsidRPr="00487209" w:rsidRDefault="00B1546A" w:rsidP="00B1546A">
            <w:pPr>
              <w:spacing w:before="120" w:after="120"/>
              <w:jc w:val="center"/>
              <w:rPr>
                <w:rFonts w:ascii="Times New Roman" w:hAnsi="Times New Roman" w:cs="Times New Roman"/>
                <w:sz w:val="18"/>
                <w:szCs w:val="18"/>
              </w:rPr>
            </w:pPr>
          </w:p>
        </w:tc>
      </w:tr>
      <w:tr w:rsidR="00337554" w:rsidRPr="00487209" w14:paraId="6181A5FF" w14:textId="77777777" w:rsidTr="007D5144">
        <w:trPr>
          <w:trHeight w:val="1970"/>
          <w:jc w:val="center"/>
        </w:trPr>
        <w:tc>
          <w:tcPr>
            <w:tcW w:w="435" w:type="pct"/>
            <w:shd w:val="clear" w:color="auto" w:fill="auto"/>
            <w:vAlign w:val="center"/>
          </w:tcPr>
          <w:p w14:paraId="4F18223B" w14:textId="77777777" w:rsidR="00B1546A" w:rsidRPr="00487209" w:rsidRDefault="00B1546A" w:rsidP="00B1546A">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20.1.(f)</w:t>
            </w:r>
          </w:p>
        </w:tc>
        <w:tc>
          <w:tcPr>
            <w:tcW w:w="1369" w:type="pct"/>
            <w:gridSpan w:val="2"/>
            <w:shd w:val="clear" w:color="auto" w:fill="auto"/>
            <w:vAlign w:val="center"/>
          </w:tcPr>
          <w:p w14:paraId="6BE60ABF" w14:textId="77777777" w:rsidR="00B1546A" w:rsidRPr="00487209" w:rsidRDefault="00B1546A" w:rsidP="00B1546A">
            <w:pPr>
              <w:jc w:val="both"/>
              <w:rPr>
                <w:rFonts w:ascii="Times New Roman" w:hAnsi="Times New Roman" w:cs="Times New Roman"/>
                <w:sz w:val="18"/>
                <w:szCs w:val="18"/>
              </w:rPr>
            </w:pPr>
            <w:r w:rsidRPr="00487209">
              <w:rPr>
                <w:rFonts w:ascii="Times New Roman" w:hAnsi="Times New Roman" w:cs="Times New Roman"/>
                <w:sz w:val="18"/>
                <w:szCs w:val="18"/>
              </w:rPr>
              <w:t>ensure sufficient collegiality and coordination amongst TABs designated for the product in question.</w:t>
            </w:r>
          </w:p>
        </w:tc>
        <w:tc>
          <w:tcPr>
            <w:tcW w:w="429" w:type="pct"/>
            <w:shd w:val="clear" w:color="auto" w:fill="auto"/>
            <w:vAlign w:val="center"/>
          </w:tcPr>
          <w:p w14:paraId="308FC7EF" w14:textId="77777777" w:rsidR="0053403F" w:rsidRDefault="0053403F" w:rsidP="0053403F">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01</w:t>
            </w:r>
          </w:p>
          <w:p w14:paraId="16F5FAE9" w14:textId="77777777" w:rsidR="0053403F" w:rsidRDefault="0053403F" w:rsidP="0053403F">
            <w:pPr>
              <w:spacing w:before="120" w:after="120"/>
              <w:ind w:firstLine="5"/>
              <w:jc w:val="center"/>
              <w:rPr>
                <w:rFonts w:ascii="Times New Roman" w:hAnsi="Times New Roman" w:cs="Times New Roman"/>
                <w:sz w:val="18"/>
                <w:szCs w:val="18"/>
                <w:lang w:val="ru-RU"/>
              </w:rPr>
            </w:pPr>
          </w:p>
          <w:p w14:paraId="27132FAD" w14:textId="2DBD6E32" w:rsidR="00B1546A" w:rsidRPr="00487209" w:rsidRDefault="0053403F" w:rsidP="0080494B">
            <w:pPr>
              <w:jc w:val="center"/>
              <w:rPr>
                <w:rFonts w:ascii="Times New Roman" w:hAnsi="Times New Roman" w:cs="Times New Roman"/>
                <w:sz w:val="18"/>
                <w:szCs w:val="18"/>
              </w:rPr>
            </w:pPr>
            <w:r>
              <w:rPr>
                <w:rFonts w:ascii="Times New Roman" w:hAnsi="Times New Roman" w:cs="Times New Roman"/>
                <w:sz w:val="18"/>
                <w:szCs w:val="18"/>
                <w:lang w:val="ru-RU"/>
              </w:rPr>
              <w:t>2</w:t>
            </w:r>
            <w:r w:rsidR="0080494B">
              <w:rPr>
                <w:rFonts w:ascii="Times New Roman" w:hAnsi="Times New Roman" w:cs="Times New Roman"/>
                <w:sz w:val="18"/>
                <w:szCs w:val="18"/>
                <w:lang w:val="ru-RU"/>
              </w:rPr>
              <w:t>2</w:t>
            </w:r>
            <w:r>
              <w:rPr>
                <w:rFonts w:ascii="Times New Roman" w:hAnsi="Times New Roman" w:cs="Times New Roman"/>
                <w:sz w:val="18"/>
                <w:szCs w:val="18"/>
                <w:lang w:val="ru-RU"/>
              </w:rPr>
              <w:t>.1.6)</w:t>
            </w:r>
          </w:p>
        </w:tc>
        <w:tc>
          <w:tcPr>
            <w:tcW w:w="1231" w:type="pct"/>
            <w:gridSpan w:val="2"/>
            <w:shd w:val="clear" w:color="auto" w:fill="auto"/>
            <w:vAlign w:val="center"/>
          </w:tcPr>
          <w:p w14:paraId="21501307" w14:textId="58A93A91" w:rsidR="00B1546A" w:rsidRPr="00487209" w:rsidRDefault="00433651" w:rsidP="009A0D2C">
            <w:pPr>
              <w:pStyle w:val="Style7"/>
              <w:spacing w:before="120" w:after="0" w:line="240" w:lineRule="auto"/>
              <w:ind w:left="603" w:right="-23"/>
              <w:jc w:val="both"/>
              <w:outlineLvl w:val="3"/>
              <w:rPr>
                <w:sz w:val="18"/>
                <w:szCs w:val="18"/>
              </w:rPr>
            </w:pPr>
            <w:r w:rsidRPr="00433651">
              <w:rPr>
                <w:sz w:val="18"/>
                <w:szCs w:val="18"/>
              </w:rPr>
              <w:t>6)</w:t>
            </w:r>
            <w:r w:rsidRPr="00433651">
              <w:rPr>
                <w:sz w:val="18"/>
                <w:szCs w:val="18"/>
              </w:rPr>
              <w:tab/>
              <w:t>обезбеђује довољaн степен колегијалности и координације између тела за техничко оцењивање која су именована за производ на који се српски документ за оцењивање односи.</w:t>
            </w:r>
          </w:p>
        </w:tc>
        <w:tc>
          <w:tcPr>
            <w:tcW w:w="458" w:type="pct"/>
            <w:shd w:val="clear" w:color="auto" w:fill="auto"/>
            <w:vAlign w:val="center"/>
          </w:tcPr>
          <w:p w14:paraId="17F6B28F" w14:textId="56219563" w:rsidR="00B1546A" w:rsidRPr="00487209" w:rsidRDefault="00433651" w:rsidP="00B1546A">
            <w:pPr>
              <w:pStyle w:val="Style7"/>
              <w:spacing w:before="240" w:after="0" w:line="240" w:lineRule="auto"/>
              <w:ind w:right="-23"/>
              <w:outlineLvl w:val="3"/>
              <w:rPr>
                <w:rStyle w:val="FontStyle41"/>
                <w:rFonts w:ascii="Times New Roman" w:hAnsi="Times New Roman" w:cs="Times New Roman"/>
                <w:sz w:val="18"/>
                <w:szCs w:val="18"/>
              </w:rPr>
            </w:pPr>
            <w:r>
              <w:rPr>
                <w:sz w:val="18"/>
                <w:szCs w:val="18"/>
              </w:rPr>
              <w:t>ДУ</w:t>
            </w:r>
          </w:p>
        </w:tc>
        <w:tc>
          <w:tcPr>
            <w:tcW w:w="598" w:type="pct"/>
            <w:gridSpan w:val="2"/>
            <w:shd w:val="clear" w:color="auto" w:fill="auto"/>
            <w:vAlign w:val="center"/>
          </w:tcPr>
          <w:p w14:paraId="6E2CE892" w14:textId="4BBBDEF1" w:rsidR="00B1546A" w:rsidRPr="00487209" w:rsidRDefault="000301C4" w:rsidP="001736AC">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sr-Cyrl-CS"/>
              </w:rPr>
              <w:t>Члан</w:t>
            </w:r>
            <w:r w:rsidR="00545ABB" w:rsidRPr="00545ABB">
              <w:rPr>
                <w:rFonts w:ascii="Times New Roman" w:hAnsi="Times New Roman" w:cs="Times New Roman"/>
                <w:sz w:val="18"/>
                <w:szCs w:val="18"/>
                <w:lang w:val="sr-Cyrl-CS"/>
              </w:rPr>
              <w:t xml:space="preserve"> 20.1.(</w:t>
            </w:r>
            <w:r w:rsidR="00545ABB">
              <w:rPr>
                <w:rFonts w:ascii="Times New Roman" w:hAnsi="Times New Roman" w:cs="Times New Roman"/>
                <w:sz w:val="18"/>
                <w:szCs w:val="18"/>
              </w:rPr>
              <w:t>f</w:t>
            </w:r>
            <w:r w:rsidR="00545ABB" w:rsidRPr="00545ABB">
              <w:rPr>
                <w:rFonts w:ascii="Times New Roman" w:hAnsi="Times New Roman" w:cs="Times New Roman"/>
                <w:sz w:val="18"/>
                <w:szCs w:val="18"/>
                <w:lang w:val="sr-Cyrl-CS"/>
              </w:rPr>
              <w:t>) Ур</w:t>
            </w:r>
            <w:r>
              <w:rPr>
                <w:rFonts w:ascii="Times New Roman" w:hAnsi="Times New Roman" w:cs="Times New Roman"/>
                <w:sz w:val="18"/>
                <w:szCs w:val="18"/>
                <w:lang w:val="sr-Cyrl-CS"/>
              </w:rPr>
              <w:t>едбе 305/2011 (ЕУ) је пренет члан</w:t>
            </w:r>
            <w:r w:rsidR="00545ABB" w:rsidRPr="00545ABB">
              <w:rPr>
                <w:rFonts w:ascii="Times New Roman" w:hAnsi="Times New Roman" w:cs="Times New Roman"/>
                <w:sz w:val="18"/>
                <w:szCs w:val="18"/>
                <w:lang w:val="sr-Cyrl-CS"/>
              </w:rPr>
              <w:t xml:space="preserve"> 22.</w:t>
            </w:r>
            <w:r w:rsidR="001736AC">
              <w:rPr>
                <w:rFonts w:ascii="Times New Roman" w:hAnsi="Times New Roman" w:cs="Times New Roman"/>
                <w:sz w:val="18"/>
                <w:szCs w:val="18"/>
                <w:lang w:val="sr-Cyrl-CS"/>
              </w:rPr>
              <w:t xml:space="preserve"> </w:t>
            </w:r>
            <w:r>
              <w:rPr>
                <w:rFonts w:ascii="Times New Roman" w:hAnsi="Times New Roman" w:cs="Times New Roman"/>
                <w:sz w:val="18"/>
                <w:szCs w:val="18"/>
                <w:lang w:val="sr-Cyrl-CS"/>
              </w:rPr>
              <w:t>став</w:t>
            </w:r>
            <w:r w:rsidR="001736AC">
              <w:rPr>
                <w:rFonts w:ascii="Times New Roman" w:hAnsi="Times New Roman" w:cs="Times New Roman"/>
                <w:sz w:val="18"/>
                <w:szCs w:val="18"/>
                <w:lang w:val="sr-Cyrl-CS"/>
              </w:rPr>
              <w:t xml:space="preserve"> </w:t>
            </w:r>
            <w:r w:rsidR="001736AC" w:rsidRPr="00C6797A">
              <w:rPr>
                <w:rFonts w:ascii="Times New Roman" w:hAnsi="Times New Roman" w:cs="Times New Roman"/>
                <w:sz w:val="18"/>
                <w:szCs w:val="18"/>
                <w:lang w:val="sr-Cyrl-CS"/>
              </w:rPr>
              <w:t>1.</w:t>
            </w:r>
            <w:r>
              <w:rPr>
                <w:rFonts w:ascii="Times New Roman" w:hAnsi="Times New Roman" w:cs="Times New Roman"/>
                <w:sz w:val="18"/>
                <w:szCs w:val="18"/>
                <w:lang w:val="sr-Cyrl-CS"/>
              </w:rPr>
              <w:t xml:space="preserve"> тачка</w:t>
            </w:r>
            <w:r w:rsidR="001736AC">
              <w:rPr>
                <w:rFonts w:ascii="Times New Roman" w:hAnsi="Times New Roman" w:cs="Times New Roman"/>
                <w:sz w:val="18"/>
                <w:szCs w:val="18"/>
                <w:lang w:val="sr-Cyrl-CS"/>
              </w:rPr>
              <w:t xml:space="preserve"> </w:t>
            </w:r>
            <w:r w:rsidR="00545ABB">
              <w:rPr>
                <w:rFonts w:ascii="Times New Roman" w:hAnsi="Times New Roman" w:cs="Times New Roman"/>
                <w:sz w:val="18"/>
                <w:szCs w:val="18"/>
              </w:rPr>
              <w:t>6</w:t>
            </w:r>
            <w:r w:rsidR="00545ABB" w:rsidRPr="00545ABB">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545ABB" w:rsidRPr="00545ABB">
              <w:rPr>
                <w:rFonts w:ascii="Times New Roman" w:hAnsi="Times New Roman" w:cs="Times New Roman"/>
                <w:sz w:val="18"/>
                <w:szCs w:val="18"/>
                <w:lang w:val="sr-Cyrl-CS"/>
              </w:rPr>
              <w:t>а закона о грађевинским производима у делу који се односи на израду националног документа за оцењивање. Потпуно усклађивање биће могуће након приступања ЕУ.</w:t>
            </w:r>
          </w:p>
        </w:tc>
        <w:tc>
          <w:tcPr>
            <w:tcW w:w="480" w:type="pct"/>
            <w:shd w:val="clear" w:color="auto" w:fill="auto"/>
            <w:vAlign w:val="center"/>
          </w:tcPr>
          <w:p w14:paraId="4BE313F6" w14:textId="77777777" w:rsidR="00B1546A" w:rsidRPr="00487209" w:rsidRDefault="00B1546A" w:rsidP="00B1546A">
            <w:pPr>
              <w:spacing w:before="120" w:after="120"/>
              <w:jc w:val="center"/>
              <w:rPr>
                <w:rFonts w:ascii="Times New Roman" w:hAnsi="Times New Roman" w:cs="Times New Roman"/>
                <w:sz w:val="18"/>
                <w:szCs w:val="18"/>
                <w:lang w:val="sr-Cyrl-CS"/>
              </w:rPr>
            </w:pPr>
          </w:p>
        </w:tc>
      </w:tr>
      <w:tr w:rsidR="00337554" w:rsidRPr="00487209" w14:paraId="19487E39" w14:textId="77777777" w:rsidTr="007D5144">
        <w:trPr>
          <w:trHeight w:val="1970"/>
          <w:jc w:val="center"/>
        </w:trPr>
        <w:tc>
          <w:tcPr>
            <w:tcW w:w="435" w:type="pct"/>
            <w:shd w:val="clear" w:color="auto" w:fill="auto"/>
            <w:vAlign w:val="center"/>
          </w:tcPr>
          <w:p w14:paraId="45CA1B7A" w14:textId="77777777" w:rsidR="00B1546A" w:rsidRPr="00487209" w:rsidRDefault="00B1546A" w:rsidP="00B1546A">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20.2.</w:t>
            </w:r>
          </w:p>
        </w:tc>
        <w:tc>
          <w:tcPr>
            <w:tcW w:w="1369" w:type="pct"/>
            <w:gridSpan w:val="2"/>
            <w:shd w:val="clear" w:color="auto" w:fill="auto"/>
            <w:vAlign w:val="center"/>
          </w:tcPr>
          <w:p w14:paraId="758CEA1D" w14:textId="77777777" w:rsidR="00B1546A" w:rsidRPr="00487209" w:rsidRDefault="00B1546A" w:rsidP="00B1546A">
            <w:pPr>
              <w:jc w:val="both"/>
              <w:rPr>
                <w:rFonts w:ascii="Times New Roman" w:hAnsi="Times New Roman" w:cs="Times New Roman"/>
                <w:sz w:val="18"/>
                <w:szCs w:val="18"/>
              </w:rPr>
            </w:pPr>
            <w:r w:rsidRPr="00487209">
              <w:rPr>
                <w:rFonts w:ascii="Times New Roman" w:hAnsi="Times New Roman" w:cs="Times New Roman"/>
                <w:sz w:val="18"/>
                <w:szCs w:val="18"/>
              </w:rPr>
              <w:t>The TABs shall, together with the organisation of TABs, bear the full costs of the development and adoption of European Assessment Documents.</w:t>
            </w:r>
          </w:p>
        </w:tc>
        <w:tc>
          <w:tcPr>
            <w:tcW w:w="429" w:type="pct"/>
            <w:shd w:val="clear" w:color="auto" w:fill="auto"/>
            <w:vAlign w:val="center"/>
          </w:tcPr>
          <w:p w14:paraId="6C454957" w14:textId="18270DC1" w:rsidR="00B1546A" w:rsidRPr="00487209" w:rsidRDefault="00B1546A" w:rsidP="00B1546A">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391B8657" w14:textId="6B4E3D3D" w:rsidR="00B1546A" w:rsidRPr="00487209" w:rsidRDefault="00B1546A" w:rsidP="00B1546A">
            <w:pPr>
              <w:pStyle w:val="Style7"/>
              <w:spacing w:before="240" w:after="0" w:line="240" w:lineRule="auto"/>
              <w:ind w:right="-23"/>
              <w:jc w:val="both"/>
              <w:outlineLvl w:val="3"/>
              <w:rPr>
                <w:sz w:val="18"/>
                <w:szCs w:val="18"/>
              </w:rPr>
            </w:pPr>
          </w:p>
        </w:tc>
        <w:tc>
          <w:tcPr>
            <w:tcW w:w="458" w:type="pct"/>
            <w:shd w:val="clear" w:color="auto" w:fill="auto"/>
            <w:vAlign w:val="center"/>
          </w:tcPr>
          <w:p w14:paraId="6FFD9BA2" w14:textId="689BBC3C" w:rsidR="00B1546A" w:rsidRPr="00487209" w:rsidRDefault="00B1546A" w:rsidP="00B1546A">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6F48827F" w14:textId="64DBECAD" w:rsidR="00B1546A" w:rsidRPr="00487209" w:rsidRDefault="00B1546A" w:rsidP="001736AC">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Pr="00487209">
              <w:rPr>
                <w:rFonts w:ascii="Times New Roman" w:hAnsi="Times New Roman" w:cs="Times New Roman"/>
                <w:sz w:val="18"/>
                <w:szCs w:val="18"/>
                <w:lang w:val="sr-Cyrl-CS"/>
              </w:rPr>
              <w:t>а закона о грађевинским производима која се може упоредити са ч</w:t>
            </w:r>
            <w:r w:rsidR="00862CFF">
              <w:rPr>
                <w:rFonts w:ascii="Times New Roman" w:hAnsi="Times New Roman" w:cs="Times New Roman"/>
                <w:sz w:val="18"/>
                <w:szCs w:val="18"/>
                <w:lang w:val="ru-RU"/>
              </w:rPr>
              <w:t>лан</w:t>
            </w:r>
            <w:r w:rsidRPr="00487209">
              <w:rPr>
                <w:rFonts w:ascii="Times New Roman" w:hAnsi="Times New Roman" w:cs="Times New Roman"/>
                <w:sz w:val="18"/>
                <w:szCs w:val="18"/>
                <w:lang w:val="ru-RU"/>
              </w:rPr>
              <w:t xml:space="preserve"> </w:t>
            </w:r>
            <w:r w:rsidR="00BA377B" w:rsidRPr="00487209">
              <w:rPr>
                <w:rFonts w:ascii="Times New Roman" w:hAnsi="Times New Roman" w:cs="Times New Roman"/>
                <w:sz w:val="18"/>
                <w:szCs w:val="18"/>
                <w:lang w:val="ru-RU"/>
              </w:rPr>
              <w:t>20.</w:t>
            </w:r>
            <w:r w:rsidR="00862CFF">
              <w:rPr>
                <w:rFonts w:ascii="Times New Roman" w:hAnsi="Times New Roman" w:cs="Times New Roman"/>
                <w:sz w:val="18"/>
                <w:szCs w:val="18"/>
                <w:lang w:val="ru-RU"/>
              </w:rPr>
              <w:t xml:space="preserve"> став</w:t>
            </w:r>
            <w:r w:rsidR="001736AC">
              <w:rPr>
                <w:rFonts w:ascii="Times New Roman" w:hAnsi="Times New Roman" w:cs="Times New Roman"/>
                <w:sz w:val="18"/>
                <w:szCs w:val="18"/>
                <w:lang w:val="ru-RU"/>
              </w:rPr>
              <w:t xml:space="preserve"> </w:t>
            </w:r>
            <w:r w:rsidR="00BA377B" w:rsidRPr="00487209">
              <w:rPr>
                <w:rFonts w:ascii="Times New Roman" w:hAnsi="Times New Roman" w:cs="Times New Roman"/>
                <w:sz w:val="18"/>
                <w:szCs w:val="18"/>
                <w:lang w:val="ru-RU"/>
              </w:rPr>
              <w:t xml:space="preserve">2. </w:t>
            </w:r>
            <w:r w:rsidRPr="00487209">
              <w:rPr>
                <w:rFonts w:ascii="Times New Roman" w:hAnsi="Times New Roman" w:cs="Times New Roman"/>
                <w:sz w:val="18"/>
                <w:szCs w:val="18"/>
                <w:lang w:val="sr-Cyrl-CS"/>
              </w:rPr>
              <w:t xml:space="preserve">Уредбе 305/2011 (ЕУ), због статуса нечланице. </w:t>
            </w:r>
            <w:r w:rsidRPr="00487209">
              <w:rPr>
                <w:rFonts w:ascii="Times New Roman" w:hAnsi="Times New Roman" w:cs="Times New Roman"/>
                <w:sz w:val="18"/>
                <w:szCs w:val="18"/>
                <w:lang w:val="sr-Cyrl-CS"/>
              </w:rPr>
              <w:lastRenderedPageBreak/>
              <w:t>Усклађивање ће бити могуће након приступања ЕУ.</w:t>
            </w:r>
          </w:p>
        </w:tc>
        <w:tc>
          <w:tcPr>
            <w:tcW w:w="480" w:type="pct"/>
            <w:shd w:val="clear" w:color="auto" w:fill="auto"/>
            <w:vAlign w:val="center"/>
          </w:tcPr>
          <w:p w14:paraId="4BC32AA9" w14:textId="77777777" w:rsidR="00B1546A" w:rsidRPr="00487209" w:rsidRDefault="00B1546A" w:rsidP="00B1546A">
            <w:pPr>
              <w:spacing w:before="120" w:after="120"/>
              <w:jc w:val="center"/>
              <w:rPr>
                <w:rFonts w:ascii="Times New Roman" w:hAnsi="Times New Roman" w:cs="Times New Roman"/>
                <w:sz w:val="18"/>
                <w:szCs w:val="18"/>
                <w:lang w:val="ru-RU"/>
              </w:rPr>
            </w:pPr>
          </w:p>
        </w:tc>
      </w:tr>
      <w:tr w:rsidR="00337554" w:rsidRPr="00487209" w14:paraId="73EFBE41" w14:textId="77777777" w:rsidTr="007D5144">
        <w:trPr>
          <w:trHeight w:val="1970"/>
          <w:jc w:val="center"/>
        </w:trPr>
        <w:tc>
          <w:tcPr>
            <w:tcW w:w="435" w:type="pct"/>
            <w:shd w:val="clear" w:color="auto" w:fill="auto"/>
            <w:vAlign w:val="center"/>
          </w:tcPr>
          <w:p w14:paraId="0D1F089B" w14:textId="77777777" w:rsidR="00B1546A" w:rsidRPr="00487209" w:rsidRDefault="00B1546A" w:rsidP="00B1546A">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21.1.(a)</w:t>
            </w:r>
          </w:p>
        </w:tc>
        <w:tc>
          <w:tcPr>
            <w:tcW w:w="1369" w:type="pct"/>
            <w:gridSpan w:val="2"/>
            <w:shd w:val="clear" w:color="auto" w:fill="auto"/>
            <w:vAlign w:val="center"/>
          </w:tcPr>
          <w:p w14:paraId="7A99E91D" w14:textId="77777777" w:rsidR="00B1546A" w:rsidRPr="00487209" w:rsidRDefault="00B1546A" w:rsidP="00B1546A">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TAB receiving a request for a European Technical Assessment shall inform the manufacturer if the construction product is covered, fully or partially, by a harmonised technical specification as follows:</w:t>
            </w:r>
          </w:p>
          <w:p w14:paraId="7D90F052" w14:textId="77777777" w:rsidR="00B1546A" w:rsidRPr="00487209" w:rsidRDefault="00B1546A" w:rsidP="00B1546A">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where the product is fully covered by a harmonised standard, the TAB shall inform the manufacturer that, in accordance with Article 19(1), a European Technical Assessment cannot be issued;</w:t>
            </w:r>
          </w:p>
          <w:p w14:paraId="3C60847B" w14:textId="77777777" w:rsidR="00B1546A" w:rsidRPr="00487209" w:rsidRDefault="00B1546A" w:rsidP="00B1546A">
            <w:pPr>
              <w:jc w:val="both"/>
              <w:rPr>
                <w:rFonts w:ascii="Times New Roman" w:hAnsi="Times New Roman" w:cs="Times New Roman"/>
                <w:sz w:val="18"/>
                <w:szCs w:val="18"/>
                <w:lang w:val="sr-Cyrl-CS"/>
              </w:rPr>
            </w:pPr>
          </w:p>
        </w:tc>
        <w:tc>
          <w:tcPr>
            <w:tcW w:w="429" w:type="pct"/>
            <w:shd w:val="clear" w:color="auto" w:fill="auto"/>
            <w:vAlign w:val="center"/>
          </w:tcPr>
          <w:p w14:paraId="6F58C2A3" w14:textId="77777777" w:rsidR="00602EF8" w:rsidRDefault="00602EF8" w:rsidP="00B1546A">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01</w:t>
            </w:r>
          </w:p>
          <w:p w14:paraId="77D6A8EE" w14:textId="77777777" w:rsidR="00602EF8" w:rsidRDefault="00602EF8" w:rsidP="00B1546A">
            <w:pPr>
              <w:spacing w:before="120" w:after="120"/>
              <w:ind w:firstLine="5"/>
              <w:jc w:val="center"/>
              <w:rPr>
                <w:rFonts w:ascii="Times New Roman" w:hAnsi="Times New Roman" w:cs="Times New Roman"/>
                <w:sz w:val="18"/>
                <w:szCs w:val="18"/>
                <w:lang w:val="ru-RU"/>
              </w:rPr>
            </w:pPr>
          </w:p>
          <w:p w14:paraId="40ABA3DE" w14:textId="010354BE" w:rsidR="00B1546A" w:rsidRPr="00487209" w:rsidRDefault="00602EF8" w:rsidP="00B1546A">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23.1.1)</w:t>
            </w:r>
          </w:p>
        </w:tc>
        <w:tc>
          <w:tcPr>
            <w:tcW w:w="1231" w:type="pct"/>
            <w:gridSpan w:val="2"/>
            <w:shd w:val="clear" w:color="auto" w:fill="auto"/>
            <w:vAlign w:val="center"/>
          </w:tcPr>
          <w:p w14:paraId="0E355739" w14:textId="0730E6C7" w:rsidR="00602EF8" w:rsidRPr="00602EF8" w:rsidRDefault="00602EF8" w:rsidP="007D5144">
            <w:pPr>
              <w:jc w:val="both"/>
              <w:rPr>
                <w:rFonts w:ascii="Times New Roman" w:hAnsi="Times New Roman" w:cs="Times New Roman"/>
                <w:sz w:val="18"/>
                <w:szCs w:val="18"/>
                <w:lang w:val="sr-Cyrl-CS"/>
              </w:rPr>
            </w:pPr>
            <w:r w:rsidRPr="00602EF8">
              <w:rPr>
                <w:rFonts w:ascii="Times New Roman" w:hAnsi="Times New Roman" w:cs="Times New Roman"/>
                <w:sz w:val="18"/>
                <w:szCs w:val="18"/>
                <w:lang w:val="sr-Cyrl-CS"/>
              </w:rPr>
              <w:t xml:space="preserve">Тело за техничко оцењивање које прими захтев за српску техничку оцену обавештава произвођача да ли је тај грађевински производ обухваћен, у потпуности или делимично, </w:t>
            </w:r>
            <w:r w:rsidR="00B715B5" w:rsidRPr="00602EF8">
              <w:rPr>
                <w:rFonts w:ascii="Times New Roman" w:hAnsi="Times New Roman" w:cs="Times New Roman"/>
                <w:sz w:val="18"/>
                <w:szCs w:val="18"/>
                <w:lang w:val="sr-Cyrl-CS"/>
              </w:rPr>
              <w:t>хармонизован</w:t>
            </w:r>
            <w:r w:rsidR="00B715B5">
              <w:rPr>
                <w:rFonts w:ascii="Times New Roman" w:hAnsi="Times New Roman" w:cs="Times New Roman"/>
                <w:sz w:val="18"/>
                <w:szCs w:val="18"/>
                <w:lang w:val="sr-Cyrl-CS"/>
              </w:rPr>
              <w:t>и</w:t>
            </w:r>
            <w:r w:rsidR="00B715B5" w:rsidRPr="00602EF8">
              <w:rPr>
                <w:rFonts w:ascii="Times New Roman" w:hAnsi="Times New Roman" w:cs="Times New Roman"/>
                <w:sz w:val="18"/>
                <w:szCs w:val="18"/>
                <w:lang w:val="sr-Cyrl-CS"/>
              </w:rPr>
              <w:t xml:space="preserve">м </w:t>
            </w:r>
            <w:r w:rsidR="00B715B5">
              <w:rPr>
                <w:rFonts w:ascii="Times New Roman" w:hAnsi="Times New Roman" w:cs="Times New Roman"/>
                <w:sz w:val="18"/>
                <w:szCs w:val="18"/>
                <w:lang w:val="sr-Cyrl-CS"/>
              </w:rPr>
              <w:t>стандардом</w:t>
            </w:r>
            <w:r w:rsidRPr="00602EF8">
              <w:rPr>
                <w:rFonts w:ascii="Times New Roman" w:hAnsi="Times New Roman" w:cs="Times New Roman"/>
                <w:sz w:val="18"/>
                <w:szCs w:val="18"/>
                <w:lang w:val="sr-Cyrl-CS"/>
              </w:rPr>
              <w:t xml:space="preserve">, српским стандардом или техничким прописом на следећи начин: </w:t>
            </w:r>
          </w:p>
          <w:p w14:paraId="2374DB6D" w14:textId="24E8E315" w:rsidR="00B1546A" w:rsidRPr="00487209" w:rsidRDefault="00602EF8" w:rsidP="00B715B5">
            <w:pPr>
              <w:ind w:left="319"/>
              <w:jc w:val="both"/>
              <w:rPr>
                <w:rFonts w:ascii="Times New Roman" w:hAnsi="Times New Roman" w:cs="Times New Roman"/>
                <w:sz w:val="18"/>
                <w:szCs w:val="18"/>
                <w:lang w:val="sr-Cyrl-CS"/>
              </w:rPr>
            </w:pPr>
            <w:r w:rsidRPr="00602EF8">
              <w:rPr>
                <w:rFonts w:ascii="Times New Roman" w:hAnsi="Times New Roman" w:cs="Times New Roman"/>
                <w:sz w:val="18"/>
                <w:szCs w:val="18"/>
                <w:lang w:val="sr-Cyrl-CS"/>
              </w:rPr>
              <w:t>1)</w:t>
            </w:r>
            <w:r w:rsidRPr="00602EF8">
              <w:rPr>
                <w:rFonts w:ascii="Times New Roman" w:hAnsi="Times New Roman" w:cs="Times New Roman"/>
                <w:sz w:val="18"/>
                <w:szCs w:val="18"/>
                <w:lang w:val="sr-Cyrl-CS"/>
              </w:rPr>
              <w:tab/>
              <w:t xml:space="preserve">када је производ у потпуности обухваћен </w:t>
            </w:r>
            <w:r w:rsidR="00B715B5" w:rsidRPr="00602EF8">
              <w:rPr>
                <w:rFonts w:ascii="Times New Roman" w:hAnsi="Times New Roman" w:cs="Times New Roman"/>
                <w:sz w:val="18"/>
                <w:szCs w:val="18"/>
                <w:lang w:val="sr-Cyrl-CS"/>
              </w:rPr>
              <w:t>хармонизован</w:t>
            </w:r>
            <w:r w:rsidR="00B715B5">
              <w:rPr>
                <w:rFonts w:ascii="Times New Roman" w:hAnsi="Times New Roman" w:cs="Times New Roman"/>
                <w:sz w:val="18"/>
                <w:szCs w:val="18"/>
                <w:lang w:val="sr-Cyrl-CS"/>
              </w:rPr>
              <w:t>и</w:t>
            </w:r>
            <w:r w:rsidR="00B715B5" w:rsidRPr="00602EF8">
              <w:rPr>
                <w:rFonts w:ascii="Times New Roman" w:hAnsi="Times New Roman" w:cs="Times New Roman"/>
                <w:sz w:val="18"/>
                <w:szCs w:val="18"/>
                <w:lang w:val="sr-Cyrl-CS"/>
              </w:rPr>
              <w:t xml:space="preserve">м </w:t>
            </w:r>
            <w:r w:rsidR="00B715B5">
              <w:rPr>
                <w:rFonts w:ascii="Times New Roman" w:hAnsi="Times New Roman" w:cs="Times New Roman"/>
                <w:sz w:val="18"/>
                <w:szCs w:val="18"/>
                <w:lang w:val="sr-Cyrl-CS"/>
              </w:rPr>
              <w:t>стандардом</w:t>
            </w:r>
            <w:r w:rsidRPr="00602EF8">
              <w:rPr>
                <w:rFonts w:ascii="Times New Roman" w:hAnsi="Times New Roman" w:cs="Times New Roman"/>
                <w:sz w:val="18"/>
                <w:szCs w:val="18"/>
                <w:lang w:val="sr-Cyrl-CS"/>
              </w:rPr>
              <w:t>, српским стандардом или техничким прописом, тело за техничко оцењивање обавештава произвођача да српска техничка оцена не може бити издата;</w:t>
            </w:r>
          </w:p>
        </w:tc>
        <w:tc>
          <w:tcPr>
            <w:tcW w:w="458" w:type="pct"/>
            <w:shd w:val="clear" w:color="auto" w:fill="auto"/>
            <w:vAlign w:val="center"/>
          </w:tcPr>
          <w:p w14:paraId="5512AAA8" w14:textId="01EBD1EB" w:rsidR="00B1546A" w:rsidRPr="00487209" w:rsidRDefault="00602EF8" w:rsidP="00B1546A">
            <w:pPr>
              <w:spacing w:before="120" w:after="120"/>
              <w:jc w:val="center"/>
              <w:rPr>
                <w:rFonts w:ascii="Times New Roman" w:hAnsi="Times New Roman" w:cs="Times New Roman"/>
                <w:sz w:val="18"/>
                <w:szCs w:val="18"/>
                <w:lang w:val="sr-Cyrl-CS"/>
              </w:rPr>
            </w:pPr>
            <w:r>
              <w:rPr>
                <w:rFonts w:ascii="Times New Roman" w:hAnsi="Times New Roman" w:cs="Times New Roman"/>
                <w:sz w:val="18"/>
                <w:szCs w:val="18"/>
                <w:lang w:val="sr-Cyrl-CS"/>
              </w:rPr>
              <w:t>Д</w:t>
            </w:r>
            <w:r w:rsidRPr="00487209">
              <w:rPr>
                <w:rFonts w:ascii="Times New Roman" w:hAnsi="Times New Roman" w:cs="Times New Roman"/>
                <w:sz w:val="18"/>
                <w:szCs w:val="18"/>
                <w:lang w:val="sr-Cyrl-CS"/>
              </w:rPr>
              <w:t>У</w:t>
            </w:r>
          </w:p>
        </w:tc>
        <w:tc>
          <w:tcPr>
            <w:tcW w:w="598" w:type="pct"/>
            <w:gridSpan w:val="2"/>
            <w:shd w:val="clear" w:color="auto" w:fill="auto"/>
            <w:vAlign w:val="center"/>
          </w:tcPr>
          <w:p w14:paraId="4829C280" w14:textId="24F255F8" w:rsidR="00B1546A" w:rsidRPr="00487209" w:rsidRDefault="00C6797A" w:rsidP="00862CFF">
            <w:pPr>
              <w:spacing w:before="120" w:after="120"/>
              <w:ind w:firstLine="21"/>
              <w:jc w:val="both"/>
              <w:rPr>
                <w:rFonts w:ascii="Times New Roman" w:hAnsi="Times New Roman" w:cs="Times New Roman"/>
                <w:sz w:val="18"/>
                <w:szCs w:val="18"/>
                <w:lang w:val="ru-RU"/>
              </w:rPr>
            </w:pPr>
            <w:r w:rsidRPr="00C6797A">
              <w:rPr>
                <w:rFonts w:ascii="Times New Roman" w:hAnsi="Times New Roman" w:cs="Times New Roman"/>
                <w:sz w:val="18"/>
                <w:szCs w:val="18"/>
                <w:lang w:val="sr-Cyrl-CS"/>
              </w:rPr>
              <w:t>Чл</w:t>
            </w:r>
            <w:r w:rsidR="00862CFF">
              <w:rPr>
                <w:rFonts w:ascii="Times New Roman" w:hAnsi="Times New Roman" w:cs="Times New Roman"/>
                <w:sz w:val="18"/>
                <w:szCs w:val="18"/>
                <w:lang w:val="sr-Cyrl-CS"/>
              </w:rPr>
              <w:t>ан</w:t>
            </w:r>
            <w:r w:rsidRPr="00C6797A">
              <w:rPr>
                <w:rFonts w:ascii="Times New Roman" w:hAnsi="Times New Roman" w:cs="Times New Roman"/>
                <w:sz w:val="18"/>
                <w:szCs w:val="18"/>
                <w:lang w:val="sr-Cyrl-CS"/>
              </w:rPr>
              <w:t xml:space="preserve"> 2</w:t>
            </w:r>
            <w:r>
              <w:rPr>
                <w:rFonts w:ascii="Times New Roman" w:hAnsi="Times New Roman" w:cs="Times New Roman"/>
                <w:sz w:val="18"/>
                <w:szCs w:val="18"/>
              </w:rPr>
              <w:t>1</w:t>
            </w:r>
            <w:r w:rsidRPr="00C6797A">
              <w:rPr>
                <w:rFonts w:ascii="Times New Roman" w:hAnsi="Times New Roman" w:cs="Times New Roman"/>
                <w:sz w:val="18"/>
                <w:szCs w:val="18"/>
                <w:lang w:val="sr-Cyrl-CS"/>
              </w:rPr>
              <w:t>.1.(а) Ур</w:t>
            </w:r>
            <w:r w:rsidR="00862CFF">
              <w:rPr>
                <w:rFonts w:ascii="Times New Roman" w:hAnsi="Times New Roman" w:cs="Times New Roman"/>
                <w:sz w:val="18"/>
                <w:szCs w:val="18"/>
                <w:lang w:val="sr-Cyrl-CS"/>
              </w:rPr>
              <w:t>едбе 305/2011 (ЕУ) је пренет члан</w:t>
            </w:r>
            <w:r w:rsidRPr="00C6797A">
              <w:rPr>
                <w:rFonts w:ascii="Times New Roman" w:hAnsi="Times New Roman" w:cs="Times New Roman"/>
                <w:sz w:val="18"/>
                <w:szCs w:val="18"/>
                <w:lang w:val="sr-Cyrl-CS"/>
              </w:rPr>
              <w:t xml:space="preserve"> 2</w:t>
            </w:r>
            <w:r>
              <w:rPr>
                <w:rFonts w:ascii="Times New Roman" w:hAnsi="Times New Roman" w:cs="Times New Roman"/>
                <w:sz w:val="18"/>
                <w:szCs w:val="18"/>
              </w:rPr>
              <w:t>3</w:t>
            </w:r>
            <w:r w:rsidRPr="00C6797A">
              <w:rPr>
                <w:rFonts w:ascii="Times New Roman" w:hAnsi="Times New Roman" w:cs="Times New Roman"/>
                <w:sz w:val="18"/>
                <w:szCs w:val="18"/>
                <w:lang w:val="sr-Cyrl-CS"/>
              </w:rPr>
              <w:t>.</w:t>
            </w:r>
            <w:r w:rsidR="00862CFF">
              <w:rPr>
                <w:rFonts w:ascii="Times New Roman" w:hAnsi="Times New Roman" w:cs="Times New Roman"/>
                <w:sz w:val="18"/>
                <w:szCs w:val="18"/>
                <w:lang w:val="sr-Cyrl-CS"/>
              </w:rPr>
              <w:t xml:space="preserve"> став</w:t>
            </w:r>
            <w:r w:rsidR="001736AC">
              <w:rPr>
                <w:rFonts w:ascii="Times New Roman" w:hAnsi="Times New Roman" w:cs="Times New Roman"/>
                <w:sz w:val="18"/>
                <w:szCs w:val="18"/>
                <w:lang w:val="sr-Cyrl-CS"/>
              </w:rPr>
              <w:t xml:space="preserve"> </w:t>
            </w:r>
            <w:r w:rsidR="001736AC" w:rsidRPr="00C6797A">
              <w:rPr>
                <w:rFonts w:ascii="Times New Roman" w:hAnsi="Times New Roman" w:cs="Times New Roman"/>
                <w:sz w:val="18"/>
                <w:szCs w:val="18"/>
                <w:lang w:val="sr-Cyrl-CS"/>
              </w:rPr>
              <w:t>1.</w:t>
            </w:r>
            <w:r w:rsidR="00862CFF">
              <w:rPr>
                <w:rFonts w:ascii="Times New Roman" w:hAnsi="Times New Roman" w:cs="Times New Roman"/>
                <w:sz w:val="18"/>
                <w:szCs w:val="18"/>
                <w:lang w:val="sr-Cyrl-CS"/>
              </w:rPr>
              <w:t xml:space="preserve"> тачка</w:t>
            </w:r>
            <w:r w:rsidR="001736AC">
              <w:rPr>
                <w:rFonts w:ascii="Times New Roman" w:hAnsi="Times New Roman" w:cs="Times New Roman"/>
                <w:sz w:val="18"/>
                <w:szCs w:val="18"/>
                <w:lang w:val="sr-Cyrl-CS"/>
              </w:rPr>
              <w:t xml:space="preserve"> </w:t>
            </w:r>
            <w:r w:rsidRPr="00C6797A">
              <w:rPr>
                <w:rFonts w:ascii="Times New Roman" w:hAnsi="Times New Roman" w:cs="Times New Roman"/>
                <w:sz w:val="18"/>
                <w:szCs w:val="18"/>
                <w:lang w:val="sr-Cyrl-CS"/>
              </w:rPr>
              <w:t xml:space="preserve">1) </w:t>
            </w:r>
            <w:r w:rsidR="0073105A">
              <w:rPr>
                <w:rFonts w:ascii="Times New Roman" w:hAnsi="Times New Roman" w:cs="Times New Roman"/>
                <w:sz w:val="18"/>
                <w:szCs w:val="18"/>
                <w:lang w:val="sr-Cyrl-CS"/>
              </w:rPr>
              <w:t>Предлог</w:t>
            </w:r>
            <w:r w:rsidRPr="00C6797A">
              <w:rPr>
                <w:rFonts w:ascii="Times New Roman" w:hAnsi="Times New Roman" w:cs="Times New Roman"/>
                <w:sz w:val="18"/>
                <w:szCs w:val="18"/>
                <w:lang w:val="sr-Cyrl-CS"/>
              </w:rPr>
              <w:t xml:space="preserve">а закона о грађевинским производима у делу који се односи на </w:t>
            </w:r>
            <w:r>
              <w:rPr>
                <w:rFonts w:ascii="Times New Roman" w:hAnsi="Times New Roman" w:cs="Times New Roman"/>
                <w:sz w:val="18"/>
                <w:szCs w:val="18"/>
                <w:lang w:val="sr-Cyrl-CS"/>
              </w:rPr>
              <w:t>издавање</w:t>
            </w:r>
            <w:r w:rsidRPr="00C6797A">
              <w:rPr>
                <w:rFonts w:ascii="Times New Roman" w:hAnsi="Times New Roman" w:cs="Times New Roman"/>
                <w:sz w:val="18"/>
                <w:szCs w:val="18"/>
                <w:lang w:val="sr-Cyrl-CS"/>
              </w:rPr>
              <w:t xml:space="preserve"> националн</w:t>
            </w:r>
            <w:r>
              <w:rPr>
                <w:rFonts w:ascii="Times New Roman" w:hAnsi="Times New Roman" w:cs="Times New Roman"/>
                <w:sz w:val="18"/>
                <w:szCs w:val="18"/>
                <w:lang w:val="sr-Cyrl-CS"/>
              </w:rPr>
              <w:t>е техничке оцене</w:t>
            </w:r>
            <w:r w:rsidRPr="00C6797A">
              <w:rPr>
                <w:rFonts w:ascii="Times New Roman" w:hAnsi="Times New Roman" w:cs="Times New Roman"/>
                <w:sz w:val="18"/>
                <w:szCs w:val="18"/>
                <w:lang w:val="sr-Cyrl-CS"/>
              </w:rPr>
              <w:t>. Потпуно усклађивање биће могуће након приступања ЕУ.</w:t>
            </w:r>
          </w:p>
        </w:tc>
        <w:tc>
          <w:tcPr>
            <w:tcW w:w="480" w:type="pct"/>
            <w:shd w:val="clear" w:color="auto" w:fill="auto"/>
            <w:vAlign w:val="center"/>
          </w:tcPr>
          <w:p w14:paraId="05178FAE" w14:textId="77777777" w:rsidR="00B1546A" w:rsidRPr="00487209" w:rsidRDefault="00B1546A" w:rsidP="00B1546A">
            <w:pPr>
              <w:spacing w:before="120" w:after="120"/>
              <w:jc w:val="center"/>
              <w:rPr>
                <w:rFonts w:ascii="Times New Roman" w:hAnsi="Times New Roman" w:cs="Times New Roman"/>
                <w:sz w:val="18"/>
                <w:szCs w:val="18"/>
                <w:lang w:val="sr-Cyrl-CS"/>
              </w:rPr>
            </w:pPr>
          </w:p>
        </w:tc>
      </w:tr>
      <w:tr w:rsidR="00337554" w:rsidRPr="00487209" w14:paraId="68F6BAB3" w14:textId="77777777" w:rsidTr="007D5144">
        <w:trPr>
          <w:trHeight w:val="1970"/>
          <w:jc w:val="center"/>
        </w:trPr>
        <w:tc>
          <w:tcPr>
            <w:tcW w:w="435" w:type="pct"/>
            <w:shd w:val="clear" w:color="auto" w:fill="auto"/>
            <w:vAlign w:val="center"/>
          </w:tcPr>
          <w:p w14:paraId="4F62BEB8" w14:textId="77777777" w:rsidR="00B1546A" w:rsidRPr="00487209" w:rsidRDefault="00B1546A" w:rsidP="00B1546A">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21.1.(b)</w:t>
            </w:r>
          </w:p>
        </w:tc>
        <w:tc>
          <w:tcPr>
            <w:tcW w:w="1369" w:type="pct"/>
            <w:gridSpan w:val="2"/>
            <w:shd w:val="clear" w:color="auto" w:fill="auto"/>
            <w:vAlign w:val="center"/>
          </w:tcPr>
          <w:p w14:paraId="1A3B8378" w14:textId="77777777" w:rsidR="00B1546A" w:rsidRPr="00487209" w:rsidRDefault="00B1546A" w:rsidP="00B1546A">
            <w:pPr>
              <w:jc w:val="both"/>
              <w:rPr>
                <w:rFonts w:ascii="Times New Roman" w:hAnsi="Times New Roman" w:cs="Times New Roman"/>
                <w:sz w:val="18"/>
                <w:szCs w:val="18"/>
              </w:rPr>
            </w:pPr>
            <w:r w:rsidRPr="00487209">
              <w:rPr>
                <w:rFonts w:ascii="Times New Roman" w:hAnsi="Times New Roman" w:cs="Times New Roman"/>
                <w:sz w:val="18"/>
                <w:szCs w:val="18"/>
              </w:rPr>
              <w:t>where the product is fully covered by a European Assessment Document, the TAB shall inform the manufacturer that such a document will be used as the basis for the European Technical Assessment to be issued;</w:t>
            </w:r>
          </w:p>
        </w:tc>
        <w:tc>
          <w:tcPr>
            <w:tcW w:w="429" w:type="pct"/>
            <w:shd w:val="clear" w:color="auto" w:fill="auto"/>
            <w:vAlign w:val="center"/>
          </w:tcPr>
          <w:p w14:paraId="70A9B5F6" w14:textId="77777777" w:rsidR="00602EF8" w:rsidRDefault="00602EF8" w:rsidP="00602EF8">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01</w:t>
            </w:r>
          </w:p>
          <w:p w14:paraId="39B6A22B" w14:textId="77777777" w:rsidR="00602EF8" w:rsidRDefault="00602EF8" w:rsidP="00602EF8">
            <w:pPr>
              <w:spacing w:before="120" w:after="120"/>
              <w:ind w:firstLine="5"/>
              <w:jc w:val="center"/>
              <w:rPr>
                <w:rFonts w:ascii="Times New Roman" w:hAnsi="Times New Roman" w:cs="Times New Roman"/>
                <w:sz w:val="18"/>
                <w:szCs w:val="18"/>
                <w:lang w:val="ru-RU"/>
              </w:rPr>
            </w:pPr>
          </w:p>
          <w:p w14:paraId="4B5A72C9" w14:textId="55DD782D" w:rsidR="00B1546A" w:rsidRPr="00487209" w:rsidRDefault="00602EF8" w:rsidP="00602EF8">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23.1.2)</w:t>
            </w:r>
          </w:p>
        </w:tc>
        <w:tc>
          <w:tcPr>
            <w:tcW w:w="1231" w:type="pct"/>
            <w:gridSpan w:val="2"/>
            <w:shd w:val="clear" w:color="auto" w:fill="auto"/>
            <w:vAlign w:val="center"/>
          </w:tcPr>
          <w:p w14:paraId="785099F2" w14:textId="4F661582" w:rsidR="00B1546A" w:rsidRPr="00487209" w:rsidRDefault="00602EF8" w:rsidP="007D5144">
            <w:pPr>
              <w:ind w:left="319"/>
              <w:rPr>
                <w:rFonts w:ascii="Times New Roman" w:hAnsi="Times New Roman" w:cs="Times New Roman"/>
                <w:sz w:val="18"/>
                <w:szCs w:val="18"/>
                <w:lang w:val="sr-Cyrl-CS"/>
              </w:rPr>
            </w:pPr>
            <w:r w:rsidRPr="00602EF8">
              <w:rPr>
                <w:rFonts w:ascii="Times New Roman" w:hAnsi="Times New Roman" w:cs="Times New Roman"/>
                <w:sz w:val="18"/>
                <w:szCs w:val="18"/>
                <w:lang w:val="sr-Cyrl-CS"/>
              </w:rPr>
              <w:t>2)</w:t>
            </w:r>
            <w:r w:rsidRPr="00602EF8">
              <w:rPr>
                <w:rFonts w:ascii="Times New Roman" w:hAnsi="Times New Roman" w:cs="Times New Roman"/>
                <w:sz w:val="18"/>
                <w:szCs w:val="18"/>
                <w:lang w:val="sr-Cyrl-CS"/>
              </w:rPr>
              <w:tab/>
              <w:t>када је производ у потпуности обухваћен српским документом за оцењивање, тело за техничко оцењивање обавештава произвођача да ће такав документ бити коришћен као основ за издавање српске техничке оцене;</w:t>
            </w:r>
          </w:p>
        </w:tc>
        <w:tc>
          <w:tcPr>
            <w:tcW w:w="458" w:type="pct"/>
            <w:shd w:val="clear" w:color="auto" w:fill="auto"/>
            <w:vAlign w:val="center"/>
          </w:tcPr>
          <w:p w14:paraId="472EDE23" w14:textId="3055E569" w:rsidR="00B1546A" w:rsidRPr="00487209" w:rsidRDefault="00602EF8" w:rsidP="00B1546A">
            <w:pPr>
              <w:spacing w:before="120" w:after="120"/>
              <w:jc w:val="center"/>
              <w:rPr>
                <w:rFonts w:ascii="Times New Roman" w:hAnsi="Times New Roman" w:cs="Times New Roman"/>
                <w:sz w:val="18"/>
                <w:szCs w:val="18"/>
                <w:lang w:val="sr-Cyrl-CS"/>
              </w:rPr>
            </w:pPr>
            <w:r>
              <w:rPr>
                <w:rFonts w:ascii="Times New Roman" w:hAnsi="Times New Roman" w:cs="Times New Roman"/>
                <w:sz w:val="18"/>
                <w:szCs w:val="18"/>
                <w:lang w:val="sr-Cyrl-CS"/>
              </w:rPr>
              <w:t>Д</w:t>
            </w:r>
            <w:r w:rsidRPr="00487209">
              <w:rPr>
                <w:rFonts w:ascii="Times New Roman" w:hAnsi="Times New Roman" w:cs="Times New Roman"/>
                <w:sz w:val="18"/>
                <w:szCs w:val="18"/>
                <w:lang w:val="sr-Cyrl-CS"/>
              </w:rPr>
              <w:t>У</w:t>
            </w:r>
          </w:p>
        </w:tc>
        <w:tc>
          <w:tcPr>
            <w:tcW w:w="598" w:type="pct"/>
            <w:gridSpan w:val="2"/>
            <w:shd w:val="clear" w:color="auto" w:fill="auto"/>
            <w:vAlign w:val="center"/>
          </w:tcPr>
          <w:p w14:paraId="6C0CBD0E" w14:textId="7E5A1CBB" w:rsidR="00B1546A" w:rsidRPr="00487209" w:rsidRDefault="00B65B7A" w:rsidP="00B65B7A">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sr-Cyrl-CS"/>
              </w:rPr>
              <w:t>Члан</w:t>
            </w:r>
            <w:r w:rsidR="00D53D10" w:rsidRPr="00C6797A">
              <w:rPr>
                <w:rFonts w:ascii="Times New Roman" w:hAnsi="Times New Roman" w:cs="Times New Roman"/>
                <w:sz w:val="18"/>
                <w:szCs w:val="18"/>
                <w:lang w:val="sr-Cyrl-CS"/>
              </w:rPr>
              <w:t xml:space="preserve"> 2</w:t>
            </w:r>
            <w:r w:rsidR="00D53D10">
              <w:rPr>
                <w:rFonts w:ascii="Times New Roman" w:hAnsi="Times New Roman" w:cs="Times New Roman"/>
                <w:sz w:val="18"/>
                <w:szCs w:val="18"/>
              </w:rPr>
              <w:t>1</w:t>
            </w:r>
            <w:r w:rsidR="00D53D10" w:rsidRPr="00C6797A">
              <w:rPr>
                <w:rFonts w:ascii="Times New Roman" w:hAnsi="Times New Roman" w:cs="Times New Roman"/>
                <w:sz w:val="18"/>
                <w:szCs w:val="18"/>
                <w:lang w:val="sr-Cyrl-CS"/>
              </w:rPr>
              <w:t>.1.(</w:t>
            </w:r>
            <w:r w:rsidR="00D53D10">
              <w:rPr>
                <w:rFonts w:ascii="Times New Roman" w:hAnsi="Times New Roman" w:cs="Times New Roman"/>
                <w:sz w:val="18"/>
                <w:szCs w:val="18"/>
              </w:rPr>
              <w:t>b</w:t>
            </w:r>
            <w:r w:rsidR="00D53D10" w:rsidRPr="00C6797A">
              <w:rPr>
                <w:rFonts w:ascii="Times New Roman" w:hAnsi="Times New Roman" w:cs="Times New Roman"/>
                <w:sz w:val="18"/>
                <w:szCs w:val="18"/>
                <w:lang w:val="sr-Cyrl-CS"/>
              </w:rPr>
              <w:t>) Ур</w:t>
            </w:r>
            <w:r>
              <w:rPr>
                <w:rFonts w:ascii="Times New Roman" w:hAnsi="Times New Roman" w:cs="Times New Roman"/>
                <w:sz w:val="18"/>
                <w:szCs w:val="18"/>
                <w:lang w:val="sr-Cyrl-CS"/>
              </w:rPr>
              <w:t>едбе 305/2011 (ЕУ) је пренет члан</w:t>
            </w:r>
            <w:r w:rsidR="00D53D10" w:rsidRPr="00C6797A">
              <w:rPr>
                <w:rFonts w:ascii="Times New Roman" w:hAnsi="Times New Roman" w:cs="Times New Roman"/>
                <w:sz w:val="18"/>
                <w:szCs w:val="18"/>
                <w:lang w:val="sr-Cyrl-CS"/>
              </w:rPr>
              <w:t xml:space="preserve"> 2</w:t>
            </w:r>
            <w:r w:rsidR="00D53D10">
              <w:rPr>
                <w:rFonts w:ascii="Times New Roman" w:hAnsi="Times New Roman" w:cs="Times New Roman"/>
                <w:sz w:val="18"/>
                <w:szCs w:val="18"/>
              </w:rPr>
              <w:t>3</w:t>
            </w:r>
            <w:r w:rsidR="00D53D10" w:rsidRPr="00C6797A">
              <w:rPr>
                <w:rFonts w:ascii="Times New Roman" w:hAnsi="Times New Roman" w:cs="Times New Roman"/>
                <w:sz w:val="18"/>
                <w:szCs w:val="18"/>
                <w:lang w:val="sr-Cyrl-CS"/>
              </w:rPr>
              <w:t>.</w:t>
            </w:r>
            <w:r>
              <w:rPr>
                <w:rFonts w:ascii="Times New Roman" w:hAnsi="Times New Roman" w:cs="Times New Roman"/>
                <w:sz w:val="18"/>
                <w:szCs w:val="18"/>
                <w:lang w:val="sr-Cyrl-CS"/>
              </w:rPr>
              <w:t xml:space="preserve"> став</w:t>
            </w:r>
            <w:r w:rsidR="001736AC">
              <w:rPr>
                <w:rFonts w:ascii="Times New Roman" w:hAnsi="Times New Roman" w:cs="Times New Roman"/>
                <w:sz w:val="18"/>
                <w:szCs w:val="18"/>
                <w:lang w:val="sr-Cyrl-CS"/>
              </w:rPr>
              <w:t xml:space="preserve"> </w:t>
            </w:r>
            <w:r w:rsidR="001736AC" w:rsidRPr="00C6797A">
              <w:rPr>
                <w:rFonts w:ascii="Times New Roman" w:hAnsi="Times New Roman" w:cs="Times New Roman"/>
                <w:sz w:val="18"/>
                <w:szCs w:val="18"/>
                <w:lang w:val="sr-Cyrl-CS"/>
              </w:rPr>
              <w:t>1.</w:t>
            </w:r>
            <w:r w:rsidR="001736AC">
              <w:rPr>
                <w:rFonts w:ascii="Times New Roman" w:hAnsi="Times New Roman" w:cs="Times New Roman"/>
                <w:sz w:val="18"/>
                <w:szCs w:val="18"/>
                <w:lang w:val="sr-Cyrl-CS"/>
              </w:rPr>
              <w:t xml:space="preserve"> тач</w:t>
            </w:r>
            <w:r>
              <w:rPr>
                <w:rFonts w:ascii="Times New Roman" w:hAnsi="Times New Roman" w:cs="Times New Roman"/>
                <w:sz w:val="18"/>
                <w:szCs w:val="18"/>
                <w:lang w:val="sr-Cyrl-CS"/>
              </w:rPr>
              <w:t>ка</w:t>
            </w:r>
            <w:r w:rsidR="001736AC">
              <w:rPr>
                <w:rFonts w:ascii="Times New Roman" w:hAnsi="Times New Roman" w:cs="Times New Roman"/>
                <w:sz w:val="18"/>
                <w:szCs w:val="18"/>
                <w:lang w:val="sr-Cyrl-CS"/>
              </w:rPr>
              <w:t xml:space="preserve"> </w:t>
            </w:r>
            <w:r w:rsidR="00D53D10">
              <w:rPr>
                <w:rFonts w:ascii="Times New Roman" w:hAnsi="Times New Roman" w:cs="Times New Roman"/>
                <w:sz w:val="18"/>
                <w:szCs w:val="18"/>
              </w:rPr>
              <w:t>2</w:t>
            </w:r>
            <w:r w:rsidR="00D53D10" w:rsidRPr="00C6797A">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D53D10" w:rsidRPr="00C6797A">
              <w:rPr>
                <w:rFonts w:ascii="Times New Roman" w:hAnsi="Times New Roman" w:cs="Times New Roman"/>
                <w:sz w:val="18"/>
                <w:szCs w:val="18"/>
                <w:lang w:val="sr-Cyrl-CS"/>
              </w:rPr>
              <w:t xml:space="preserve">а закона о грађевинским производима у делу који се односи на </w:t>
            </w:r>
            <w:r w:rsidR="00D53D10">
              <w:rPr>
                <w:rFonts w:ascii="Times New Roman" w:hAnsi="Times New Roman" w:cs="Times New Roman"/>
                <w:sz w:val="18"/>
                <w:szCs w:val="18"/>
                <w:lang w:val="sr-Cyrl-CS"/>
              </w:rPr>
              <w:t>издавање</w:t>
            </w:r>
            <w:r w:rsidR="00D53D10" w:rsidRPr="00C6797A">
              <w:rPr>
                <w:rFonts w:ascii="Times New Roman" w:hAnsi="Times New Roman" w:cs="Times New Roman"/>
                <w:sz w:val="18"/>
                <w:szCs w:val="18"/>
                <w:lang w:val="sr-Cyrl-CS"/>
              </w:rPr>
              <w:t xml:space="preserve"> националн</w:t>
            </w:r>
            <w:r w:rsidR="00D53D10">
              <w:rPr>
                <w:rFonts w:ascii="Times New Roman" w:hAnsi="Times New Roman" w:cs="Times New Roman"/>
                <w:sz w:val="18"/>
                <w:szCs w:val="18"/>
                <w:lang w:val="sr-Cyrl-CS"/>
              </w:rPr>
              <w:t xml:space="preserve">е </w:t>
            </w:r>
            <w:r w:rsidR="00D53D10">
              <w:rPr>
                <w:rFonts w:ascii="Times New Roman" w:hAnsi="Times New Roman" w:cs="Times New Roman"/>
                <w:sz w:val="18"/>
                <w:szCs w:val="18"/>
                <w:lang w:val="sr-Cyrl-CS"/>
              </w:rPr>
              <w:lastRenderedPageBreak/>
              <w:t>техничке оцене</w:t>
            </w:r>
            <w:r w:rsidR="00D53D10" w:rsidRPr="00C6797A">
              <w:rPr>
                <w:rFonts w:ascii="Times New Roman" w:hAnsi="Times New Roman" w:cs="Times New Roman"/>
                <w:sz w:val="18"/>
                <w:szCs w:val="18"/>
                <w:lang w:val="sr-Cyrl-CS"/>
              </w:rPr>
              <w:t>. Потпуно усклађивање биће могуће након приступања ЕУ.</w:t>
            </w:r>
          </w:p>
        </w:tc>
        <w:tc>
          <w:tcPr>
            <w:tcW w:w="480" w:type="pct"/>
            <w:shd w:val="clear" w:color="auto" w:fill="auto"/>
            <w:vAlign w:val="center"/>
          </w:tcPr>
          <w:p w14:paraId="3FBDA1D8" w14:textId="77777777" w:rsidR="00B1546A" w:rsidRPr="00487209" w:rsidRDefault="00B1546A" w:rsidP="00B1546A">
            <w:pPr>
              <w:spacing w:before="120" w:after="120"/>
              <w:jc w:val="center"/>
              <w:rPr>
                <w:rFonts w:ascii="Times New Roman" w:hAnsi="Times New Roman" w:cs="Times New Roman"/>
                <w:sz w:val="18"/>
                <w:szCs w:val="18"/>
                <w:lang w:val="ru-RU"/>
              </w:rPr>
            </w:pPr>
          </w:p>
        </w:tc>
      </w:tr>
      <w:tr w:rsidR="00337554" w:rsidRPr="00487209" w14:paraId="5CB2467B" w14:textId="77777777" w:rsidTr="007D5144">
        <w:trPr>
          <w:trHeight w:val="1970"/>
          <w:jc w:val="center"/>
        </w:trPr>
        <w:tc>
          <w:tcPr>
            <w:tcW w:w="435" w:type="pct"/>
            <w:shd w:val="clear" w:color="auto" w:fill="auto"/>
            <w:vAlign w:val="center"/>
          </w:tcPr>
          <w:p w14:paraId="5C65600F" w14:textId="77777777" w:rsidR="00B1546A" w:rsidRPr="00487209" w:rsidRDefault="00B1546A" w:rsidP="00B1546A">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21.1.(c)</w:t>
            </w:r>
          </w:p>
        </w:tc>
        <w:tc>
          <w:tcPr>
            <w:tcW w:w="1369" w:type="pct"/>
            <w:gridSpan w:val="2"/>
            <w:shd w:val="clear" w:color="auto" w:fill="auto"/>
            <w:vAlign w:val="center"/>
          </w:tcPr>
          <w:p w14:paraId="38230308" w14:textId="77777777" w:rsidR="00B1546A" w:rsidRPr="00487209" w:rsidRDefault="00B1546A" w:rsidP="00B1546A">
            <w:pPr>
              <w:jc w:val="both"/>
              <w:rPr>
                <w:rFonts w:ascii="Times New Roman" w:hAnsi="Times New Roman" w:cs="Times New Roman"/>
                <w:sz w:val="18"/>
                <w:szCs w:val="18"/>
              </w:rPr>
            </w:pPr>
            <w:r w:rsidRPr="00487209">
              <w:rPr>
                <w:rFonts w:ascii="Times New Roman" w:hAnsi="Times New Roman" w:cs="Times New Roman"/>
                <w:sz w:val="18"/>
                <w:szCs w:val="18"/>
              </w:rPr>
              <w:t>where the product is not covered, or not fully covered, by any harmonised technical specification, the TAB shall apply the procedures set out in Annex II or those established in accordance with Article 19(3).</w:t>
            </w:r>
          </w:p>
        </w:tc>
        <w:tc>
          <w:tcPr>
            <w:tcW w:w="429" w:type="pct"/>
            <w:shd w:val="clear" w:color="auto" w:fill="auto"/>
            <w:vAlign w:val="center"/>
          </w:tcPr>
          <w:p w14:paraId="444AC5AF" w14:textId="77777777" w:rsidR="00602EF8" w:rsidRDefault="00602EF8" w:rsidP="00602EF8">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01</w:t>
            </w:r>
          </w:p>
          <w:p w14:paraId="038E92E2" w14:textId="77777777" w:rsidR="00602EF8" w:rsidRDefault="00602EF8" w:rsidP="00602EF8">
            <w:pPr>
              <w:spacing w:before="120" w:after="120"/>
              <w:ind w:firstLine="5"/>
              <w:jc w:val="center"/>
              <w:rPr>
                <w:rFonts w:ascii="Times New Roman" w:hAnsi="Times New Roman" w:cs="Times New Roman"/>
                <w:sz w:val="18"/>
                <w:szCs w:val="18"/>
                <w:lang w:val="ru-RU"/>
              </w:rPr>
            </w:pPr>
          </w:p>
          <w:p w14:paraId="2B4DAFC3" w14:textId="4EA9C75D" w:rsidR="00B1546A" w:rsidRPr="00487209" w:rsidRDefault="00602EF8" w:rsidP="00602EF8">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23.1.3)</w:t>
            </w:r>
          </w:p>
        </w:tc>
        <w:tc>
          <w:tcPr>
            <w:tcW w:w="1231" w:type="pct"/>
            <w:gridSpan w:val="2"/>
            <w:shd w:val="clear" w:color="auto" w:fill="auto"/>
            <w:vAlign w:val="center"/>
          </w:tcPr>
          <w:p w14:paraId="5E5CA467" w14:textId="13F25108" w:rsidR="00B1546A" w:rsidRPr="00487209" w:rsidRDefault="00602EF8" w:rsidP="00B715B5">
            <w:pPr>
              <w:pStyle w:val="Style7"/>
              <w:spacing w:before="240" w:after="0" w:line="240" w:lineRule="auto"/>
              <w:ind w:left="319" w:right="-23"/>
              <w:jc w:val="both"/>
              <w:outlineLvl w:val="3"/>
              <w:rPr>
                <w:sz w:val="18"/>
                <w:szCs w:val="18"/>
              </w:rPr>
            </w:pPr>
            <w:r w:rsidRPr="00602EF8">
              <w:rPr>
                <w:sz w:val="18"/>
                <w:szCs w:val="18"/>
              </w:rPr>
              <w:t>3)</w:t>
            </w:r>
            <w:r w:rsidRPr="00602EF8">
              <w:rPr>
                <w:sz w:val="18"/>
                <w:szCs w:val="18"/>
              </w:rPr>
              <w:tab/>
              <w:t>када производ није обухваћен, или није у потпуности обухваћен ни једном хармонизован</w:t>
            </w:r>
            <w:r w:rsidR="00B715B5">
              <w:rPr>
                <w:sz w:val="18"/>
                <w:szCs w:val="18"/>
              </w:rPr>
              <w:t>и</w:t>
            </w:r>
            <w:r w:rsidRPr="00602EF8">
              <w:rPr>
                <w:sz w:val="18"/>
                <w:szCs w:val="18"/>
              </w:rPr>
              <w:t xml:space="preserve">м </w:t>
            </w:r>
            <w:r w:rsidR="00B715B5">
              <w:rPr>
                <w:sz w:val="18"/>
                <w:szCs w:val="18"/>
              </w:rPr>
              <w:t>стандардом</w:t>
            </w:r>
            <w:r w:rsidRPr="00602EF8">
              <w:rPr>
                <w:sz w:val="18"/>
                <w:szCs w:val="18"/>
              </w:rPr>
              <w:t>, српским стандардом или техничким прописом, тело за техничко оцењивање примењује поступак прописан у члану 22. овог закона;</w:t>
            </w:r>
          </w:p>
        </w:tc>
        <w:tc>
          <w:tcPr>
            <w:tcW w:w="458" w:type="pct"/>
            <w:shd w:val="clear" w:color="auto" w:fill="auto"/>
            <w:vAlign w:val="center"/>
          </w:tcPr>
          <w:p w14:paraId="231BF815" w14:textId="1495521D" w:rsidR="00B1546A" w:rsidRPr="00487209" w:rsidRDefault="00602EF8" w:rsidP="00B1546A">
            <w:pPr>
              <w:spacing w:before="120" w:after="120"/>
              <w:jc w:val="center"/>
              <w:rPr>
                <w:rFonts w:ascii="Times New Roman" w:hAnsi="Times New Roman" w:cs="Times New Roman"/>
                <w:sz w:val="18"/>
                <w:szCs w:val="18"/>
                <w:lang w:val="sr-Cyrl-CS"/>
              </w:rPr>
            </w:pPr>
            <w:r>
              <w:rPr>
                <w:rFonts w:ascii="Times New Roman" w:hAnsi="Times New Roman" w:cs="Times New Roman"/>
                <w:sz w:val="18"/>
                <w:szCs w:val="18"/>
                <w:lang w:val="sr-Cyrl-CS"/>
              </w:rPr>
              <w:t>Д</w:t>
            </w:r>
            <w:r w:rsidRPr="00487209">
              <w:rPr>
                <w:rFonts w:ascii="Times New Roman" w:hAnsi="Times New Roman" w:cs="Times New Roman"/>
                <w:sz w:val="18"/>
                <w:szCs w:val="18"/>
                <w:lang w:val="sr-Cyrl-CS"/>
              </w:rPr>
              <w:t>У</w:t>
            </w:r>
          </w:p>
        </w:tc>
        <w:tc>
          <w:tcPr>
            <w:tcW w:w="598" w:type="pct"/>
            <w:gridSpan w:val="2"/>
            <w:shd w:val="clear" w:color="auto" w:fill="auto"/>
            <w:vAlign w:val="center"/>
          </w:tcPr>
          <w:p w14:paraId="0309105B" w14:textId="21713EF5" w:rsidR="00B1546A" w:rsidRPr="00487209" w:rsidRDefault="00B65B7A" w:rsidP="00D53D10">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sr-Cyrl-CS"/>
              </w:rPr>
              <w:t>Члан</w:t>
            </w:r>
            <w:r w:rsidR="00D53D10" w:rsidRPr="00C6797A">
              <w:rPr>
                <w:rFonts w:ascii="Times New Roman" w:hAnsi="Times New Roman" w:cs="Times New Roman"/>
                <w:sz w:val="18"/>
                <w:szCs w:val="18"/>
                <w:lang w:val="sr-Cyrl-CS"/>
              </w:rPr>
              <w:t xml:space="preserve"> 2</w:t>
            </w:r>
            <w:r w:rsidR="00D53D10">
              <w:rPr>
                <w:rFonts w:ascii="Times New Roman" w:hAnsi="Times New Roman" w:cs="Times New Roman"/>
                <w:sz w:val="18"/>
                <w:szCs w:val="18"/>
              </w:rPr>
              <w:t>1</w:t>
            </w:r>
            <w:r w:rsidR="00D53D10" w:rsidRPr="00C6797A">
              <w:rPr>
                <w:rFonts w:ascii="Times New Roman" w:hAnsi="Times New Roman" w:cs="Times New Roman"/>
                <w:sz w:val="18"/>
                <w:szCs w:val="18"/>
                <w:lang w:val="sr-Cyrl-CS"/>
              </w:rPr>
              <w:t>.1.(</w:t>
            </w:r>
            <w:r w:rsidR="00D53D10">
              <w:rPr>
                <w:rFonts w:ascii="Times New Roman" w:hAnsi="Times New Roman" w:cs="Times New Roman"/>
                <w:sz w:val="18"/>
                <w:szCs w:val="18"/>
              </w:rPr>
              <w:t>c</w:t>
            </w:r>
            <w:r w:rsidR="00D53D10" w:rsidRPr="00C6797A">
              <w:rPr>
                <w:rFonts w:ascii="Times New Roman" w:hAnsi="Times New Roman" w:cs="Times New Roman"/>
                <w:sz w:val="18"/>
                <w:szCs w:val="18"/>
                <w:lang w:val="sr-Cyrl-CS"/>
              </w:rPr>
              <w:t>) Ур</w:t>
            </w:r>
            <w:r>
              <w:rPr>
                <w:rFonts w:ascii="Times New Roman" w:hAnsi="Times New Roman" w:cs="Times New Roman"/>
                <w:sz w:val="18"/>
                <w:szCs w:val="18"/>
                <w:lang w:val="sr-Cyrl-CS"/>
              </w:rPr>
              <w:t>едбе 305/2011 (ЕУ) је пренет члан</w:t>
            </w:r>
            <w:r w:rsidR="00D53D10" w:rsidRPr="00C6797A">
              <w:rPr>
                <w:rFonts w:ascii="Times New Roman" w:hAnsi="Times New Roman" w:cs="Times New Roman"/>
                <w:sz w:val="18"/>
                <w:szCs w:val="18"/>
                <w:lang w:val="sr-Cyrl-CS"/>
              </w:rPr>
              <w:t xml:space="preserve"> 2</w:t>
            </w:r>
            <w:r w:rsidR="00D53D10">
              <w:rPr>
                <w:rFonts w:ascii="Times New Roman" w:hAnsi="Times New Roman" w:cs="Times New Roman"/>
                <w:sz w:val="18"/>
                <w:szCs w:val="18"/>
              </w:rPr>
              <w:t>3</w:t>
            </w:r>
            <w:r w:rsidR="00D53D10" w:rsidRPr="00C6797A">
              <w:rPr>
                <w:rFonts w:ascii="Times New Roman" w:hAnsi="Times New Roman" w:cs="Times New Roman"/>
                <w:sz w:val="18"/>
                <w:szCs w:val="18"/>
                <w:lang w:val="sr-Cyrl-CS"/>
              </w:rPr>
              <w:t>.</w:t>
            </w:r>
            <w:r>
              <w:rPr>
                <w:rFonts w:ascii="Times New Roman" w:hAnsi="Times New Roman" w:cs="Times New Roman"/>
                <w:sz w:val="18"/>
                <w:szCs w:val="18"/>
                <w:lang w:val="sr-Cyrl-CS"/>
              </w:rPr>
              <w:t xml:space="preserve"> став</w:t>
            </w:r>
            <w:r w:rsidR="001736AC">
              <w:rPr>
                <w:rFonts w:ascii="Times New Roman" w:hAnsi="Times New Roman" w:cs="Times New Roman"/>
                <w:sz w:val="18"/>
                <w:szCs w:val="18"/>
                <w:lang w:val="sr-Cyrl-CS"/>
              </w:rPr>
              <w:t xml:space="preserve"> </w:t>
            </w:r>
            <w:r w:rsidR="00D53D10" w:rsidRPr="00C6797A">
              <w:rPr>
                <w:rFonts w:ascii="Times New Roman" w:hAnsi="Times New Roman" w:cs="Times New Roman"/>
                <w:sz w:val="18"/>
                <w:szCs w:val="18"/>
                <w:lang w:val="sr-Cyrl-CS"/>
              </w:rPr>
              <w:t>1.</w:t>
            </w:r>
            <w:r>
              <w:rPr>
                <w:rFonts w:ascii="Times New Roman" w:hAnsi="Times New Roman" w:cs="Times New Roman"/>
                <w:sz w:val="18"/>
                <w:szCs w:val="18"/>
                <w:lang w:val="sr-Cyrl-CS"/>
              </w:rPr>
              <w:t xml:space="preserve"> тачка</w:t>
            </w:r>
            <w:r w:rsidR="001736AC">
              <w:rPr>
                <w:rFonts w:ascii="Times New Roman" w:hAnsi="Times New Roman" w:cs="Times New Roman"/>
                <w:sz w:val="18"/>
                <w:szCs w:val="18"/>
                <w:lang w:val="sr-Cyrl-CS"/>
              </w:rPr>
              <w:t xml:space="preserve"> </w:t>
            </w:r>
            <w:r w:rsidR="00D53D10">
              <w:rPr>
                <w:rFonts w:ascii="Times New Roman" w:hAnsi="Times New Roman" w:cs="Times New Roman"/>
                <w:sz w:val="18"/>
                <w:szCs w:val="18"/>
              </w:rPr>
              <w:t>3</w:t>
            </w:r>
            <w:r w:rsidR="00D53D10" w:rsidRPr="00C6797A">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D53D10" w:rsidRPr="00C6797A">
              <w:rPr>
                <w:rFonts w:ascii="Times New Roman" w:hAnsi="Times New Roman" w:cs="Times New Roman"/>
                <w:sz w:val="18"/>
                <w:szCs w:val="18"/>
                <w:lang w:val="sr-Cyrl-CS"/>
              </w:rPr>
              <w:t xml:space="preserve">а закона о грађевинским производима у делу који се односи на </w:t>
            </w:r>
            <w:r w:rsidR="00D53D10">
              <w:rPr>
                <w:rFonts w:ascii="Times New Roman" w:hAnsi="Times New Roman" w:cs="Times New Roman"/>
                <w:sz w:val="18"/>
                <w:szCs w:val="18"/>
                <w:lang w:val="sr-Cyrl-CS"/>
              </w:rPr>
              <w:t>издавање</w:t>
            </w:r>
            <w:r w:rsidR="00D53D10" w:rsidRPr="00C6797A">
              <w:rPr>
                <w:rFonts w:ascii="Times New Roman" w:hAnsi="Times New Roman" w:cs="Times New Roman"/>
                <w:sz w:val="18"/>
                <w:szCs w:val="18"/>
                <w:lang w:val="sr-Cyrl-CS"/>
              </w:rPr>
              <w:t xml:space="preserve"> националн</w:t>
            </w:r>
            <w:r w:rsidR="00D53D10">
              <w:rPr>
                <w:rFonts w:ascii="Times New Roman" w:hAnsi="Times New Roman" w:cs="Times New Roman"/>
                <w:sz w:val="18"/>
                <w:szCs w:val="18"/>
                <w:lang w:val="sr-Cyrl-CS"/>
              </w:rPr>
              <w:t>е техничке оцене</w:t>
            </w:r>
            <w:r w:rsidR="00D53D10" w:rsidRPr="00C6797A">
              <w:rPr>
                <w:rFonts w:ascii="Times New Roman" w:hAnsi="Times New Roman" w:cs="Times New Roman"/>
                <w:sz w:val="18"/>
                <w:szCs w:val="18"/>
                <w:lang w:val="sr-Cyrl-CS"/>
              </w:rPr>
              <w:t>. Потпуно усклађивање биће могуће након приступања ЕУ.</w:t>
            </w:r>
          </w:p>
        </w:tc>
        <w:tc>
          <w:tcPr>
            <w:tcW w:w="480" w:type="pct"/>
            <w:shd w:val="clear" w:color="auto" w:fill="auto"/>
            <w:vAlign w:val="center"/>
          </w:tcPr>
          <w:p w14:paraId="0DC5148E" w14:textId="77777777" w:rsidR="00B1546A" w:rsidRPr="00487209" w:rsidRDefault="00B1546A" w:rsidP="00B1546A">
            <w:pPr>
              <w:spacing w:before="120" w:after="120"/>
              <w:jc w:val="center"/>
              <w:rPr>
                <w:rFonts w:ascii="Times New Roman" w:hAnsi="Times New Roman" w:cs="Times New Roman"/>
                <w:sz w:val="18"/>
                <w:szCs w:val="18"/>
                <w:lang w:val="ru-RU"/>
              </w:rPr>
            </w:pPr>
          </w:p>
        </w:tc>
      </w:tr>
      <w:tr w:rsidR="00337554" w:rsidRPr="00487209" w14:paraId="5C2AFDBD" w14:textId="77777777" w:rsidTr="007D5144">
        <w:trPr>
          <w:trHeight w:val="1970"/>
          <w:jc w:val="center"/>
        </w:trPr>
        <w:tc>
          <w:tcPr>
            <w:tcW w:w="435" w:type="pct"/>
            <w:shd w:val="clear" w:color="auto" w:fill="auto"/>
            <w:vAlign w:val="center"/>
          </w:tcPr>
          <w:p w14:paraId="3E46C4AF" w14:textId="77777777" w:rsidR="00B1546A" w:rsidRPr="00487209" w:rsidRDefault="00B1546A" w:rsidP="00B1546A">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21.2.</w:t>
            </w:r>
          </w:p>
        </w:tc>
        <w:tc>
          <w:tcPr>
            <w:tcW w:w="1369" w:type="pct"/>
            <w:gridSpan w:val="2"/>
            <w:shd w:val="clear" w:color="auto" w:fill="auto"/>
            <w:vAlign w:val="center"/>
          </w:tcPr>
          <w:p w14:paraId="3BF44BE9" w14:textId="77777777" w:rsidR="00B1546A" w:rsidRPr="00487209" w:rsidRDefault="00B1546A" w:rsidP="00B1546A">
            <w:pPr>
              <w:jc w:val="both"/>
              <w:rPr>
                <w:rFonts w:ascii="Times New Roman" w:hAnsi="Times New Roman" w:cs="Times New Roman"/>
                <w:sz w:val="18"/>
                <w:szCs w:val="18"/>
              </w:rPr>
            </w:pPr>
          </w:p>
          <w:p w14:paraId="2610F76C" w14:textId="77777777" w:rsidR="00B1546A" w:rsidRPr="00487209" w:rsidRDefault="00B1546A" w:rsidP="00B1546A">
            <w:pPr>
              <w:jc w:val="both"/>
              <w:rPr>
                <w:rFonts w:ascii="Times New Roman" w:hAnsi="Times New Roman" w:cs="Times New Roman"/>
                <w:sz w:val="18"/>
                <w:szCs w:val="18"/>
              </w:rPr>
            </w:pPr>
            <w:r w:rsidRPr="00487209">
              <w:rPr>
                <w:rFonts w:ascii="Times New Roman" w:hAnsi="Times New Roman" w:cs="Times New Roman"/>
                <w:sz w:val="18"/>
                <w:szCs w:val="18"/>
              </w:rPr>
              <w:t>In the cases referred to in points (b) and (c) of paragraph 1, the TAB shall inform the organisation of TABs and the Commission of the content of the request and of the reference to a relevant Commission decision for assessment and verification of constancy of performance, which the TAB intends to apply for that product, or of the lack of such a Commission decision.</w:t>
            </w:r>
          </w:p>
          <w:p w14:paraId="73F0B28A" w14:textId="77777777" w:rsidR="00B1546A" w:rsidRPr="00487209" w:rsidRDefault="00B1546A" w:rsidP="00B1546A">
            <w:pPr>
              <w:jc w:val="both"/>
              <w:rPr>
                <w:rFonts w:ascii="Times New Roman" w:hAnsi="Times New Roman" w:cs="Times New Roman"/>
                <w:sz w:val="18"/>
                <w:szCs w:val="18"/>
              </w:rPr>
            </w:pPr>
          </w:p>
        </w:tc>
        <w:tc>
          <w:tcPr>
            <w:tcW w:w="429" w:type="pct"/>
            <w:shd w:val="clear" w:color="auto" w:fill="auto"/>
            <w:vAlign w:val="center"/>
          </w:tcPr>
          <w:p w14:paraId="357E0EE0" w14:textId="77777777" w:rsidR="00E54E44" w:rsidRDefault="00E54E44" w:rsidP="00B1546A">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01</w:t>
            </w:r>
          </w:p>
          <w:p w14:paraId="03D14FB0" w14:textId="77777777" w:rsidR="00E54E44" w:rsidRDefault="00E54E44" w:rsidP="00B1546A">
            <w:pPr>
              <w:spacing w:before="120" w:after="120"/>
              <w:ind w:firstLine="5"/>
              <w:jc w:val="center"/>
              <w:rPr>
                <w:rFonts w:ascii="Times New Roman" w:hAnsi="Times New Roman" w:cs="Times New Roman"/>
                <w:sz w:val="18"/>
                <w:szCs w:val="18"/>
                <w:lang w:val="ru-RU"/>
              </w:rPr>
            </w:pPr>
          </w:p>
          <w:p w14:paraId="7B70BC60" w14:textId="72CED514" w:rsidR="00B1546A" w:rsidRPr="00487209" w:rsidRDefault="00E54E44" w:rsidP="00B1546A">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23.2.</w:t>
            </w:r>
          </w:p>
        </w:tc>
        <w:tc>
          <w:tcPr>
            <w:tcW w:w="1231" w:type="pct"/>
            <w:gridSpan w:val="2"/>
            <w:shd w:val="clear" w:color="auto" w:fill="auto"/>
            <w:vAlign w:val="center"/>
          </w:tcPr>
          <w:p w14:paraId="6BA60ACF" w14:textId="5830B70E" w:rsidR="00B1546A" w:rsidRPr="00487209" w:rsidRDefault="00E54E44" w:rsidP="00B1546A">
            <w:pPr>
              <w:pStyle w:val="Style7"/>
              <w:spacing w:before="240" w:after="0" w:line="240" w:lineRule="auto"/>
              <w:ind w:right="-23"/>
              <w:jc w:val="both"/>
              <w:outlineLvl w:val="3"/>
              <w:rPr>
                <w:sz w:val="18"/>
                <w:szCs w:val="18"/>
              </w:rPr>
            </w:pPr>
            <w:r w:rsidRPr="00E54E44">
              <w:rPr>
                <w:sz w:val="18"/>
                <w:szCs w:val="18"/>
              </w:rPr>
              <w:t>У случајевима из тач. 2) и 3) става 1. овог члана, тело за техничко оцењивање  обавештава министарство надлежно за послове грађевинарства о садржини захтева и одговарајућем систему оцењивања и верификације сталности перформанси који тело за техничко оцењивање намерава да примени на тај производ.</w:t>
            </w:r>
          </w:p>
        </w:tc>
        <w:tc>
          <w:tcPr>
            <w:tcW w:w="458" w:type="pct"/>
            <w:shd w:val="clear" w:color="auto" w:fill="auto"/>
            <w:vAlign w:val="center"/>
          </w:tcPr>
          <w:p w14:paraId="5BF9903F" w14:textId="42ED8E46" w:rsidR="00B1546A" w:rsidRPr="00487209" w:rsidRDefault="009B1F01" w:rsidP="00B1546A">
            <w:pPr>
              <w:spacing w:before="120" w:after="120"/>
              <w:jc w:val="center"/>
              <w:rPr>
                <w:rFonts w:ascii="Times New Roman" w:hAnsi="Times New Roman" w:cs="Times New Roman"/>
                <w:sz w:val="18"/>
                <w:szCs w:val="18"/>
                <w:lang w:val="sr-Cyrl-CS"/>
              </w:rPr>
            </w:pPr>
            <w:r>
              <w:rPr>
                <w:rFonts w:ascii="Times New Roman" w:hAnsi="Times New Roman" w:cs="Times New Roman"/>
                <w:sz w:val="18"/>
                <w:szCs w:val="18"/>
                <w:lang w:val="sr-Cyrl-CS"/>
              </w:rPr>
              <w:t>Д</w:t>
            </w:r>
            <w:r w:rsidRPr="00487209">
              <w:rPr>
                <w:rFonts w:ascii="Times New Roman" w:hAnsi="Times New Roman" w:cs="Times New Roman"/>
                <w:sz w:val="18"/>
                <w:szCs w:val="18"/>
                <w:lang w:val="sr-Cyrl-CS"/>
              </w:rPr>
              <w:t>У</w:t>
            </w:r>
          </w:p>
        </w:tc>
        <w:tc>
          <w:tcPr>
            <w:tcW w:w="598" w:type="pct"/>
            <w:gridSpan w:val="2"/>
            <w:shd w:val="clear" w:color="auto" w:fill="auto"/>
            <w:vAlign w:val="center"/>
          </w:tcPr>
          <w:p w14:paraId="101FB434" w14:textId="4244261B" w:rsidR="00B1546A" w:rsidRPr="00487209" w:rsidRDefault="0049145C" w:rsidP="0049145C">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sr-Cyrl-CS"/>
              </w:rPr>
              <w:t>Члан</w:t>
            </w:r>
            <w:r w:rsidR="009B1F01" w:rsidRPr="009B1F01">
              <w:rPr>
                <w:rFonts w:ascii="Times New Roman" w:hAnsi="Times New Roman" w:cs="Times New Roman"/>
                <w:sz w:val="18"/>
                <w:szCs w:val="18"/>
                <w:lang w:val="sr-Cyrl-CS"/>
              </w:rPr>
              <w:t xml:space="preserve"> 21.</w:t>
            </w:r>
            <w:r w:rsidR="009B1F01">
              <w:rPr>
                <w:rFonts w:ascii="Times New Roman" w:hAnsi="Times New Roman" w:cs="Times New Roman"/>
                <w:sz w:val="18"/>
                <w:szCs w:val="18"/>
              </w:rPr>
              <w:t>2.</w:t>
            </w:r>
            <w:r w:rsidR="009B1F01" w:rsidRPr="009B1F01">
              <w:rPr>
                <w:rFonts w:ascii="Times New Roman" w:hAnsi="Times New Roman" w:cs="Times New Roman"/>
                <w:sz w:val="18"/>
                <w:szCs w:val="18"/>
                <w:lang w:val="sr-Cyrl-CS"/>
              </w:rPr>
              <w:t xml:space="preserve"> Уредбе</w:t>
            </w:r>
            <w:r>
              <w:rPr>
                <w:rFonts w:ascii="Times New Roman" w:hAnsi="Times New Roman" w:cs="Times New Roman"/>
                <w:sz w:val="18"/>
                <w:szCs w:val="18"/>
                <w:lang w:val="sr-Cyrl-CS"/>
              </w:rPr>
              <w:t xml:space="preserve"> 305/2011 (ЕУ) је пренет члан</w:t>
            </w:r>
            <w:r w:rsidR="009B1F01">
              <w:rPr>
                <w:rFonts w:ascii="Times New Roman" w:hAnsi="Times New Roman" w:cs="Times New Roman"/>
                <w:sz w:val="18"/>
                <w:szCs w:val="18"/>
                <w:lang w:val="sr-Cyrl-CS"/>
              </w:rPr>
              <w:t xml:space="preserve"> 23. ст</w:t>
            </w:r>
            <w:r>
              <w:rPr>
                <w:rFonts w:ascii="Times New Roman" w:hAnsi="Times New Roman" w:cs="Times New Roman"/>
                <w:sz w:val="18"/>
                <w:szCs w:val="18"/>
                <w:lang w:val="sr-Cyrl-CS"/>
              </w:rPr>
              <w:t>ав</w:t>
            </w:r>
            <w:r w:rsidR="009B1F01">
              <w:rPr>
                <w:rFonts w:ascii="Times New Roman" w:hAnsi="Times New Roman" w:cs="Times New Roman"/>
                <w:sz w:val="18"/>
                <w:szCs w:val="18"/>
                <w:lang w:val="sr-Cyrl-CS"/>
              </w:rPr>
              <w:t xml:space="preserve"> </w:t>
            </w:r>
            <w:r w:rsidR="009B1F01">
              <w:rPr>
                <w:rFonts w:ascii="Times New Roman" w:hAnsi="Times New Roman" w:cs="Times New Roman"/>
                <w:sz w:val="18"/>
                <w:szCs w:val="18"/>
              </w:rPr>
              <w:t>2</w:t>
            </w:r>
            <w:r w:rsidR="009B1F01">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9B1F01" w:rsidRPr="009B1F01">
              <w:rPr>
                <w:rFonts w:ascii="Times New Roman" w:hAnsi="Times New Roman" w:cs="Times New Roman"/>
                <w:sz w:val="18"/>
                <w:szCs w:val="18"/>
                <w:lang w:val="sr-Cyrl-CS"/>
              </w:rPr>
              <w:t xml:space="preserve">а закона о грађевинским производима у делу који се односи на издавање националне техничке оцене. </w:t>
            </w:r>
            <w:r w:rsidR="009B1F01" w:rsidRPr="009B1F01">
              <w:rPr>
                <w:rFonts w:ascii="Times New Roman" w:hAnsi="Times New Roman" w:cs="Times New Roman"/>
                <w:sz w:val="18"/>
                <w:szCs w:val="18"/>
                <w:lang w:val="sr-Cyrl-CS"/>
              </w:rPr>
              <w:lastRenderedPageBreak/>
              <w:t>Потпуно усклађивање биће могуће након приступања ЕУ.</w:t>
            </w:r>
          </w:p>
        </w:tc>
        <w:tc>
          <w:tcPr>
            <w:tcW w:w="480" w:type="pct"/>
            <w:shd w:val="clear" w:color="auto" w:fill="auto"/>
            <w:vAlign w:val="center"/>
          </w:tcPr>
          <w:p w14:paraId="2B50F746" w14:textId="77777777" w:rsidR="00B1546A" w:rsidRPr="00487209" w:rsidRDefault="00B1546A" w:rsidP="00B1546A">
            <w:pPr>
              <w:spacing w:before="120" w:after="120"/>
              <w:jc w:val="center"/>
              <w:rPr>
                <w:rFonts w:ascii="Times New Roman" w:hAnsi="Times New Roman" w:cs="Times New Roman"/>
                <w:sz w:val="18"/>
                <w:szCs w:val="18"/>
                <w:lang w:val="ru-RU"/>
              </w:rPr>
            </w:pPr>
          </w:p>
        </w:tc>
      </w:tr>
      <w:tr w:rsidR="00337554" w:rsidRPr="00487209" w14:paraId="170E2046" w14:textId="77777777" w:rsidTr="007D5144">
        <w:trPr>
          <w:trHeight w:val="1970"/>
          <w:jc w:val="center"/>
        </w:trPr>
        <w:tc>
          <w:tcPr>
            <w:tcW w:w="435" w:type="pct"/>
            <w:shd w:val="clear" w:color="auto" w:fill="auto"/>
            <w:vAlign w:val="center"/>
          </w:tcPr>
          <w:p w14:paraId="7855162C" w14:textId="77777777" w:rsidR="000174C1" w:rsidRPr="00487209" w:rsidRDefault="000174C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21.3.</w:t>
            </w:r>
          </w:p>
        </w:tc>
        <w:tc>
          <w:tcPr>
            <w:tcW w:w="1369" w:type="pct"/>
            <w:gridSpan w:val="2"/>
            <w:shd w:val="clear" w:color="auto" w:fill="auto"/>
            <w:vAlign w:val="center"/>
          </w:tcPr>
          <w:p w14:paraId="73408001" w14:textId="77777777" w:rsidR="000174C1" w:rsidRPr="00487209" w:rsidRDefault="000174C1" w:rsidP="006C6323">
            <w:pPr>
              <w:jc w:val="both"/>
              <w:rPr>
                <w:rFonts w:ascii="Times New Roman" w:hAnsi="Times New Roman" w:cs="Times New Roman"/>
                <w:sz w:val="18"/>
                <w:szCs w:val="18"/>
              </w:rPr>
            </w:pPr>
            <w:r w:rsidRPr="00487209">
              <w:rPr>
                <w:rFonts w:ascii="Times New Roman" w:hAnsi="Times New Roman" w:cs="Times New Roman"/>
                <w:sz w:val="18"/>
                <w:szCs w:val="18"/>
              </w:rPr>
              <w:t>If</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Commission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considers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that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appropriate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decision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for</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assessment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and</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verification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of</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constancy</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of</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performance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does not exist for the construction product, Article 28 shall apply.</w:t>
            </w:r>
          </w:p>
        </w:tc>
        <w:tc>
          <w:tcPr>
            <w:tcW w:w="429" w:type="pct"/>
            <w:shd w:val="clear" w:color="auto" w:fill="auto"/>
            <w:vAlign w:val="center"/>
          </w:tcPr>
          <w:p w14:paraId="0C7BA778" w14:textId="77777777" w:rsidR="000174C1" w:rsidRPr="00487209" w:rsidRDefault="000174C1"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7ED458DE" w14:textId="77777777" w:rsidR="000174C1" w:rsidRPr="00487209" w:rsidRDefault="000174C1" w:rsidP="006C6323">
            <w:pPr>
              <w:pStyle w:val="Style7"/>
              <w:spacing w:before="240" w:after="0" w:line="240" w:lineRule="auto"/>
              <w:ind w:right="-23"/>
              <w:jc w:val="both"/>
              <w:outlineLvl w:val="3"/>
              <w:rPr>
                <w:sz w:val="18"/>
                <w:szCs w:val="18"/>
                <w:vertAlign w:val="subscript"/>
              </w:rPr>
            </w:pPr>
          </w:p>
        </w:tc>
        <w:tc>
          <w:tcPr>
            <w:tcW w:w="458" w:type="pct"/>
            <w:shd w:val="clear" w:color="auto" w:fill="auto"/>
            <w:vAlign w:val="center"/>
          </w:tcPr>
          <w:p w14:paraId="33623848" w14:textId="77777777" w:rsidR="000174C1" w:rsidRPr="00487209" w:rsidRDefault="00F2611D"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w:t>
            </w:r>
            <w:r w:rsidR="00A9072C" w:rsidRPr="00487209">
              <w:rPr>
                <w:rFonts w:ascii="Times New Roman" w:hAnsi="Times New Roman" w:cs="Times New Roman"/>
                <w:sz w:val="18"/>
                <w:szCs w:val="18"/>
                <w:lang w:val="sr-Cyrl-CS"/>
              </w:rPr>
              <w:t>П</w:t>
            </w:r>
          </w:p>
        </w:tc>
        <w:tc>
          <w:tcPr>
            <w:tcW w:w="598" w:type="pct"/>
            <w:gridSpan w:val="2"/>
            <w:shd w:val="clear" w:color="auto" w:fill="auto"/>
            <w:vAlign w:val="center"/>
          </w:tcPr>
          <w:p w14:paraId="09AE7346" w14:textId="6E460687" w:rsidR="004A66AB" w:rsidRPr="00487209" w:rsidRDefault="0049145C" w:rsidP="006C6323">
            <w:pPr>
              <w:spacing w:before="120" w:after="120"/>
              <w:jc w:val="both"/>
              <w:rPr>
                <w:rFonts w:ascii="Times New Roman" w:hAnsi="Times New Roman" w:cs="Times New Roman"/>
                <w:bCs/>
                <w:sz w:val="18"/>
                <w:szCs w:val="18"/>
                <w:lang w:val="sr-Cyrl-CS"/>
              </w:rPr>
            </w:pPr>
            <w:r>
              <w:rPr>
                <w:rFonts w:ascii="Times New Roman" w:hAnsi="Times New Roman" w:cs="Times New Roman"/>
                <w:sz w:val="18"/>
                <w:szCs w:val="18"/>
                <w:lang w:val="ru-RU"/>
              </w:rPr>
              <w:t>Члан</w:t>
            </w:r>
            <w:r w:rsidR="00A9072C" w:rsidRPr="00487209">
              <w:rPr>
                <w:rFonts w:ascii="Times New Roman" w:hAnsi="Times New Roman" w:cs="Times New Roman"/>
                <w:sz w:val="18"/>
                <w:szCs w:val="18"/>
                <w:lang w:val="ru-RU"/>
              </w:rPr>
              <w:t xml:space="preserve"> 2</w:t>
            </w:r>
            <w:r w:rsidR="00A9072C" w:rsidRPr="00487209">
              <w:rPr>
                <w:rFonts w:ascii="Times New Roman" w:hAnsi="Times New Roman" w:cs="Times New Roman"/>
                <w:sz w:val="18"/>
                <w:szCs w:val="18"/>
                <w:lang w:val="sr-Cyrl-CS"/>
              </w:rPr>
              <w:t>1.3. Уредбе 305/2011 (ЕУ) није пренет, пошто се односи на обавезу Европске комисије</w:t>
            </w:r>
            <w:r w:rsidR="00A9072C" w:rsidRPr="00487209">
              <w:rPr>
                <w:rFonts w:ascii="Times New Roman" w:hAnsi="Times New Roman" w:cs="Times New Roman"/>
                <w:bCs/>
                <w:sz w:val="18"/>
                <w:szCs w:val="18"/>
                <w:lang w:val="sr-Cyrl-CS"/>
              </w:rPr>
              <w:t>.</w:t>
            </w:r>
          </w:p>
        </w:tc>
        <w:tc>
          <w:tcPr>
            <w:tcW w:w="480" w:type="pct"/>
            <w:shd w:val="clear" w:color="auto" w:fill="auto"/>
            <w:vAlign w:val="center"/>
          </w:tcPr>
          <w:p w14:paraId="04890193" w14:textId="77777777" w:rsidR="000174C1" w:rsidRPr="00487209" w:rsidRDefault="000174C1" w:rsidP="006C6323">
            <w:pPr>
              <w:spacing w:before="120" w:after="120"/>
              <w:jc w:val="center"/>
              <w:rPr>
                <w:rFonts w:ascii="Times New Roman" w:hAnsi="Times New Roman" w:cs="Times New Roman"/>
                <w:sz w:val="18"/>
                <w:szCs w:val="18"/>
                <w:lang w:val="ru-RU"/>
              </w:rPr>
            </w:pPr>
          </w:p>
        </w:tc>
      </w:tr>
      <w:tr w:rsidR="00337554" w:rsidRPr="00487209" w14:paraId="1DE1496F" w14:textId="77777777" w:rsidTr="007D5144">
        <w:trPr>
          <w:trHeight w:val="1970"/>
          <w:jc w:val="center"/>
        </w:trPr>
        <w:tc>
          <w:tcPr>
            <w:tcW w:w="435" w:type="pct"/>
            <w:shd w:val="clear" w:color="auto" w:fill="auto"/>
            <w:vAlign w:val="center"/>
          </w:tcPr>
          <w:p w14:paraId="13F8D5EE" w14:textId="77777777" w:rsidR="000174C1" w:rsidRPr="00487209" w:rsidRDefault="000174C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22.</w:t>
            </w:r>
          </w:p>
        </w:tc>
        <w:tc>
          <w:tcPr>
            <w:tcW w:w="1369" w:type="pct"/>
            <w:gridSpan w:val="2"/>
            <w:shd w:val="clear" w:color="auto" w:fill="auto"/>
            <w:vAlign w:val="center"/>
          </w:tcPr>
          <w:p w14:paraId="4C33BD4A" w14:textId="77777777" w:rsidR="000174C1" w:rsidRPr="00487209" w:rsidRDefault="000174C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European Assessment Documents adopted by the organisation of TABs shall be sent to the Commission, which shall publish a list of references of the final European Assessment Documents in the Official Journal of the European Union.</w:t>
            </w:r>
          </w:p>
          <w:p w14:paraId="77F191B4" w14:textId="77777777" w:rsidR="000174C1" w:rsidRPr="00487209" w:rsidRDefault="000174C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Commission shall publish any updates to that list.</w:t>
            </w:r>
          </w:p>
          <w:p w14:paraId="096F8DB8" w14:textId="77777777" w:rsidR="000174C1" w:rsidRPr="00487209" w:rsidRDefault="000174C1" w:rsidP="006C6323">
            <w:pPr>
              <w:jc w:val="both"/>
              <w:rPr>
                <w:rFonts w:ascii="Times New Roman" w:hAnsi="Times New Roman" w:cs="Times New Roman"/>
                <w:sz w:val="18"/>
                <w:szCs w:val="18"/>
                <w:lang w:val="sr-Cyrl-CS"/>
              </w:rPr>
            </w:pPr>
          </w:p>
        </w:tc>
        <w:tc>
          <w:tcPr>
            <w:tcW w:w="429" w:type="pct"/>
            <w:shd w:val="clear" w:color="auto" w:fill="auto"/>
            <w:vAlign w:val="center"/>
          </w:tcPr>
          <w:p w14:paraId="179C91E8" w14:textId="77777777" w:rsidR="000174C1" w:rsidRPr="00487209" w:rsidRDefault="000174C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6C961E63" w14:textId="77777777" w:rsidR="000174C1" w:rsidRPr="00487209" w:rsidRDefault="000174C1" w:rsidP="006C6323">
            <w:pPr>
              <w:jc w:val="center"/>
              <w:rPr>
                <w:rFonts w:ascii="Times New Roman" w:hAnsi="Times New Roman" w:cs="Times New Roman"/>
                <w:sz w:val="18"/>
                <w:szCs w:val="18"/>
                <w:lang w:val="sr-Cyrl-CS"/>
              </w:rPr>
            </w:pPr>
          </w:p>
        </w:tc>
        <w:tc>
          <w:tcPr>
            <w:tcW w:w="458" w:type="pct"/>
            <w:shd w:val="clear" w:color="auto" w:fill="auto"/>
            <w:vAlign w:val="center"/>
          </w:tcPr>
          <w:p w14:paraId="5618A324" w14:textId="77777777" w:rsidR="000174C1" w:rsidRPr="00487209" w:rsidRDefault="000174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13D1469C" w14:textId="678F5CC9" w:rsidR="004A66AB" w:rsidRPr="00487209" w:rsidRDefault="0049145C" w:rsidP="006C6323">
            <w:pPr>
              <w:spacing w:before="120" w:after="120"/>
              <w:jc w:val="both"/>
              <w:rPr>
                <w:rFonts w:ascii="Times New Roman" w:hAnsi="Times New Roman" w:cs="Times New Roman"/>
                <w:bCs/>
                <w:sz w:val="18"/>
                <w:szCs w:val="18"/>
                <w:lang w:val="sr-Cyrl-CS"/>
              </w:rPr>
            </w:pPr>
            <w:r>
              <w:rPr>
                <w:rFonts w:ascii="Times New Roman" w:hAnsi="Times New Roman" w:cs="Times New Roman"/>
                <w:sz w:val="18"/>
                <w:szCs w:val="18"/>
                <w:lang w:val="ru-RU"/>
              </w:rPr>
              <w:t>Члан</w:t>
            </w:r>
            <w:r w:rsidR="000174C1" w:rsidRPr="00487209">
              <w:rPr>
                <w:rFonts w:ascii="Times New Roman" w:hAnsi="Times New Roman" w:cs="Times New Roman"/>
                <w:sz w:val="18"/>
                <w:szCs w:val="18"/>
                <w:lang w:val="ru-RU"/>
              </w:rPr>
              <w:t xml:space="preserve"> </w:t>
            </w:r>
            <w:r w:rsidR="000174C1" w:rsidRPr="00487209">
              <w:rPr>
                <w:rFonts w:ascii="Times New Roman" w:hAnsi="Times New Roman" w:cs="Times New Roman"/>
                <w:sz w:val="18"/>
                <w:szCs w:val="18"/>
              </w:rPr>
              <w:t xml:space="preserve">22. </w:t>
            </w:r>
            <w:r w:rsidR="000174C1" w:rsidRPr="00487209">
              <w:rPr>
                <w:rFonts w:ascii="Times New Roman" w:hAnsi="Times New Roman" w:cs="Times New Roman"/>
                <w:sz w:val="18"/>
                <w:szCs w:val="18"/>
                <w:lang w:val="sr-Cyrl-CS"/>
              </w:rPr>
              <w:t xml:space="preserve">Уредбе 305/2011 (ЕУ) није пренет, јер се односи на обавезе </w:t>
            </w:r>
            <w:r w:rsidR="00C15534" w:rsidRPr="00487209">
              <w:rPr>
                <w:rFonts w:ascii="Times New Roman" w:hAnsi="Times New Roman" w:cs="Times New Roman"/>
                <w:sz w:val="18"/>
                <w:szCs w:val="18"/>
                <w:lang w:val="sr-Cyrl-CS"/>
              </w:rPr>
              <w:t>организације TAB-ова</w:t>
            </w:r>
            <w:r w:rsidR="000174C1" w:rsidRPr="00487209">
              <w:rPr>
                <w:rFonts w:ascii="Times New Roman" w:hAnsi="Times New Roman" w:cs="Times New Roman"/>
                <w:sz w:val="18"/>
                <w:szCs w:val="18"/>
                <w:lang w:val="sr-Cyrl-CS"/>
              </w:rPr>
              <w:t xml:space="preserve"> и Европске комисије</w:t>
            </w:r>
            <w:r w:rsidR="000174C1" w:rsidRPr="00487209">
              <w:rPr>
                <w:rFonts w:ascii="Times New Roman" w:hAnsi="Times New Roman" w:cs="Times New Roman"/>
                <w:bCs/>
                <w:sz w:val="18"/>
                <w:szCs w:val="18"/>
                <w:lang w:val="sr-Cyrl-CS"/>
              </w:rPr>
              <w:t>.</w:t>
            </w:r>
          </w:p>
        </w:tc>
        <w:tc>
          <w:tcPr>
            <w:tcW w:w="480" w:type="pct"/>
            <w:shd w:val="clear" w:color="auto" w:fill="auto"/>
            <w:vAlign w:val="center"/>
          </w:tcPr>
          <w:p w14:paraId="5E8E8DC3" w14:textId="77777777" w:rsidR="000174C1" w:rsidRPr="00487209" w:rsidRDefault="000174C1" w:rsidP="006C6323">
            <w:pPr>
              <w:spacing w:before="120" w:after="120"/>
              <w:jc w:val="center"/>
              <w:rPr>
                <w:rFonts w:ascii="Times New Roman" w:hAnsi="Times New Roman" w:cs="Times New Roman"/>
                <w:sz w:val="18"/>
                <w:szCs w:val="18"/>
              </w:rPr>
            </w:pPr>
          </w:p>
        </w:tc>
      </w:tr>
      <w:tr w:rsidR="00337554" w:rsidRPr="00487209" w14:paraId="6C709814" w14:textId="77777777" w:rsidTr="007D5144">
        <w:trPr>
          <w:trHeight w:val="1970"/>
          <w:jc w:val="center"/>
        </w:trPr>
        <w:tc>
          <w:tcPr>
            <w:tcW w:w="435" w:type="pct"/>
            <w:shd w:val="clear" w:color="auto" w:fill="auto"/>
            <w:vAlign w:val="center"/>
          </w:tcPr>
          <w:p w14:paraId="66CAE7C3" w14:textId="77777777" w:rsidR="00B1546A" w:rsidRPr="00487209" w:rsidRDefault="00B1546A" w:rsidP="00B1546A">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23.</w:t>
            </w:r>
          </w:p>
        </w:tc>
        <w:tc>
          <w:tcPr>
            <w:tcW w:w="1369" w:type="pct"/>
            <w:gridSpan w:val="2"/>
            <w:shd w:val="clear" w:color="auto" w:fill="auto"/>
            <w:vAlign w:val="center"/>
          </w:tcPr>
          <w:p w14:paraId="112A05C6" w14:textId="77777777" w:rsidR="00B1546A" w:rsidRPr="00487209" w:rsidRDefault="00B1546A" w:rsidP="00B1546A">
            <w:pPr>
              <w:jc w:val="both"/>
              <w:rPr>
                <w:rFonts w:ascii="Times New Roman" w:hAnsi="Times New Roman" w:cs="Times New Roman"/>
                <w:sz w:val="18"/>
                <w:szCs w:val="18"/>
              </w:rPr>
            </w:pPr>
            <w:r w:rsidRPr="00487209">
              <w:rPr>
                <w:rFonts w:ascii="Times New Roman" w:hAnsi="Times New Roman" w:cs="Times New Roman"/>
                <w:sz w:val="18"/>
                <w:szCs w:val="18"/>
              </w:rPr>
              <w:t>If the TABs do not agree upon the European Assessment Document within the time limits provided for, the organisation of TABs shall submit this matter to the Commission for appropriate resolution.</w:t>
            </w:r>
          </w:p>
        </w:tc>
        <w:tc>
          <w:tcPr>
            <w:tcW w:w="429" w:type="pct"/>
            <w:shd w:val="clear" w:color="auto" w:fill="auto"/>
            <w:vAlign w:val="center"/>
          </w:tcPr>
          <w:p w14:paraId="009CDCB0" w14:textId="276E6A65" w:rsidR="00B1546A" w:rsidRPr="00487209" w:rsidRDefault="00B1546A" w:rsidP="00B1546A">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3148479B" w14:textId="77777777" w:rsidR="00B1546A" w:rsidRPr="00487209" w:rsidRDefault="00B1546A" w:rsidP="00B1546A">
            <w:pPr>
              <w:jc w:val="center"/>
              <w:rPr>
                <w:rFonts w:ascii="Times New Roman" w:hAnsi="Times New Roman" w:cs="Times New Roman"/>
                <w:sz w:val="18"/>
                <w:szCs w:val="18"/>
                <w:lang w:val="sr-Cyrl-CS"/>
              </w:rPr>
            </w:pPr>
          </w:p>
        </w:tc>
        <w:tc>
          <w:tcPr>
            <w:tcW w:w="458" w:type="pct"/>
            <w:shd w:val="clear" w:color="auto" w:fill="auto"/>
            <w:vAlign w:val="center"/>
          </w:tcPr>
          <w:p w14:paraId="3CEFDC7D" w14:textId="7205FED0" w:rsidR="00B1546A" w:rsidRPr="00487209" w:rsidRDefault="00B1546A" w:rsidP="00B1546A">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58EA7B11" w14:textId="26FDB7DC" w:rsidR="00B1546A" w:rsidRPr="00487209" w:rsidRDefault="00B1546A" w:rsidP="00B1546A">
            <w:pPr>
              <w:spacing w:before="120" w:after="120"/>
              <w:jc w:val="both"/>
              <w:rPr>
                <w:rFonts w:ascii="Times New Roman" w:hAnsi="Times New Roman" w:cs="Times New Roman"/>
                <w:sz w:val="18"/>
                <w:szCs w:val="18"/>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Pr="00487209">
              <w:rPr>
                <w:rFonts w:ascii="Times New Roman" w:hAnsi="Times New Roman" w:cs="Times New Roman"/>
                <w:sz w:val="18"/>
                <w:szCs w:val="18"/>
                <w:lang w:val="sr-Cyrl-CS"/>
              </w:rPr>
              <w:t>а закона о грађевинским производима која се може упоредити са ч</w:t>
            </w:r>
            <w:r w:rsidR="0049145C">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23</w:t>
            </w:r>
            <w:r w:rsidR="0049145C">
              <w:rPr>
                <w:rFonts w:ascii="Times New Roman" w:hAnsi="Times New Roman" w:cs="Times New Roman"/>
                <w:sz w:val="18"/>
                <w:szCs w:val="18"/>
                <w:lang w:val="ru-RU"/>
              </w:rPr>
              <w:t>.</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lang w:val="sr-Cyrl-CS"/>
              </w:rPr>
              <w:t xml:space="preserve">Уредбе 305/2011 (ЕУ), због статуса </w:t>
            </w:r>
            <w:r w:rsidRPr="00487209">
              <w:rPr>
                <w:rFonts w:ascii="Times New Roman" w:hAnsi="Times New Roman" w:cs="Times New Roman"/>
                <w:sz w:val="18"/>
                <w:szCs w:val="18"/>
                <w:lang w:val="sr-Cyrl-CS"/>
              </w:rPr>
              <w:lastRenderedPageBreak/>
              <w:t>нечланице. Усклађивање ће бити могуће након приступања ЕУ.</w:t>
            </w:r>
          </w:p>
        </w:tc>
        <w:tc>
          <w:tcPr>
            <w:tcW w:w="480" w:type="pct"/>
            <w:shd w:val="clear" w:color="auto" w:fill="auto"/>
            <w:vAlign w:val="center"/>
          </w:tcPr>
          <w:p w14:paraId="368020A1" w14:textId="77777777" w:rsidR="00B1546A" w:rsidRPr="00487209" w:rsidRDefault="00B1546A" w:rsidP="00B1546A">
            <w:pPr>
              <w:spacing w:before="120" w:after="120"/>
              <w:jc w:val="center"/>
              <w:rPr>
                <w:rFonts w:ascii="Times New Roman" w:hAnsi="Times New Roman" w:cs="Times New Roman"/>
                <w:sz w:val="18"/>
                <w:szCs w:val="18"/>
              </w:rPr>
            </w:pPr>
          </w:p>
        </w:tc>
      </w:tr>
      <w:tr w:rsidR="00337554" w:rsidRPr="00487209" w14:paraId="40BA8D3C" w14:textId="77777777" w:rsidTr="007D5144">
        <w:trPr>
          <w:trHeight w:val="913"/>
          <w:jc w:val="center"/>
        </w:trPr>
        <w:tc>
          <w:tcPr>
            <w:tcW w:w="435" w:type="pct"/>
            <w:shd w:val="clear" w:color="auto" w:fill="auto"/>
            <w:vAlign w:val="center"/>
          </w:tcPr>
          <w:p w14:paraId="36871E11" w14:textId="77777777" w:rsidR="00454D0C" w:rsidRPr="00487209" w:rsidRDefault="00454D0C" w:rsidP="00454D0C">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24.1.</w:t>
            </w:r>
          </w:p>
        </w:tc>
        <w:tc>
          <w:tcPr>
            <w:tcW w:w="1369" w:type="pct"/>
            <w:gridSpan w:val="2"/>
            <w:shd w:val="clear" w:color="auto" w:fill="auto"/>
            <w:vAlign w:val="center"/>
          </w:tcPr>
          <w:p w14:paraId="7899541B" w14:textId="77777777" w:rsidR="00454D0C" w:rsidRPr="00487209" w:rsidRDefault="00454D0C" w:rsidP="00454D0C">
            <w:pPr>
              <w:jc w:val="both"/>
              <w:rPr>
                <w:rFonts w:ascii="Times New Roman" w:hAnsi="Times New Roman" w:cs="Times New Roman"/>
                <w:sz w:val="18"/>
                <w:szCs w:val="18"/>
              </w:rPr>
            </w:pPr>
          </w:p>
          <w:p w14:paraId="2D3C7929" w14:textId="77777777" w:rsidR="00454D0C" w:rsidRPr="00487209" w:rsidRDefault="00454D0C" w:rsidP="00454D0C">
            <w:pPr>
              <w:jc w:val="both"/>
              <w:rPr>
                <w:rFonts w:ascii="Times New Roman" w:hAnsi="Times New Roman" w:cs="Times New Roman"/>
                <w:sz w:val="18"/>
                <w:szCs w:val="18"/>
              </w:rPr>
            </w:pPr>
            <w:r w:rsidRPr="00487209">
              <w:rPr>
                <w:rFonts w:ascii="Times New Roman" w:hAnsi="Times New Roman" w:cs="Times New Roman"/>
                <w:sz w:val="18"/>
                <w:szCs w:val="18"/>
              </w:rPr>
              <w:t>A European Assessment Document shall contain, at least, a general description of the construction product, the list of essential characteristics, relevant for the intended use of the product as foreseen by the manufacturer and agreed between the manufacturer and the organisation of TABs, as well as the methods and criteria for assessing the performance of the product in relation to those essential characteristics.</w:t>
            </w:r>
          </w:p>
          <w:p w14:paraId="0400DC5C" w14:textId="77777777" w:rsidR="00454D0C" w:rsidRPr="00487209" w:rsidRDefault="00454D0C" w:rsidP="00454D0C">
            <w:pPr>
              <w:jc w:val="both"/>
              <w:rPr>
                <w:rFonts w:ascii="Times New Roman" w:hAnsi="Times New Roman" w:cs="Times New Roman"/>
                <w:sz w:val="18"/>
                <w:szCs w:val="18"/>
              </w:rPr>
            </w:pPr>
          </w:p>
        </w:tc>
        <w:tc>
          <w:tcPr>
            <w:tcW w:w="429" w:type="pct"/>
            <w:shd w:val="clear" w:color="auto" w:fill="auto"/>
            <w:vAlign w:val="center"/>
          </w:tcPr>
          <w:p w14:paraId="7362C14B" w14:textId="77777777" w:rsidR="00454D0C" w:rsidRDefault="00E54E44" w:rsidP="00454D0C">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01</w:t>
            </w:r>
          </w:p>
          <w:p w14:paraId="3F146170" w14:textId="77777777" w:rsidR="00E54E44" w:rsidRDefault="00E54E44" w:rsidP="00454D0C">
            <w:pPr>
              <w:spacing w:before="120" w:after="120"/>
              <w:ind w:firstLine="5"/>
              <w:jc w:val="center"/>
              <w:rPr>
                <w:rFonts w:ascii="Times New Roman" w:hAnsi="Times New Roman" w:cs="Times New Roman"/>
                <w:sz w:val="18"/>
                <w:szCs w:val="18"/>
                <w:lang w:val="ru-RU"/>
              </w:rPr>
            </w:pPr>
          </w:p>
          <w:p w14:paraId="4DF8A999" w14:textId="5BB8D70C" w:rsidR="00E54E44" w:rsidRPr="00487209" w:rsidRDefault="00E54E44" w:rsidP="00454D0C">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25.1.</w:t>
            </w:r>
          </w:p>
        </w:tc>
        <w:tc>
          <w:tcPr>
            <w:tcW w:w="1231" w:type="pct"/>
            <w:gridSpan w:val="2"/>
            <w:shd w:val="clear" w:color="auto" w:fill="auto"/>
            <w:vAlign w:val="center"/>
          </w:tcPr>
          <w:p w14:paraId="4555656A" w14:textId="46E68893" w:rsidR="00454D0C" w:rsidRPr="007D5144" w:rsidRDefault="00E54E44" w:rsidP="00454D0C">
            <w:pPr>
              <w:pStyle w:val="Style7"/>
              <w:spacing w:before="240" w:after="0" w:line="240" w:lineRule="auto"/>
              <w:ind w:right="-23"/>
              <w:jc w:val="both"/>
              <w:outlineLvl w:val="3"/>
              <w:rPr>
                <w:sz w:val="18"/>
                <w:szCs w:val="18"/>
              </w:rPr>
            </w:pPr>
            <w:r w:rsidRPr="007D5144">
              <w:rPr>
                <w:sz w:val="18"/>
                <w:szCs w:val="18"/>
              </w:rPr>
              <w:t>Српски документ за оцењивање садржи, нарочито, општи опис предметног грађевинског производа, списак битних карактеристика oд значаја за предвиђену употребу грађевинског производа како је то предвидео произвођач и како је усаглашено између произвођача и тела за техничко оцењивање, као и методе и критеријуме за оцењивање перформанси грађевинског производа у вези са његовим битним карактеристикама.</w:t>
            </w:r>
          </w:p>
        </w:tc>
        <w:tc>
          <w:tcPr>
            <w:tcW w:w="458" w:type="pct"/>
            <w:shd w:val="clear" w:color="auto" w:fill="auto"/>
            <w:vAlign w:val="center"/>
          </w:tcPr>
          <w:p w14:paraId="78206FE4" w14:textId="6A93EE8E" w:rsidR="00454D0C" w:rsidRPr="00487209" w:rsidRDefault="00E54E44" w:rsidP="00454D0C">
            <w:pPr>
              <w:spacing w:before="120" w:after="120"/>
              <w:jc w:val="center"/>
              <w:rPr>
                <w:rFonts w:ascii="Times New Roman" w:hAnsi="Times New Roman" w:cs="Times New Roman"/>
                <w:sz w:val="18"/>
                <w:szCs w:val="18"/>
                <w:lang w:val="sr-Cyrl-CS"/>
              </w:rPr>
            </w:pPr>
            <w:r>
              <w:rPr>
                <w:rFonts w:ascii="Times New Roman" w:hAnsi="Times New Roman" w:cs="Times New Roman"/>
                <w:sz w:val="18"/>
                <w:szCs w:val="18"/>
                <w:lang w:val="sr-Cyrl-CS"/>
              </w:rPr>
              <w:t>Д</w:t>
            </w:r>
            <w:r w:rsidRPr="00487209">
              <w:rPr>
                <w:rFonts w:ascii="Times New Roman" w:hAnsi="Times New Roman" w:cs="Times New Roman"/>
                <w:sz w:val="18"/>
                <w:szCs w:val="18"/>
                <w:lang w:val="sr-Cyrl-CS"/>
              </w:rPr>
              <w:t>У</w:t>
            </w:r>
          </w:p>
        </w:tc>
        <w:tc>
          <w:tcPr>
            <w:tcW w:w="598" w:type="pct"/>
            <w:gridSpan w:val="2"/>
            <w:shd w:val="clear" w:color="auto" w:fill="auto"/>
            <w:vAlign w:val="center"/>
          </w:tcPr>
          <w:p w14:paraId="0F717C9C" w14:textId="6C186B35" w:rsidR="00454D0C" w:rsidRPr="00487209" w:rsidRDefault="0049145C" w:rsidP="00836932">
            <w:pPr>
              <w:spacing w:before="120" w:after="120"/>
              <w:jc w:val="both"/>
              <w:rPr>
                <w:rFonts w:ascii="Times New Roman" w:hAnsi="Times New Roman" w:cs="Times New Roman"/>
                <w:sz w:val="18"/>
                <w:szCs w:val="18"/>
                <w:lang w:val="ru-RU"/>
              </w:rPr>
            </w:pPr>
            <w:r>
              <w:rPr>
                <w:rFonts w:ascii="Times New Roman" w:hAnsi="Times New Roman" w:cs="Times New Roman"/>
                <w:sz w:val="18"/>
                <w:szCs w:val="18"/>
                <w:lang w:val="sr-Cyrl-CS"/>
              </w:rPr>
              <w:t>Члан</w:t>
            </w:r>
            <w:r w:rsidR="00836932" w:rsidRPr="00836932">
              <w:rPr>
                <w:rFonts w:ascii="Times New Roman" w:hAnsi="Times New Roman" w:cs="Times New Roman"/>
                <w:sz w:val="18"/>
                <w:szCs w:val="18"/>
                <w:lang w:val="sr-Cyrl-CS"/>
              </w:rPr>
              <w:t xml:space="preserve"> </w:t>
            </w:r>
            <w:r w:rsidR="00836932">
              <w:rPr>
                <w:rFonts w:ascii="Times New Roman" w:hAnsi="Times New Roman" w:cs="Times New Roman"/>
                <w:sz w:val="18"/>
                <w:szCs w:val="18"/>
                <w:lang w:val="sr-Cyrl-CS"/>
              </w:rPr>
              <w:t>24.1</w:t>
            </w:r>
            <w:r w:rsidR="00836932" w:rsidRPr="00836932">
              <w:rPr>
                <w:rFonts w:ascii="Times New Roman" w:hAnsi="Times New Roman" w:cs="Times New Roman"/>
                <w:sz w:val="18"/>
                <w:szCs w:val="18"/>
                <w:lang w:val="sr-Cyrl-CS"/>
              </w:rPr>
              <w:t>. Ур</w:t>
            </w:r>
            <w:r>
              <w:rPr>
                <w:rFonts w:ascii="Times New Roman" w:hAnsi="Times New Roman" w:cs="Times New Roman"/>
                <w:sz w:val="18"/>
                <w:szCs w:val="18"/>
                <w:lang w:val="sr-Cyrl-CS"/>
              </w:rPr>
              <w:t>едбе 305/2011 (ЕУ) је пренет члан</w:t>
            </w:r>
            <w:r w:rsidR="00836932" w:rsidRPr="00836932">
              <w:rPr>
                <w:rFonts w:ascii="Times New Roman" w:hAnsi="Times New Roman" w:cs="Times New Roman"/>
                <w:sz w:val="18"/>
                <w:szCs w:val="18"/>
                <w:lang w:val="sr-Cyrl-CS"/>
              </w:rPr>
              <w:t xml:space="preserve"> </w:t>
            </w:r>
            <w:r w:rsidR="00836932">
              <w:rPr>
                <w:rFonts w:ascii="Times New Roman" w:hAnsi="Times New Roman" w:cs="Times New Roman"/>
                <w:sz w:val="18"/>
                <w:szCs w:val="18"/>
                <w:lang w:val="sr-Cyrl-CS"/>
              </w:rPr>
              <w:t>25</w:t>
            </w:r>
            <w:r>
              <w:rPr>
                <w:rFonts w:ascii="Times New Roman" w:hAnsi="Times New Roman" w:cs="Times New Roman"/>
                <w:sz w:val="18"/>
                <w:szCs w:val="18"/>
                <w:lang w:val="sr-Cyrl-CS"/>
              </w:rPr>
              <w:t>. став</w:t>
            </w:r>
            <w:r w:rsidR="00836932" w:rsidRPr="00836932">
              <w:rPr>
                <w:rFonts w:ascii="Times New Roman" w:hAnsi="Times New Roman" w:cs="Times New Roman"/>
                <w:sz w:val="18"/>
                <w:szCs w:val="18"/>
                <w:lang w:val="sr-Cyrl-CS"/>
              </w:rPr>
              <w:t xml:space="preserve"> </w:t>
            </w:r>
            <w:r w:rsidR="00836932">
              <w:rPr>
                <w:rFonts w:ascii="Times New Roman" w:hAnsi="Times New Roman" w:cs="Times New Roman"/>
                <w:sz w:val="18"/>
                <w:szCs w:val="18"/>
                <w:lang w:val="sr-Cyrl-CS"/>
              </w:rPr>
              <w:t>1</w:t>
            </w:r>
            <w:r w:rsidR="00836932" w:rsidRPr="00836932">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836932" w:rsidRPr="00836932">
              <w:rPr>
                <w:rFonts w:ascii="Times New Roman" w:hAnsi="Times New Roman" w:cs="Times New Roman"/>
                <w:sz w:val="18"/>
                <w:szCs w:val="18"/>
                <w:lang w:val="sr-Cyrl-CS"/>
              </w:rPr>
              <w:t xml:space="preserve">а закона о грађевинским производима у делу који се односи на </w:t>
            </w:r>
            <w:r w:rsidR="00836932">
              <w:rPr>
                <w:rFonts w:ascii="Times New Roman" w:hAnsi="Times New Roman" w:cs="Times New Roman"/>
                <w:sz w:val="18"/>
                <w:szCs w:val="18"/>
                <w:lang w:val="sr-Cyrl-CS"/>
              </w:rPr>
              <w:t>израду националног докуметна за оцењивање</w:t>
            </w:r>
            <w:r w:rsidR="00836932" w:rsidRPr="00836932">
              <w:rPr>
                <w:rFonts w:ascii="Times New Roman" w:hAnsi="Times New Roman" w:cs="Times New Roman"/>
                <w:sz w:val="18"/>
                <w:szCs w:val="18"/>
                <w:lang w:val="sr-Cyrl-CS"/>
              </w:rPr>
              <w:t>. Потпуно усклађивање биће могуће након приступања ЕУ.</w:t>
            </w:r>
          </w:p>
        </w:tc>
        <w:tc>
          <w:tcPr>
            <w:tcW w:w="480" w:type="pct"/>
            <w:shd w:val="clear" w:color="auto" w:fill="auto"/>
            <w:vAlign w:val="center"/>
          </w:tcPr>
          <w:p w14:paraId="0FC62D0A" w14:textId="77777777" w:rsidR="00454D0C" w:rsidRPr="00487209" w:rsidRDefault="00454D0C" w:rsidP="00454D0C">
            <w:pPr>
              <w:spacing w:before="120" w:after="120"/>
              <w:jc w:val="center"/>
              <w:rPr>
                <w:rFonts w:ascii="Times New Roman" w:hAnsi="Times New Roman" w:cs="Times New Roman"/>
                <w:sz w:val="18"/>
                <w:szCs w:val="18"/>
                <w:lang w:val="ru-RU"/>
              </w:rPr>
            </w:pPr>
          </w:p>
        </w:tc>
      </w:tr>
      <w:tr w:rsidR="00337554" w:rsidRPr="00487209" w14:paraId="59989814" w14:textId="77777777" w:rsidTr="007D5144">
        <w:trPr>
          <w:trHeight w:val="1970"/>
          <w:jc w:val="center"/>
        </w:trPr>
        <w:tc>
          <w:tcPr>
            <w:tcW w:w="435" w:type="pct"/>
            <w:shd w:val="clear" w:color="auto" w:fill="auto"/>
            <w:vAlign w:val="center"/>
          </w:tcPr>
          <w:p w14:paraId="4FC8FDE7" w14:textId="77777777" w:rsidR="00454D0C" w:rsidRPr="00487209" w:rsidRDefault="00454D0C" w:rsidP="00454D0C">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24.2.</w:t>
            </w:r>
          </w:p>
        </w:tc>
        <w:tc>
          <w:tcPr>
            <w:tcW w:w="1369" w:type="pct"/>
            <w:gridSpan w:val="2"/>
            <w:shd w:val="clear" w:color="auto" w:fill="auto"/>
            <w:vAlign w:val="center"/>
          </w:tcPr>
          <w:p w14:paraId="6CC16F37" w14:textId="77777777" w:rsidR="00454D0C" w:rsidRPr="00487209" w:rsidRDefault="00454D0C" w:rsidP="00454D0C">
            <w:pPr>
              <w:jc w:val="both"/>
              <w:rPr>
                <w:rFonts w:ascii="Times New Roman" w:hAnsi="Times New Roman" w:cs="Times New Roman"/>
                <w:sz w:val="18"/>
                <w:szCs w:val="18"/>
              </w:rPr>
            </w:pPr>
            <w:r w:rsidRPr="00487209">
              <w:rPr>
                <w:rFonts w:ascii="Times New Roman" w:hAnsi="Times New Roman" w:cs="Times New Roman"/>
                <w:sz w:val="18"/>
                <w:szCs w:val="18"/>
              </w:rPr>
              <w:t>Principles for the applicable factory production control to be applied shall be set out in the European Assessment Document, taking into account the conditions of the manufacturing process of the construction product concerned.</w:t>
            </w:r>
          </w:p>
        </w:tc>
        <w:tc>
          <w:tcPr>
            <w:tcW w:w="429" w:type="pct"/>
            <w:shd w:val="clear" w:color="auto" w:fill="auto"/>
            <w:vAlign w:val="center"/>
          </w:tcPr>
          <w:p w14:paraId="0299DC32" w14:textId="77777777" w:rsidR="00E54E44" w:rsidRDefault="00E54E44" w:rsidP="00E54E44">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01</w:t>
            </w:r>
          </w:p>
          <w:p w14:paraId="63A117A5" w14:textId="77777777" w:rsidR="00E54E44" w:rsidRDefault="00E54E44" w:rsidP="00E54E44">
            <w:pPr>
              <w:spacing w:before="120" w:after="120"/>
              <w:ind w:firstLine="5"/>
              <w:jc w:val="center"/>
              <w:rPr>
                <w:rFonts w:ascii="Times New Roman" w:hAnsi="Times New Roman" w:cs="Times New Roman"/>
                <w:sz w:val="18"/>
                <w:szCs w:val="18"/>
                <w:lang w:val="ru-RU"/>
              </w:rPr>
            </w:pPr>
          </w:p>
          <w:p w14:paraId="1BEC942B" w14:textId="0AB1278C" w:rsidR="00454D0C" w:rsidRPr="00487209" w:rsidRDefault="00E54E44" w:rsidP="00E54E44">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25.2.</w:t>
            </w:r>
          </w:p>
        </w:tc>
        <w:tc>
          <w:tcPr>
            <w:tcW w:w="1231" w:type="pct"/>
            <w:gridSpan w:val="2"/>
            <w:shd w:val="clear" w:color="auto" w:fill="auto"/>
            <w:vAlign w:val="center"/>
          </w:tcPr>
          <w:p w14:paraId="2DB1C1C1" w14:textId="3EAD7CF1" w:rsidR="00454D0C" w:rsidRPr="007D5144" w:rsidRDefault="00E54E44" w:rsidP="00454D0C">
            <w:pPr>
              <w:pStyle w:val="Style7"/>
              <w:spacing w:before="240" w:after="0" w:line="240" w:lineRule="auto"/>
              <w:ind w:right="-23"/>
              <w:jc w:val="both"/>
              <w:outlineLvl w:val="3"/>
              <w:rPr>
                <w:sz w:val="18"/>
                <w:szCs w:val="18"/>
              </w:rPr>
            </w:pPr>
            <w:r w:rsidRPr="007D5144">
              <w:rPr>
                <w:sz w:val="18"/>
                <w:szCs w:val="18"/>
              </w:rPr>
              <w:t>Српски документ за оцењивање садржи и главне поставке/принципе фабричке контроле производње која ће се примењивати, при чему се узимају у обзир услови производног процеса грађевинског производа.</w:t>
            </w:r>
          </w:p>
        </w:tc>
        <w:tc>
          <w:tcPr>
            <w:tcW w:w="458" w:type="pct"/>
            <w:shd w:val="clear" w:color="auto" w:fill="auto"/>
            <w:vAlign w:val="center"/>
          </w:tcPr>
          <w:p w14:paraId="1762D05F" w14:textId="654E05AF" w:rsidR="00454D0C" w:rsidRPr="00487209" w:rsidRDefault="00E54E44" w:rsidP="00454D0C">
            <w:pPr>
              <w:spacing w:before="120" w:after="120"/>
              <w:jc w:val="center"/>
              <w:rPr>
                <w:rFonts w:ascii="Times New Roman" w:hAnsi="Times New Roman" w:cs="Times New Roman"/>
                <w:sz w:val="18"/>
                <w:szCs w:val="18"/>
                <w:lang w:val="sr-Cyrl-CS"/>
              </w:rPr>
            </w:pPr>
            <w:r>
              <w:rPr>
                <w:rFonts w:ascii="Times New Roman" w:hAnsi="Times New Roman" w:cs="Times New Roman"/>
                <w:sz w:val="18"/>
                <w:szCs w:val="18"/>
                <w:lang w:val="sr-Cyrl-CS"/>
              </w:rPr>
              <w:t>Д</w:t>
            </w:r>
            <w:r w:rsidRPr="00487209">
              <w:rPr>
                <w:rFonts w:ascii="Times New Roman" w:hAnsi="Times New Roman" w:cs="Times New Roman"/>
                <w:sz w:val="18"/>
                <w:szCs w:val="18"/>
                <w:lang w:val="sr-Cyrl-CS"/>
              </w:rPr>
              <w:t>У</w:t>
            </w:r>
          </w:p>
        </w:tc>
        <w:tc>
          <w:tcPr>
            <w:tcW w:w="598" w:type="pct"/>
            <w:gridSpan w:val="2"/>
            <w:shd w:val="clear" w:color="auto" w:fill="auto"/>
            <w:vAlign w:val="center"/>
          </w:tcPr>
          <w:p w14:paraId="44E09C63" w14:textId="43343E7B" w:rsidR="00454D0C" w:rsidRPr="00487209" w:rsidRDefault="0049145C" w:rsidP="00860B8B">
            <w:pPr>
              <w:spacing w:before="120" w:after="120"/>
              <w:jc w:val="both"/>
              <w:rPr>
                <w:rFonts w:ascii="Times New Roman" w:hAnsi="Times New Roman" w:cs="Times New Roman"/>
                <w:sz w:val="18"/>
                <w:szCs w:val="18"/>
                <w:lang w:val="ru-RU"/>
              </w:rPr>
            </w:pPr>
            <w:r>
              <w:rPr>
                <w:rFonts w:ascii="Times New Roman" w:hAnsi="Times New Roman" w:cs="Times New Roman"/>
                <w:sz w:val="18"/>
                <w:szCs w:val="18"/>
                <w:lang w:val="sr-Cyrl-CS"/>
              </w:rPr>
              <w:t>Члан</w:t>
            </w:r>
            <w:r w:rsidR="00860B8B" w:rsidRPr="00836932">
              <w:rPr>
                <w:rFonts w:ascii="Times New Roman" w:hAnsi="Times New Roman" w:cs="Times New Roman"/>
                <w:sz w:val="18"/>
                <w:szCs w:val="18"/>
                <w:lang w:val="sr-Cyrl-CS"/>
              </w:rPr>
              <w:t xml:space="preserve"> </w:t>
            </w:r>
            <w:r w:rsidR="00860B8B">
              <w:rPr>
                <w:rFonts w:ascii="Times New Roman" w:hAnsi="Times New Roman" w:cs="Times New Roman"/>
                <w:sz w:val="18"/>
                <w:szCs w:val="18"/>
                <w:lang w:val="sr-Cyrl-CS"/>
              </w:rPr>
              <w:t>24.2</w:t>
            </w:r>
            <w:r w:rsidR="00860B8B" w:rsidRPr="00836932">
              <w:rPr>
                <w:rFonts w:ascii="Times New Roman" w:hAnsi="Times New Roman" w:cs="Times New Roman"/>
                <w:sz w:val="18"/>
                <w:szCs w:val="18"/>
                <w:lang w:val="sr-Cyrl-CS"/>
              </w:rPr>
              <w:t>. Ур</w:t>
            </w:r>
            <w:r>
              <w:rPr>
                <w:rFonts w:ascii="Times New Roman" w:hAnsi="Times New Roman" w:cs="Times New Roman"/>
                <w:sz w:val="18"/>
                <w:szCs w:val="18"/>
                <w:lang w:val="sr-Cyrl-CS"/>
              </w:rPr>
              <w:t>едбе 305/2011 (ЕУ) је пренет члан</w:t>
            </w:r>
            <w:r w:rsidR="00860B8B" w:rsidRPr="00836932">
              <w:rPr>
                <w:rFonts w:ascii="Times New Roman" w:hAnsi="Times New Roman" w:cs="Times New Roman"/>
                <w:sz w:val="18"/>
                <w:szCs w:val="18"/>
                <w:lang w:val="sr-Cyrl-CS"/>
              </w:rPr>
              <w:t xml:space="preserve"> </w:t>
            </w:r>
            <w:r w:rsidR="00860B8B">
              <w:rPr>
                <w:rFonts w:ascii="Times New Roman" w:hAnsi="Times New Roman" w:cs="Times New Roman"/>
                <w:sz w:val="18"/>
                <w:szCs w:val="18"/>
                <w:lang w:val="sr-Cyrl-CS"/>
              </w:rPr>
              <w:t>25</w:t>
            </w:r>
            <w:r>
              <w:rPr>
                <w:rFonts w:ascii="Times New Roman" w:hAnsi="Times New Roman" w:cs="Times New Roman"/>
                <w:sz w:val="18"/>
                <w:szCs w:val="18"/>
                <w:lang w:val="sr-Cyrl-CS"/>
              </w:rPr>
              <w:t>. став</w:t>
            </w:r>
            <w:r w:rsidR="00860B8B" w:rsidRPr="00836932">
              <w:rPr>
                <w:rFonts w:ascii="Times New Roman" w:hAnsi="Times New Roman" w:cs="Times New Roman"/>
                <w:sz w:val="18"/>
                <w:szCs w:val="18"/>
                <w:lang w:val="sr-Cyrl-CS"/>
              </w:rPr>
              <w:t xml:space="preserve"> </w:t>
            </w:r>
            <w:r w:rsidR="00860B8B">
              <w:rPr>
                <w:rFonts w:ascii="Times New Roman" w:hAnsi="Times New Roman" w:cs="Times New Roman"/>
                <w:sz w:val="18"/>
                <w:szCs w:val="18"/>
                <w:lang w:val="sr-Cyrl-CS"/>
              </w:rPr>
              <w:t>2</w:t>
            </w:r>
            <w:r w:rsidR="00860B8B" w:rsidRPr="00836932">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860B8B" w:rsidRPr="00836932">
              <w:rPr>
                <w:rFonts w:ascii="Times New Roman" w:hAnsi="Times New Roman" w:cs="Times New Roman"/>
                <w:sz w:val="18"/>
                <w:szCs w:val="18"/>
                <w:lang w:val="sr-Cyrl-CS"/>
              </w:rPr>
              <w:t xml:space="preserve">а закона о грађевинским производима у делу који се односи на </w:t>
            </w:r>
            <w:r w:rsidR="00860B8B">
              <w:rPr>
                <w:rFonts w:ascii="Times New Roman" w:hAnsi="Times New Roman" w:cs="Times New Roman"/>
                <w:sz w:val="18"/>
                <w:szCs w:val="18"/>
                <w:lang w:val="sr-Cyrl-CS"/>
              </w:rPr>
              <w:t>израду националног докуметна за оцењивање</w:t>
            </w:r>
            <w:r w:rsidR="00860B8B" w:rsidRPr="00836932">
              <w:rPr>
                <w:rFonts w:ascii="Times New Roman" w:hAnsi="Times New Roman" w:cs="Times New Roman"/>
                <w:sz w:val="18"/>
                <w:szCs w:val="18"/>
                <w:lang w:val="sr-Cyrl-CS"/>
              </w:rPr>
              <w:t xml:space="preserve">. Потпуно </w:t>
            </w:r>
            <w:r w:rsidR="00860B8B" w:rsidRPr="00836932">
              <w:rPr>
                <w:rFonts w:ascii="Times New Roman" w:hAnsi="Times New Roman" w:cs="Times New Roman"/>
                <w:sz w:val="18"/>
                <w:szCs w:val="18"/>
                <w:lang w:val="sr-Cyrl-CS"/>
              </w:rPr>
              <w:lastRenderedPageBreak/>
              <w:t>усклађивање биће могуће након приступања ЕУ.</w:t>
            </w:r>
          </w:p>
        </w:tc>
        <w:tc>
          <w:tcPr>
            <w:tcW w:w="480" w:type="pct"/>
            <w:shd w:val="clear" w:color="auto" w:fill="auto"/>
            <w:vAlign w:val="center"/>
          </w:tcPr>
          <w:p w14:paraId="77DC4D90" w14:textId="77777777" w:rsidR="00454D0C" w:rsidRPr="00487209" w:rsidRDefault="00454D0C" w:rsidP="00454D0C">
            <w:pPr>
              <w:spacing w:before="120" w:after="120"/>
              <w:jc w:val="center"/>
              <w:rPr>
                <w:rFonts w:ascii="Times New Roman" w:hAnsi="Times New Roman" w:cs="Times New Roman"/>
                <w:sz w:val="18"/>
                <w:szCs w:val="18"/>
                <w:lang w:val="ru-RU"/>
              </w:rPr>
            </w:pPr>
          </w:p>
        </w:tc>
      </w:tr>
      <w:tr w:rsidR="00337554" w:rsidRPr="00487209" w14:paraId="6BDB571F" w14:textId="77777777" w:rsidTr="007D5144">
        <w:trPr>
          <w:trHeight w:val="1970"/>
          <w:jc w:val="center"/>
        </w:trPr>
        <w:tc>
          <w:tcPr>
            <w:tcW w:w="435" w:type="pct"/>
            <w:shd w:val="clear" w:color="auto" w:fill="auto"/>
            <w:vAlign w:val="center"/>
          </w:tcPr>
          <w:p w14:paraId="4E0F2064" w14:textId="77777777" w:rsidR="00454D0C" w:rsidRPr="00487209" w:rsidRDefault="00454D0C" w:rsidP="00454D0C">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24.3.</w:t>
            </w:r>
          </w:p>
        </w:tc>
        <w:tc>
          <w:tcPr>
            <w:tcW w:w="1369" w:type="pct"/>
            <w:gridSpan w:val="2"/>
            <w:shd w:val="clear" w:color="auto" w:fill="auto"/>
            <w:vAlign w:val="center"/>
          </w:tcPr>
          <w:p w14:paraId="355A7019" w14:textId="77777777" w:rsidR="00454D0C" w:rsidRPr="00487209" w:rsidRDefault="00454D0C" w:rsidP="00454D0C">
            <w:pPr>
              <w:jc w:val="both"/>
              <w:rPr>
                <w:rFonts w:ascii="Times New Roman" w:hAnsi="Times New Roman" w:cs="Times New Roman"/>
                <w:sz w:val="18"/>
                <w:szCs w:val="18"/>
              </w:rPr>
            </w:pPr>
          </w:p>
          <w:p w14:paraId="698B4BC4" w14:textId="0ED95F8C" w:rsidR="00454D0C" w:rsidRPr="00487209" w:rsidRDefault="00454D0C" w:rsidP="00454D0C">
            <w:pPr>
              <w:jc w:val="both"/>
              <w:rPr>
                <w:rFonts w:ascii="Times New Roman" w:hAnsi="Times New Roman" w:cs="Times New Roman"/>
                <w:sz w:val="18"/>
                <w:szCs w:val="18"/>
              </w:rPr>
            </w:pPr>
            <w:r w:rsidRPr="00487209">
              <w:rPr>
                <w:rFonts w:ascii="Times New Roman" w:hAnsi="Times New Roman" w:cs="Times New Roman"/>
                <w:sz w:val="18"/>
                <w:szCs w:val="18"/>
              </w:rPr>
              <w:t>Where the performance of some of the essential characteristics of the product can appropriately be assessed with methods and criteria already established in other harmonised technical specifications or the Guidelines referred to in Article 66(3), or used in accordance with Article 9 of Directive 89/101/EEC before 1 July 2013 in the context of issuing European technical approvals, those existing methods and criteria shall be incorporated as parts of the European Assessment Document.</w:t>
            </w:r>
          </w:p>
          <w:p w14:paraId="1FE6927E" w14:textId="77777777" w:rsidR="00454D0C" w:rsidRPr="00487209" w:rsidRDefault="00454D0C" w:rsidP="00454D0C">
            <w:pPr>
              <w:jc w:val="both"/>
              <w:rPr>
                <w:rFonts w:ascii="Times New Roman" w:hAnsi="Times New Roman" w:cs="Times New Roman"/>
                <w:sz w:val="18"/>
                <w:szCs w:val="18"/>
              </w:rPr>
            </w:pPr>
          </w:p>
        </w:tc>
        <w:tc>
          <w:tcPr>
            <w:tcW w:w="429" w:type="pct"/>
            <w:shd w:val="clear" w:color="auto" w:fill="auto"/>
            <w:vAlign w:val="center"/>
          </w:tcPr>
          <w:p w14:paraId="4F33AE27" w14:textId="77777777" w:rsidR="00E54E44" w:rsidRDefault="00E54E44" w:rsidP="00E54E44">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01</w:t>
            </w:r>
          </w:p>
          <w:p w14:paraId="0CACF606" w14:textId="77777777" w:rsidR="00E54E44" w:rsidRDefault="00E54E44" w:rsidP="00E54E44">
            <w:pPr>
              <w:spacing w:before="120" w:after="120"/>
              <w:ind w:firstLine="5"/>
              <w:jc w:val="center"/>
              <w:rPr>
                <w:rFonts w:ascii="Times New Roman" w:hAnsi="Times New Roman" w:cs="Times New Roman"/>
                <w:sz w:val="18"/>
                <w:szCs w:val="18"/>
                <w:lang w:val="ru-RU"/>
              </w:rPr>
            </w:pPr>
          </w:p>
          <w:p w14:paraId="5EB5EFEA" w14:textId="67A8355B" w:rsidR="00454D0C" w:rsidRPr="00487209" w:rsidRDefault="00E54E44" w:rsidP="00E54E44">
            <w:pPr>
              <w:pStyle w:val="Style7"/>
              <w:spacing w:before="240" w:after="0" w:line="240" w:lineRule="auto"/>
              <w:ind w:right="-23"/>
              <w:outlineLvl w:val="3"/>
              <w:rPr>
                <w:sz w:val="18"/>
                <w:szCs w:val="18"/>
              </w:rPr>
            </w:pPr>
            <w:r>
              <w:rPr>
                <w:sz w:val="18"/>
                <w:szCs w:val="18"/>
                <w:lang w:val="ru-RU"/>
              </w:rPr>
              <w:t>25.3.</w:t>
            </w:r>
          </w:p>
        </w:tc>
        <w:tc>
          <w:tcPr>
            <w:tcW w:w="1231" w:type="pct"/>
            <w:gridSpan w:val="2"/>
            <w:shd w:val="clear" w:color="auto" w:fill="auto"/>
            <w:vAlign w:val="center"/>
          </w:tcPr>
          <w:p w14:paraId="6ACA483F" w14:textId="18855D44" w:rsidR="00454D0C" w:rsidRPr="00487209" w:rsidRDefault="00E54E44" w:rsidP="00454D0C">
            <w:pPr>
              <w:pStyle w:val="Style7"/>
              <w:spacing w:before="240" w:after="0" w:line="240" w:lineRule="auto"/>
              <w:ind w:right="-23"/>
              <w:jc w:val="both"/>
              <w:outlineLvl w:val="3"/>
              <w:rPr>
                <w:sz w:val="18"/>
                <w:szCs w:val="18"/>
              </w:rPr>
            </w:pPr>
            <w:r w:rsidRPr="00E54E44">
              <w:rPr>
                <w:sz w:val="18"/>
                <w:szCs w:val="18"/>
              </w:rPr>
              <w:t>Када перформансе неких битних карактеристика грађевинског производа могу на одговарајући начин бити оцењене применом метода и критеријума који су већ утврђени у другим техничким спецификацијама или техничким прописима ти постојећи методи и критеријуми за оцењивање се користе при изради српског документа за оцењивање.</w:t>
            </w:r>
          </w:p>
        </w:tc>
        <w:tc>
          <w:tcPr>
            <w:tcW w:w="458" w:type="pct"/>
            <w:shd w:val="clear" w:color="auto" w:fill="auto"/>
            <w:vAlign w:val="center"/>
          </w:tcPr>
          <w:p w14:paraId="6D428BE6" w14:textId="695CE006" w:rsidR="00454D0C" w:rsidRPr="00487209" w:rsidRDefault="00E54E44" w:rsidP="00454D0C">
            <w:pPr>
              <w:spacing w:before="120" w:after="120"/>
              <w:jc w:val="center"/>
              <w:rPr>
                <w:rFonts w:ascii="Times New Roman" w:hAnsi="Times New Roman" w:cs="Times New Roman"/>
                <w:sz w:val="18"/>
                <w:szCs w:val="18"/>
                <w:lang w:val="sr-Cyrl-CS"/>
              </w:rPr>
            </w:pPr>
            <w:r>
              <w:rPr>
                <w:rFonts w:ascii="Times New Roman" w:hAnsi="Times New Roman" w:cs="Times New Roman"/>
                <w:sz w:val="18"/>
                <w:szCs w:val="18"/>
                <w:lang w:val="sr-Cyrl-CS"/>
              </w:rPr>
              <w:t>Д</w:t>
            </w:r>
            <w:r w:rsidRPr="00487209">
              <w:rPr>
                <w:rFonts w:ascii="Times New Roman" w:hAnsi="Times New Roman" w:cs="Times New Roman"/>
                <w:sz w:val="18"/>
                <w:szCs w:val="18"/>
                <w:lang w:val="sr-Cyrl-CS"/>
              </w:rPr>
              <w:t>У</w:t>
            </w:r>
          </w:p>
        </w:tc>
        <w:tc>
          <w:tcPr>
            <w:tcW w:w="598" w:type="pct"/>
            <w:gridSpan w:val="2"/>
            <w:shd w:val="clear" w:color="auto" w:fill="auto"/>
            <w:vAlign w:val="center"/>
          </w:tcPr>
          <w:p w14:paraId="2CFDEFDD" w14:textId="3A6715C2" w:rsidR="00454D0C" w:rsidRPr="00487209" w:rsidRDefault="0049145C" w:rsidP="0049145C">
            <w:pPr>
              <w:spacing w:before="120" w:after="120"/>
              <w:jc w:val="both"/>
              <w:rPr>
                <w:rFonts w:ascii="Times New Roman" w:hAnsi="Times New Roman" w:cs="Times New Roman"/>
                <w:sz w:val="18"/>
                <w:szCs w:val="18"/>
                <w:lang w:val="ru-RU"/>
              </w:rPr>
            </w:pPr>
            <w:r>
              <w:rPr>
                <w:rFonts w:ascii="Times New Roman" w:hAnsi="Times New Roman" w:cs="Times New Roman"/>
                <w:sz w:val="18"/>
                <w:szCs w:val="18"/>
                <w:lang w:val="sr-Cyrl-CS"/>
              </w:rPr>
              <w:t>Члан</w:t>
            </w:r>
            <w:r w:rsidR="00860B8B" w:rsidRPr="00836932">
              <w:rPr>
                <w:rFonts w:ascii="Times New Roman" w:hAnsi="Times New Roman" w:cs="Times New Roman"/>
                <w:sz w:val="18"/>
                <w:szCs w:val="18"/>
                <w:lang w:val="sr-Cyrl-CS"/>
              </w:rPr>
              <w:t xml:space="preserve"> </w:t>
            </w:r>
            <w:r w:rsidR="00860B8B">
              <w:rPr>
                <w:rFonts w:ascii="Times New Roman" w:hAnsi="Times New Roman" w:cs="Times New Roman"/>
                <w:sz w:val="18"/>
                <w:szCs w:val="18"/>
                <w:lang w:val="sr-Cyrl-CS"/>
              </w:rPr>
              <w:t>24.3</w:t>
            </w:r>
            <w:r w:rsidR="00860B8B" w:rsidRPr="00836932">
              <w:rPr>
                <w:rFonts w:ascii="Times New Roman" w:hAnsi="Times New Roman" w:cs="Times New Roman"/>
                <w:sz w:val="18"/>
                <w:szCs w:val="18"/>
                <w:lang w:val="sr-Cyrl-CS"/>
              </w:rPr>
              <w:t>. Ур</w:t>
            </w:r>
            <w:r>
              <w:rPr>
                <w:rFonts w:ascii="Times New Roman" w:hAnsi="Times New Roman" w:cs="Times New Roman"/>
                <w:sz w:val="18"/>
                <w:szCs w:val="18"/>
                <w:lang w:val="sr-Cyrl-CS"/>
              </w:rPr>
              <w:t>едбе 305/2011 (ЕУ) је пренет члан</w:t>
            </w:r>
            <w:r w:rsidR="00860B8B" w:rsidRPr="00836932">
              <w:rPr>
                <w:rFonts w:ascii="Times New Roman" w:hAnsi="Times New Roman" w:cs="Times New Roman"/>
                <w:sz w:val="18"/>
                <w:szCs w:val="18"/>
                <w:lang w:val="sr-Cyrl-CS"/>
              </w:rPr>
              <w:t xml:space="preserve"> </w:t>
            </w:r>
            <w:r w:rsidR="00860B8B">
              <w:rPr>
                <w:rFonts w:ascii="Times New Roman" w:hAnsi="Times New Roman" w:cs="Times New Roman"/>
                <w:sz w:val="18"/>
                <w:szCs w:val="18"/>
                <w:lang w:val="sr-Cyrl-CS"/>
              </w:rPr>
              <w:t>25</w:t>
            </w:r>
            <w:r w:rsidR="00860B8B" w:rsidRPr="00836932">
              <w:rPr>
                <w:rFonts w:ascii="Times New Roman" w:hAnsi="Times New Roman" w:cs="Times New Roman"/>
                <w:sz w:val="18"/>
                <w:szCs w:val="18"/>
                <w:lang w:val="sr-Cyrl-CS"/>
              </w:rPr>
              <w:t>. ст</w:t>
            </w:r>
            <w:r>
              <w:rPr>
                <w:rFonts w:ascii="Times New Roman" w:hAnsi="Times New Roman" w:cs="Times New Roman"/>
                <w:sz w:val="18"/>
                <w:szCs w:val="18"/>
                <w:lang w:val="sr-Cyrl-CS"/>
              </w:rPr>
              <w:t>ав</w:t>
            </w:r>
            <w:r w:rsidR="00860B8B" w:rsidRPr="00836932">
              <w:rPr>
                <w:rFonts w:ascii="Times New Roman" w:hAnsi="Times New Roman" w:cs="Times New Roman"/>
                <w:sz w:val="18"/>
                <w:szCs w:val="18"/>
                <w:lang w:val="sr-Cyrl-CS"/>
              </w:rPr>
              <w:t xml:space="preserve"> </w:t>
            </w:r>
            <w:r w:rsidR="00860B8B">
              <w:rPr>
                <w:rFonts w:ascii="Times New Roman" w:hAnsi="Times New Roman" w:cs="Times New Roman"/>
                <w:sz w:val="18"/>
                <w:szCs w:val="18"/>
                <w:lang w:val="sr-Cyrl-CS"/>
              </w:rPr>
              <w:t>3</w:t>
            </w:r>
            <w:r w:rsidR="00860B8B" w:rsidRPr="00836932">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860B8B" w:rsidRPr="00836932">
              <w:rPr>
                <w:rFonts w:ascii="Times New Roman" w:hAnsi="Times New Roman" w:cs="Times New Roman"/>
                <w:sz w:val="18"/>
                <w:szCs w:val="18"/>
                <w:lang w:val="sr-Cyrl-CS"/>
              </w:rPr>
              <w:t xml:space="preserve">а закона о грађевинским производима у делу који се односи на </w:t>
            </w:r>
            <w:r w:rsidR="00860B8B">
              <w:rPr>
                <w:rFonts w:ascii="Times New Roman" w:hAnsi="Times New Roman" w:cs="Times New Roman"/>
                <w:sz w:val="18"/>
                <w:szCs w:val="18"/>
                <w:lang w:val="sr-Cyrl-CS"/>
              </w:rPr>
              <w:t>израду националног докуметна за оцењивање</w:t>
            </w:r>
            <w:r w:rsidR="00860B8B" w:rsidRPr="00836932">
              <w:rPr>
                <w:rFonts w:ascii="Times New Roman" w:hAnsi="Times New Roman" w:cs="Times New Roman"/>
                <w:sz w:val="18"/>
                <w:szCs w:val="18"/>
                <w:lang w:val="sr-Cyrl-CS"/>
              </w:rPr>
              <w:t>. Потпуно усклађивање биће могуће након приступања ЕУ.</w:t>
            </w:r>
          </w:p>
        </w:tc>
        <w:tc>
          <w:tcPr>
            <w:tcW w:w="480" w:type="pct"/>
            <w:shd w:val="clear" w:color="auto" w:fill="auto"/>
            <w:vAlign w:val="center"/>
          </w:tcPr>
          <w:p w14:paraId="24E7CE20" w14:textId="77777777" w:rsidR="00454D0C" w:rsidRPr="00487209" w:rsidRDefault="00454D0C" w:rsidP="00454D0C">
            <w:pPr>
              <w:spacing w:before="120" w:after="120"/>
              <w:jc w:val="center"/>
              <w:rPr>
                <w:rFonts w:ascii="Times New Roman" w:hAnsi="Times New Roman" w:cs="Times New Roman"/>
                <w:sz w:val="18"/>
                <w:szCs w:val="18"/>
                <w:lang w:val="ru-RU"/>
              </w:rPr>
            </w:pPr>
          </w:p>
        </w:tc>
      </w:tr>
      <w:tr w:rsidR="00337554" w:rsidRPr="00487209" w14:paraId="1550FB6C" w14:textId="77777777" w:rsidTr="007D5144">
        <w:trPr>
          <w:trHeight w:val="1196"/>
          <w:jc w:val="center"/>
        </w:trPr>
        <w:tc>
          <w:tcPr>
            <w:tcW w:w="435" w:type="pct"/>
            <w:shd w:val="clear" w:color="auto" w:fill="auto"/>
            <w:vAlign w:val="center"/>
          </w:tcPr>
          <w:p w14:paraId="58AA34A0" w14:textId="77777777" w:rsidR="00454D0C" w:rsidRPr="00487209" w:rsidRDefault="00454D0C" w:rsidP="00454D0C">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25.1.</w:t>
            </w:r>
          </w:p>
        </w:tc>
        <w:tc>
          <w:tcPr>
            <w:tcW w:w="1369" w:type="pct"/>
            <w:gridSpan w:val="2"/>
            <w:shd w:val="clear" w:color="auto" w:fill="auto"/>
            <w:vAlign w:val="center"/>
          </w:tcPr>
          <w:p w14:paraId="14B1BB6A" w14:textId="77777777" w:rsidR="00454D0C" w:rsidRPr="00487209" w:rsidRDefault="00454D0C" w:rsidP="00454D0C">
            <w:pPr>
              <w:jc w:val="both"/>
              <w:rPr>
                <w:rFonts w:ascii="Times New Roman" w:hAnsi="Times New Roman" w:cs="Times New Roman"/>
                <w:sz w:val="18"/>
                <w:szCs w:val="18"/>
              </w:rPr>
            </w:pPr>
          </w:p>
          <w:p w14:paraId="016F8A75" w14:textId="77777777" w:rsidR="00454D0C" w:rsidRPr="00487209" w:rsidRDefault="00454D0C" w:rsidP="00454D0C">
            <w:pPr>
              <w:jc w:val="both"/>
              <w:rPr>
                <w:rFonts w:ascii="Times New Roman" w:hAnsi="Times New Roman" w:cs="Times New Roman"/>
                <w:sz w:val="18"/>
                <w:szCs w:val="18"/>
              </w:rPr>
            </w:pPr>
            <w:r w:rsidRPr="00487209">
              <w:rPr>
                <w:rFonts w:ascii="Times New Roman" w:hAnsi="Times New Roman" w:cs="Times New Roman"/>
                <w:sz w:val="18"/>
                <w:szCs w:val="18"/>
              </w:rPr>
              <w:t>Where a Member State or the Commission considers that a European Assessment Document does not entirely satisfy the demands to be met in relation to the basic requirements for construction works set out in Annex I, the Member State concerned or the Commission shall bring the matter before the Standing Committee on Construction, giving its arguments. The Standing Committee on Construction shall, after having consulted the organisation of TABs, deliver its opinion without delay.</w:t>
            </w:r>
          </w:p>
          <w:p w14:paraId="2F1F5FC7" w14:textId="77777777" w:rsidR="00454D0C" w:rsidRPr="00487209" w:rsidRDefault="00454D0C" w:rsidP="00454D0C">
            <w:pPr>
              <w:jc w:val="both"/>
              <w:rPr>
                <w:rFonts w:ascii="Times New Roman" w:hAnsi="Times New Roman" w:cs="Times New Roman"/>
                <w:sz w:val="18"/>
                <w:szCs w:val="18"/>
              </w:rPr>
            </w:pPr>
          </w:p>
        </w:tc>
        <w:tc>
          <w:tcPr>
            <w:tcW w:w="429" w:type="pct"/>
            <w:shd w:val="clear" w:color="auto" w:fill="auto"/>
            <w:vAlign w:val="center"/>
          </w:tcPr>
          <w:p w14:paraId="0DEC096E" w14:textId="77777777" w:rsidR="00454D0C" w:rsidRDefault="008E0D58" w:rsidP="00454D0C">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lastRenderedPageBreak/>
              <w:t>01</w:t>
            </w:r>
          </w:p>
          <w:p w14:paraId="7BC73070" w14:textId="77777777" w:rsidR="008E0D58" w:rsidRDefault="008E0D58" w:rsidP="00454D0C">
            <w:pPr>
              <w:spacing w:before="120" w:after="120"/>
              <w:ind w:firstLine="5"/>
              <w:jc w:val="center"/>
              <w:rPr>
                <w:rFonts w:ascii="Times New Roman" w:hAnsi="Times New Roman" w:cs="Times New Roman"/>
                <w:sz w:val="18"/>
                <w:szCs w:val="18"/>
                <w:lang w:val="ru-RU"/>
              </w:rPr>
            </w:pPr>
          </w:p>
          <w:p w14:paraId="59B69ED3" w14:textId="187D747B" w:rsidR="008E0D58" w:rsidRPr="00487209" w:rsidRDefault="008E0D58" w:rsidP="00454D0C">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26.1.</w:t>
            </w:r>
          </w:p>
        </w:tc>
        <w:tc>
          <w:tcPr>
            <w:tcW w:w="1231" w:type="pct"/>
            <w:gridSpan w:val="2"/>
            <w:shd w:val="clear" w:color="auto" w:fill="auto"/>
            <w:vAlign w:val="center"/>
          </w:tcPr>
          <w:p w14:paraId="11A70964" w14:textId="77777777" w:rsidR="00454D0C" w:rsidRDefault="008E0D58" w:rsidP="00454D0C">
            <w:pPr>
              <w:pStyle w:val="Style7"/>
              <w:spacing w:before="240" w:after="0" w:line="240" w:lineRule="auto"/>
              <w:ind w:right="-23"/>
              <w:jc w:val="both"/>
              <w:outlineLvl w:val="3"/>
              <w:rPr>
                <w:rFonts w:eastAsia="Times New Roman"/>
                <w:sz w:val="18"/>
                <w:szCs w:val="18"/>
                <w:lang w:eastAsia="en-US"/>
              </w:rPr>
            </w:pPr>
            <w:r w:rsidRPr="008E0D58">
              <w:rPr>
                <w:rFonts w:eastAsia="Times New Roman"/>
                <w:sz w:val="18"/>
                <w:szCs w:val="18"/>
                <w:lang w:eastAsia="en-US"/>
              </w:rPr>
              <w:t xml:space="preserve">Ако заинтересовано лице на тржишту грађевинских производа или орган који врши надзор над применом овог закона сматра да српски документ за оцењивање не задовољава у потпуности захтеве које треба да испуни у вези са основним захтевима за објекат, подноси министарству надлежном за послове грађевинарства примедбе, наводећи своје аргументе. Министарство надлежно за послове грађевинарства, након разматрања </w:t>
            </w:r>
            <w:r w:rsidRPr="008E0D58">
              <w:rPr>
                <w:rFonts w:eastAsia="Times New Roman"/>
                <w:sz w:val="18"/>
                <w:szCs w:val="18"/>
                <w:lang w:eastAsia="en-US"/>
              </w:rPr>
              <w:lastRenderedPageBreak/>
              <w:t>примедби и саветовања са телом за техничко оцењивање које је израдило односно израђује српски документ за оцењивање, даје своје мишљење.</w:t>
            </w:r>
          </w:p>
          <w:p w14:paraId="5CFFDC33" w14:textId="5737C5AB" w:rsidR="008E0D58" w:rsidRPr="00487209" w:rsidRDefault="008E0D58" w:rsidP="00454D0C">
            <w:pPr>
              <w:pStyle w:val="Style7"/>
              <w:spacing w:before="240" w:after="0" w:line="240" w:lineRule="auto"/>
              <w:ind w:right="-23"/>
              <w:jc w:val="both"/>
              <w:outlineLvl w:val="3"/>
              <w:rPr>
                <w:rFonts w:eastAsia="Times New Roman"/>
                <w:sz w:val="18"/>
                <w:szCs w:val="18"/>
                <w:lang w:eastAsia="en-US"/>
              </w:rPr>
            </w:pPr>
          </w:p>
        </w:tc>
        <w:tc>
          <w:tcPr>
            <w:tcW w:w="458" w:type="pct"/>
            <w:shd w:val="clear" w:color="auto" w:fill="auto"/>
            <w:vAlign w:val="center"/>
          </w:tcPr>
          <w:p w14:paraId="5EAF74B4" w14:textId="16DE64F0" w:rsidR="00454D0C" w:rsidRPr="00487209" w:rsidRDefault="008E0D58" w:rsidP="00454D0C">
            <w:pPr>
              <w:spacing w:before="120" w:after="120"/>
              <w:jc w:val="center"/>
              <w:rPr>
                <w:rFonts w:ascii="Times New Roman" w:hAnsi="Times New Roman" w:cs="Times New Roman"/>
                <w:sz w:val="18"/>
                <w:szCs w:val="18"/>
                <w:lang w:val="sr-Cyrl-CS"/>
              </w:rPr>
            </w:pPr>
            <w:r>
              <w:rPr>
                <w:rFonts w:ascii="Times New Roman" w:hAnsi="Times New Roman" w:cs="Times New Roman"/>
                <w:sz w:val="18"/>
                <w:szCs w:val="18"/>
                <w:lang w:val="sr-Cyrl-CS"/>
              </w:rPr>
              <w:lastRenderedPageBreak/>
              <w:t>Д</w:t>
            </w:r>
            <w:r w:rsidRPr="00487209">
              <w:rPr>
                <w:rFonts w:ascii="Times New Roman" w:hAnsi="Times New Roman" w:cs="Times New Roman"/>
                <w:sz w:val="18"/>
                <w:szCs w:val="18"/>
                <w:lang w:val="sr-Cyrl-CS"/>
              </w:rPr>
              <w:t>У</w:t>
            </w:r>
          </w:p>
        </w:tc>
        <w:tc>
          <w:tcPr>
            <w:tcW w:w="598" w:type="pct"/>
            <w:gridSpan w:val="2"/>
            <w:shd w:val="clear" w:color="auto" w:fill="auto"/>
            <w:vAlign w:val="center"/>
          </w:tcPr>
          <w:p w14:paraId="0C1D17FA" w14:textId="3B009DCF" w:rsidR="00454D0C" w:rsidRPr="00487209" w:rsidRDefault="0049145C" w:rsidP="00860B8B">
            <w:pPr>
              <w:spacing w:before="120" w:after="120"/>
              <w:jc w:val="both"/>
              <w:rPr>
                <w:rFonts w:ascii="Times New Roman" w:hAnsi="Times New Roman" w:cs="Times New Roman"/>
                <w:sz w:val="18"/>
                <w:szCs w:val="18"/>
                <w:lang w:val="ru-RU"/>
              </w:rPr>
            </w:pPr>
            <w:r>
              <w:rPr>
                <w:rFonts w:ascii="Times New Roman" w:hAnsi="Times New Roman" w:cs="Times New Roman"/>
                <w:sz w:val="18"/>
                <w:szCs w:val="18"/>
                <w:lang w:val="sr-Cyrl-CS"/>
              </w:rPr>
              <w:t>Члан</w:t>
            </w:r>
            <w:r w:rsidR="00860B8B" w:rsidRPr="00836932">
              <w:rPr>
                <w:rFonts w:ascii="Times New Roman" w:hAnsi="Times New Roman" w:cs="Times New Roman"/>
                <w:sz w:val="18"/>
                <w:szCs w:val="18"/>
                <w:lang w:val="sr-Cyrl-CS"/>
              </w:rPr>
              <w:t xml:space="preserve"> </w:t>
            </w:r>
            <w:r w:rsidR="00860B8B">
              <w:rPr>
                <w:rFonts w:ascii="Times New Roman" w:hAnsi="Times New Roman" w:cs="Times New Roman"/>
                <w:sz w:val="18"/>
                <w:szCs w:val="18"/>
                <w:lang w:val="sr-Cyrl-CS"/>
              </w:rPr>
              <w:t>25.1</w:t>
            </w:r>
            <w:r w:rsidR="00860B8B" w:rsidRPr="00836932">
              <w:rPr>
                <w:rFonts w:ascii="Times New Roman" w:hAnsi="Times New Roman" w:cs="Times New Roman"/>
                <w:sz w:val="18"/>
                <w:szCs w:val="18"/>
                <w:lang w:val="sr-Cyrl-CS"/>
              </w:rPr>
              <w:t>. Ур</w:t>
            </w:r>
            <w:r>
              <w:rPr>
                <w:rFonts w:ascii="Times New Roman" w:hAnsi="Times New Roman" w:cs="Times New Roman"/>
                <w:sz w:val="18"/>
                <w:szCs w:val="18"/>
                <w:lang w:val="sr-Cyrl-CS"/>
              </w:rPr>
              <w:t>едбе 305/2011 (ЕУ) је пренет члан</w:t>
            </w:r>
            <w:r w:rsidR="00860B8B" w:rsidRPr="00836932">
              <w:rPr>
                <w:rFonts w:ascii="Times New Roman" w:hAnsi="Times New Roman" w:cs="Times New Roman"/>
                <w:sz w:val="18"/>
                <w:szCs w:val="18"/>
                <w:lang w:val="sr-Cyrl-CS"/>
              </w:rPr>
              <w:t xml:space="preserve"> </w:t>
            </w:r>
            <w:r w:rsidR="00860B8B">
              <w:rPr>
                <w:rFonts w:ascii="Times New Roman" w:hAnsi="Times New Roman" w:cs="Times New Roman"/>
                <w:sz w:val="18"/>
                <w:szCs w:val="18"/>
                <w:lang w:val="sr-Cyrl-CS"/>
              </w:rPr>
              <w:t>26</w:t>
            </w:r>
            <w:r>
              <w:rPr>
                <w:rFonts w:ascii="Times New Roman" w:hAnsi="Times New Roman" w:cs="Times New Roman"/>
                <w:sz w:val="18"/>
                <w:szCs w:val="18"/>
                <w:lang w:val="sr-Cyrl-CS"/>
              </w:rPr>
              <w:t xml:space="preserve">. став </w:t>
            </w:r>
            <w:r w:rsidR="00860B8B">
              <w:rPr>
                <w:rFonts w:ascii="Times New Roman" w:hAnsi="Times New Roman" w:cs="Times New Roman"/>
                <w:sz w:val="18"/>
                <w:szCs w:val="18"/>
                <w:lang w:val="sr-Cyrl-CS"/>
              </w:rPr>
              <w:t>1</w:t>
            </w:r>
            <w:r w:rsidR="00860B8B" w:rsidRPr="00836932">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860B8B" w:rsidRPr="00836932">
              <w:rPr>
                <w:rFonts w:ascii="Times New Roman" w:hAnsi="Times New Roman" w:cs="Times New Roman"/>
                <w:sz w:val="18"/>
                <w:szCs w:val="18"/>
                <w:lang w:val="sr-Cyrl-CS"/>
              </w:rPr>
              <w:t xml:space="preserve">а закона о грађевинским производима у делу који се односи на </w:t>
            </w:r>
            <w:r w:rsidR="00860B8B">
              <w:rPr>
                <w:rFonts w:ascii="Times New Roman" w:hAnsi="Times New Roman" w:cs="Times New Roman"/>
                <w:sz w:val="18"/>
                <w:szCs w:val="18"/>
                <w:lang w:val="sr-Cyrl-CS"/>
              </w:rPr>
              <w:t>израду националног докуметна за оцењивање</w:t>
            </w:r>
            <w:r w:rsidR="00860B8B" w:rsidRPr="00836932">
              <w:rPr>
                <w:rFonts w:ascii="Times New Roman" w:hAnsi="Times New Roman" w:cs="Times New Roman"/>
                <w:sz w:val="18"/>
                <w:szCs w:val="18"/>
                <w:lang w:val="sr-Cyrl-CS"/>
              </w:rPr>
              <w:t xml:space="preserve">. Потпуно </w:t>
            </w:r>
            <w:r w:rsidR="00860B8B" w:rsidRPr="00836932">
              <w:rPr>
                <w:rFonts w:ascii="Times New Roman" w:hAnsi="Times New Roman" w:cs="Times New Roman"/>
                <w:sz w:val="18"/>
                <w:szCs w:val="18"/>
                <w:lang w:val="sr-Cyrl-CS"/>
              </w:rPr>
              <w:lastRenderedPageBreak/>
              <w:t>усклађивање биће могуће након приступања ЕУ.</w:t>
            </w:r>
          </w:p>
        </w:tc>
        <w:tc>
          <w:tcPr>
            <w:tcW w:w="480" w:type="pct"/>
            <w:shd w:val="clear" w:color="auto" w:fill="auto"/>
            <w:vAlign w:val="center"/>
          </w:tcPr>
          <w:p w14:paraId="532D8B97" w14:textId="77777777" w:rsidR="00454D0C" w:rsidRPr="00487209" w:rsidRDefault="00454D0C" w:rsidP="00454D0C">
            <w:pPr>
              <w:spacing w:before="120" w:after="120"/>
              <w:jc w:val="center"/>
              <w:rPr>
                <w:rFonts w:ascii="Times New Roman" w:hAnsi="Times New Roman" w:cs="Times New Roman"/>
                <w:sz w:val="18"/>
                <w:szCs w:val="18"/>
                <w:lang w:val="sr-Cyrl-CS"/>
              </w:rPr>
            </w:pPr>
          </w:p>
        </w:tc>
      </w:tr>
      <w:tr w:rsidR="00337554" w:rsidRPr="00487209" w14:paraId="3776A9DA" w14:textId="77777777" w:rsidTr="007D5144">
        <w:trPr>
          <w:trHeight w:val="1970"/>
          <w:jc w:val="center"/>
        </w:trPr>
        <w:tc>
          <w:tcPr>
            <w:tcW w:w="435" w:type="pct"/>
            <w:shd w:val="clear" w:color="auto" w:fill="auto"/>
            <w:vAlign w:val="center"/>
          </w:tcPr>
          <w:p w14:paraId="5ECA105C" w14:textId="77777777" w:rsidR="0091177A" w:rsidRPr="00487209" w:rsidRDefault="0091177A"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25.2.</w:t>
            </w:r>
          </w:p>
        </w:tc>
        <w:tc>
          <w:tcPr>
            <w:tcW w:w="1369" w:type="pct"/>
            <w:gridSpan w:val="2"/>
            <w:shd w:val="clear" w:color="auto" w:fill="auto"/>
            <w:vAlign w:val="center"/>
          </w:tcPr>
          <w:p w14:paraId="08E2871F" w14:textId="77777777" w:rsidR="0091177A" w:rsidRPr="00487209" w:rsidRDefault="0091177A" w:rsidP="006C6323">
            <w:pPr>
              <w:jc w:val="both"/>
              <w:rPr>
                <w:rFonts w:ascii="Times New Roman" w:hAnsi="Times New Roman" w:cs="Times New Roman"/>
                <w:sz w:val="18"/>
                <w:szCs w:val="18"/>
              </w:rPr>
            </w:pPr>
          </w:p>
          <w:p w14:paraId="756660BD" w14:textId="77777777" w:rsidR="0091177A" w:rsidRPr="00487209" w:rsidRDefault="0091177A" w:rsidP="006C6323">
            <w:pPr>
              <w:jc w:val="both"/>
              <w:rPr>
                <w:rFonts w:ascii="Times New Roman" w:hAnsi="Times New Roman" w:cs="Times New Roman"/>
                <w:sz w:val="18"/>
                <w:szCs w:val="18"/>
              </w:rPr>
            </w:pPr>
            <w:r w:rsidRPr="00487209">
              <w:rPr>
                <w:rFonts w:ascii="Times New Roman" w:hAnsi="Times New Roman" w:cs="Times New Roman"/>
                <w:sz w:val="18"/>
                <w:szCs w:val="18"/>
              </w:rPr>
              <w:t>In the light of the opinion of the Standing Committee on Construction, the Commission shall decide to publish, not to publish, to publish with restriction, to maintain, to maintain with restriction or to withdraw the references to the European Assessment Documents concerned in the Official Journal of the European Union.</w:t>
            </w:r>
          </w:p>
          <w:p w14:paraId="739A2081" w14:textId="77777777" w:rsidR="0091177A" w:rsidRPr="00487209" w:rsidRDefault="0091177A" w:rsidP="006C6323">
            <w:pPr>
              <w:jc w:val="both"/>
              <w:rPr>
                <w:rFonts w:ascii="Times New Roman" w:hAnsi="Times New Roman" w:cs="Times New Roman"/>
                <w:sz w:val="18"/>
                <w:szCs w:val="18"/>
              </w:rPr>
            </w:pPr>
          </w:p>
        </w:tc>
        <w:tc>
          <w:tcPr>
            <w:tcW w:w="429" w:type="pct"/>
            <w:shd w:val="clear" w:color="auto" w:fill="auto"/>
            <w:vAlign w:val="center"/>
          </w:tcPr>
          <w:p w14:paraId="29EC085C" w14:textId="77777777" w:rsidR="008E0D58" w:rsidRDefault="008E0D58" w:rsidP="008E0D58">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01</w:t>
            </w:r>
          </w:p>
          <w:p w14:paraId="5F0975FB" w14:textId="77777777" w:rsidR="008E0D58" w:rsidRDefault="008E0D58" w:rsidP="008E0D58">
            <w:pPr>
              <w:spacing w:before="120" w:after="120"/>
              <w:ind w:firstLine="5"/>
              <w:jc w:val="center"/>
              <w:rPr>
                <w:rFonts w:ascii="Times New Roman" w:hAnsi="Times New Roman" w:cs="Times New Roman"/>
                <w:sz w:val="18"/>
                <w:szCs w:val="18"/>
                <w:lang w:val="ru-RU"/>
              </w:rPr>
            </w:pPr>
          </w:p>
          <w:p w14:paraId="7ADDD9CA" w14:textId="172F9E96" w:rsidR="0091177A" w:rsidRPr="00487209" w:rsidRDefault="008E0D58" w:rsidP="008E0D58">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26.2.</w:t>
            </w:r>
          </w:p>
        </w:tc>
        <w:tc>
          <w:tcPr>
            <w:tcW w:w="1231" w:type="pct"/>
            <w:gridSpan w:val="2"/>
            <w:shd w:val="clear" w:color="auto" w:fill="auto"/>
            <w:vAlign w:val="center"/>
          </w:tcPr>
          <w:p w14:paraId="267CFEAF" w14:textId="77777777" w:rsidR="0091177A" w:rsidRDefault="008E0D58" w:rsidP="006C6323">
            <w:pPr>
              <w:pStyle w:val="Style7"/>
              <w:spacing w:before="240" w:after="0" w:line="240" w:lineRule="auto"/>
              <w:ind w:right="-23"/>
              <w:jc w:val="both"/>
              <w:outlineLvl w:val="3"/>
              <w:rPr>
                <w:sz w:val="18"/>
                <w:szCs w:val="18"/>
              </w:rPr>
            </w:pPr>
            <w:r w:rsidRPr="008E0D58">
              <w:rPr>
                <w:sz w:val="18"/>
                <w:szCs w:val="18"/>
              </w:rPr>
              <w:t>Министарство надлежно за послове грађевинарства на основу мишљења из става 1. овог члана задржава, задржава уз ограничење или повлачи упућивања на српске документе за оцењивање односно објављује, не објављује или објављује уз ограничење упућивања на српске документе за оцењивање у Службеном гласнику Републике Србије.</w:t>
            </w:r>
          </w:p>
          <w:p w14:paraId="2BF90E00" w14:textId="58FE151E" w:rsidR="008E0D58" w:rsidRPr="00487209" w:rsidRDefault="008E0D58" w:rsidP="006C6323">
            <w:pPr>
              <w:pStyle w:val="Style7"/>
              <w:spacing w:before="240" w:after="0" w:line="240" w:lineRule="auto"/>
              <w:ind w:right="-23"/>
              <w:jc w:val="both"/>
              <w:outlineLvl w:val="3"/>
              <w:rPr>
                <w:sz w:val="18"/>
                <w:szCs w:val="18"/>
              </w:rPr>
            </w:pPr>
          </w:p>
        </w:tc>
        <w:tc>
          <w:tcPr>
            <w:tcW w:w="458" w:type="pct"/>
            <w:shd w:val="clear" w:color="auto" w:fill="auto"/>
            <w:vAlign w:val="center"/>
          </w:tcPr>
          <w:p w14:paraId="0C9AD3F8" w14:textId="0FBC1390" w:rsidR="0091177A" w:rsidRPr="00487209" w:rsidRDefault="008E0D58" w:rsidP="008E0D58">
            <w:pPr>
              <w:spacing w:before="120" w:after="120"/>
              <w:jc w:val="center"/>
              <w:rPr>
                <w:rFonts w:ascii="Times New Roman" w:hAnsi="Times New Roman" w:cs="Times New Roman"/>
                <w:sz w:val="18"/>
                <w:szCs w:val="18"/>
                <w:lang w:val="sr-Cyrl-CS"/>
              </w:rPr>
            </w:pPr>
            <w:r>
              <w:rPr>
                <w:rFonts w:ascii="Times New Roman" w:hAnsi="Times New Roman" w:cs="Times New Roman"/>
                <w:sz w:val="18"/>
                <w:szCs w:val="18"/>
                <w:lang w:val="sr-Cyrl-CS"/>
              </w:rPr>
              <w:t>ДУ</w:t>
            </w:r>
          </w:p>
        </w:tc>
        <w:tc>
          <w:tcPr>
            <w:tcW w:w="598" w:type="pct"/>
            <w:gridSpan w:val="2"/>
            <w:shd w:val="clear" w:color="auto" w:fill="auto"/>
          </w:tcPr>
          <w:p w14:paraId="17E4575F" w14:textId="0CFEB6BA" w:rsidR="00675BA8" w:rsidRPr="00487209" w:rsidRDefault="0049145C" w:rsidP="0049145C">
            <w:pPr>
              <w:spacing w:before="120" w:after="120"/>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860B8B">
              <w:rPr>
                <w:rFonts w:ascii="Times New Roman" w:hAnsi="Times New Roman" w:cs="Times New Roman"/>
                <w:sz w:val="18"/>
                <w:szCs w:val="18"/>
                <w:lang w:val="ru-RU"/>
              </w:rPr>
              <w:t xml:space="preserve"> 25.2</w:t>
            </w:r>
            <w:r w:rsidR="00860B8B" w:rsidRPr="00860B8B">
              <w:rPr>
                <w:rFonts w:ascii="Times New Roman" w:hAnsi="Times New Roman" w:cs="Times New Roman"/>
                <w:sz w:val="18"/>
                <w:szCs w:val="18"/>
                <w:lang w:val="ru-RU"/>
              </w:rPr>
              <w:t>. Ур</w:t>
            </w:r>
            <w:r>
              <w:rPr>
                <w:rFonts w:ascii="Times New Roman" w:hAnsi="Times New Roman" w:cs="Times New Roman"/>
                <w:sz w:val="18"/>
                <w:szCs w:val="18"/>
                <w:lang w:val="ru-RU"/>
              </w:rPr>
              <w:t>едбе 305/2011 (ЕУ) је пренет члан</w:t>
            </w:r>
            <w:r w:rsidR="00860B8B" w:rsidRPr="00860B8B">
              <w:rPr>
                <w:rFonts w:ascii="Times New Roman" w:hAnsi="Times New Roman" w:cs="Times New Roman"/>
                <w:sz w:val="18"/>
                <w:szCs w:val="18"/>
                <w:lang w:val="ru-RU"/>
              </w:rPr>
              <w:t xml:space="preserve"> 2</w:t>
            </w:r>
            <w:r w:rsidR="00860B8B">
              <w:rPr>
                <w:rFonts w:ascii="Times New Roman" w:hAnsi="Times New Roman" w:cs="Times New Roman"/>
                <w:sz w:val="18"/>
                <w:szCs w:val="18"/>
                <w:lang w:val="ru-RU"/>
              </w:rPr>
              <w:t>6</w:t>
            </w:r>
            <w:r w:rsidR="00860B8B" w:rsidRPr="00860B8B">
              <w:rPr>
                <w:rFonts w:ascii="Times New Roman" w:hAnsi="Times New Roman" w:cs="Times New Roman"/>
                <w:sz w:val="18"/>
                <w:szCs w:val="18"/>
                <w:lang w:val="ru-RU"/>
              </w:rPr>
              <w:t>. ст</w:t>
            </w:r>
            <w:r>
              <w:rPr>
                <w:rFonts w:ascii="Times New Roman" w:hAnsi="Times New Roman" w:cs="Times New Roman"/>
                <w:sz w:val="18"/>
                <w:szCs w:val="18"/>
                <w:lang w:val="ru-RU"/>
              </w:rPr>
              <w:t>ав</w:t>
            </w:r>
            <w:r w:rsidR="00860B8B" w:rsidRPr="00860B8B">
              <w:rPr>
                <w:rFonts w:ascii="Times New Roman" w:hAnsi="Times New Roman" w:cs="Times New Roman"/>
                <w:sz w:val="18"/>
                <w:szCs w:val="18"/>
                <w:lang w:val="ru-RU"/>
              </w:rPr>
              <w:t xml:space="preserve"> </w:t>
            </w:r>
            <w:r w:rsidR="00860B8B">
              <w:rPr>
                <w:rFonts w:ascii="Times New Roman" w:hAnsi="Times New Roman" w:cs="Times New Roman"/>
                <w:sz w:val="18"/>
                <w:szCs w:val="18"/>
                <w:lang w:val="ru-RU"/>
              </w:rPr>
              <w:t>2</w:t>
            </w:r>
            <w:r w:rsidR="00860B8B" w:rsidRPr="00860B8B">
              <w:rPr>
                <w:rFonts w:ascii="Times New Roman" w:hAnsi="Times New Roman" w:cs="Times New Roman"/>
                <w:sz w:val="18"/>
                <w:szCs w:val="18"/>
                <w:lang w:val="ru-RU"/>
              </w:rPr>
              <w:t xml:space="preserve">. </w:t>
            </w:r>
            <w:r w:rsidR="0073105A">
              <w:rPr>
                <w:rFonts w:ascii="Times New Roman" w:hAnsi="Times New Roman" w:cs="Times New Roman"/>
                <w:sz w:val="18"/>
                <w:szCs w:val="18"/>
                <w:lang w:val="ru-RU"/>
              </w:rPr>
              <w:t>Предлог</w:t>
            </w:r>
            <w:r w:rsidR="00860B8B" w:rsidRPr="00860B8B">
              <w:rPr>
                <w:rFonts w:ascii="Times New Roman" w:hAnsi="Times New Roman" w:cs="Times New Roman"/>
                <w:sz w:val="18"/>
                <w:szCs w:val="18"/>
                <w:lang w:val="ru-RU"/>
              </w:rPr>
              <w:t>а закона о грађевинским производима у делу који се односи на израду националног докуметна за оцењивање. Потпуно усклађивање биће могуће након приступања ЕУ</w:t>
            </w:r>
            <w:r w:rsidR="0091177A" w:rsidRPr="00487209">
              <w:rPr>
                <w:rFonts w:ascii="Times New Roman" w:hAnsi="Times New Roman" w:cs="Times New Roman"/>
                <w:sz w:val="18"/>
                <w:szCs w:val="18"/>
                <w:lang w:val="sr-Cyrl-CS"/>
              </w:rPr>
              <w:t>.</w:t>
            </w:r>
          </w:p>
        </w:tc>
        <w:tc>
          <w:tcPr>
            <w:tcW w:w="480" w:type="pct"/>
            <w:shd w:val="clear" w:color="auto" w:fill="auto"/>
            <w:vAlign w:val="center"/>
          </w:tcPr>
          <w:p w14:paraId="2DF8A8F6" w14:textId="77777777" w:rsidR="0091177A" w:rsidRPr="00487209" w:rsidRDefault="0091177A" w:rsidP="006C6323">
            <w:pPr>
              <w:spacing w:before="120" w:after="120"/>
              <w:jc w:val="center"/>
              <w:rPr>
                <w:rFonts w:ascii="Times New Roman" w:hAnsi="Times New Roman" w:cs="Times New Roman"/>
                <w:sz w:val="18"/>
                <w:szCs w:val="18"/>
                <w:lang w:val="ru-RU"/>
              </w:rPr>
            </w:pPr>
          </w:p>
        </w:tc>
      </w:tr>
      <w:tr w:rsidR="00337554" w:rsidRPr="00487209" w14:paraId="1539AFFB" w14:textId="77777777" w:rsidTr="007D5144">
        <w:trPr>
          <w:trHeight w:val="1255"/>
          <w:jc w:val="center"/>
        </w:trPr>
        <w:tc>
          <w:tcPr>
            <w:tcW w:w="435" w:type="pct"/>
            <w:shd w:val="clear" w:color="auto" w:fill="auto"/>
            <w:vAlign w:val="center"/>
          </w:tcPr>
          <w:p w14:paraId="5E5EEAC8" w14:textId="77777777" w:rsidR="0091177A" w:rsidRPr="00487209" w:rsidRDefault="0091177A"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25.3.</w:t>
            </w:r>
          </w:p>
        </w:tc>
        <w:tc>
          <w:tcPr>
            <w:tcW w:w="1369" w:type="pct"/>
            <w:gridSpan w:val="2"/>
            <w:shd w:val="clear" w:color="auto" w:fill="auto"/>
            <w:vAlign w:val="center"/>
          </w:tcPr>
          <w:p w14:paraId="7A61EBA5" w14:textId="77777777" w:rsidR="0091177A" w:rsidRPr="00487209" w:rsidRDefault="0091177A" w:rsidP="006C6323">
            <w:pPr>
              <w:jc w:val="both"/>
              <w:rPr>
                <w:rFonts w:ascii="Times New Roman" w:hAnsi="Times New Roman" w:cs="Times New Roman"/>
                <w:sz w:val="18"/>
                <w:szCs w:val="18"/>
              </w:rPr>
            </w:pPr>
            <w:r w:rsidRPr="00487209">
              <w:rPr>
                <w:rFonts w:ascii="Times New Roman" w:hAnsi="Times New Roman" w:cs="Times New Roman"/>
                <w:sz w:val="18"/>
                <w:szCs w:val="18"/>
              </w:rPr>
              <w:t>The Commission shall inform the organisation of TABs accordingly and, if necessary, request the revision of the European Assessment Document concerned.</w:t>
            </w:r>
          </w:p>
        </w:tc>
        <w:tc>
          <w:tcPr>
            <w:tcW w:w="429" w:type="pct"/>
            <w:shd w:val="clear" w:color="auto" w:fill="auto"/>
            <w:vAlign w:val="center"/>
          </w:tcPr>
          <w:p w14:paraId="7E8F4492" w14:textId="77777777" w:rsidR="008E0D58" w:rsidRDefault="008E0D58" w:rsidP="008E0D58">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01</w:t>
            </w:r>
          </w:p>
          <w:p w14:paraId="594686EE" w14:textId="77777777" w:rsidR="008E0D58" w:rsidRDefault="008E0D58" w:rsidP="008E0D58">
            <w:pPr>
              <w:spacing w:before="120" w:after="120"/>
              <w:ind w:firstLine="5"/>
              <w:jc w:val="center"/>
              <w:rPr>
                <w:rFonts w:ascii="Times New Roman" w:hAnsi="Times New Roman" w:cs="Times New Roman"/>
                <w:sz w:val="18"/>
                <w:szCs w:val="18"/>
                <w:lang w:val="ru-RU"/>
              </w:rPr>
            </w:pPr>
          </w:p>
          <w:p w14:paraId="199A15D9" w14:textId="5A89FF8C" w:rsidR="0091177A" w:rsidRPr="00487209" w:rsidRDefault="008E0D58" w:rsidP="008E0D58">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26.3.</w:t>
            </w:r>
          </w:p>
        </w:tc>
        <w:tc>
          <w:tcPr>
            <w:tcW w:w="1231" w:type="pct"/>
            <w:gridSpan w:val="2"/>
            <w:shd w:val="clear" w:color="auto" w:fill="auto"/>
            <w:vAlign w:val="center"/>
          </w:tcPr>
          <w:p w14:paraId="573DB8C6" w14:textId="77777777" w:rsidR="0091177A" w:rsidRDefault="008E0D58" w:rsidP="006C6323">
            <w:pPr>
              <w:pStyle w:val="Style7"/>
              <w:spacing w:before="240" w:after="0" w:line="240" w:lineRule="auto"/>
              <w:ind w:right="-23"/>
              <w:jc w:val="both"/>
              <w:outlineLvl w:val="3"/>
              <w:rPr>
                <w:sz w:val="18"/>
                <w:szCs w:val="18"/>
              </w:rPr>
            </w:pPr>
            <w:r w:rsidRPr="00D070F7">
              <w:rPr>
                <w:sz w:val="18"/>
                <w:szCs w:val="18"/>
              </w:rPr>
              <w:t>Министарство надлежно за послове грађевинарства обавештава тело за техничко оцењивање које је израдило односно израђује српски документ за оцењивање о одлуци из става 2. овог члана и, ако је потребно, захтева измену тог српског документа за оцењивање у складу са мишљењем из става 1. овог члана.</w:t>
            </w:r>
          </w:p>
          <w:p w14:paraId="4744F7E1" w14:textId="19186093" w:rsidR="008E0D58" w:rsidRPr="00D070F7" w:rsidRDefault="008E0D58" w:rsidP="006C6323">
            <w:pPr>
              <w:pStyle w:val="Style7"/>
              <w:spacing w:before="240" w:after="0" w:line="240" w:lineRule="auto"/>
              <w:ind w:right="-23"/>
              <w:jc w:val="both"/>
              <w:outlineLvl w:val="3"/>
              <w:rPr>
                <w:sz w:val="18"/>
                <w:szCs w:val="18"/>
              </w:rPr>
            </w:pPr>
          </w:p>
        </w:tc>
        <w:tc>
          <w:tcPr>
            <w:tcW w:w="458" w:type="pct"/>
            <w:shd w:val="clear" w:color="auto" w:fill="auto"/>
            <w:vAlign w:val="center"/>
          </w:tcPr>
          <w:p w14:paraId="3BE6489B" w14:textId="2BFDC9C5" w:rsidR="0091177A" w:rsidRPr="00487209" w:rsidRDefault="008E0D58" w:rsidP="008E0D58">
            <w:pPr>
              <w:spacing w:before="120" w:after="120"/>
              <w:jc w:val="center"/>
              <w:rPr>
                <w:rFonts w:ascii="Times New Roman" w:hAnsi="Times New Roman" w:cs="Times New Roman"/>
                <w:sz w:val="18"/>
                <w:szCs w:val="18"/>
                <w:lang w:val="sr-Cyrl-CS"/>
              </w:rPr>
            </w:pPr>
            <w:r>
              <w:rPr>
                <w:rFonts w:ascii="Times New Roman" w:hAnsi="Times New Roman" w:cs="Times New Roman"/>
                <w:sz w:val="18"/>
                <w:szCs w:val="18"/>
                <w:lang w:val="sr-Cyrl-CS"/>
              </w:rPr>
              <w:t>ДУ</w:t>
            </w:r>
          </w:p>
        </w:tc>
        <w:tc>
          <w:tcPr>
            <w:tcW w:w="598" w:type="pct"/>
            <w:gridSpan w:val="2"/>
            <w:shd w:val="clear" w:color="auto" w:fill="auto"/>
          </w:tcPr>
          <w:p w14:paraId="4CAFBFBE" w14:textId="15C736A1" w:rsidR="00675BA8" w:rsidRPr="00487209" w:rsidRDefault="0049145C" w:rsidP="00207BFE">
            <w:pPr>
              <w:spacing w:before="120" w:after="120"/>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207BFE">
              <w:rPr>
                <w:rFonts w:ascii="Times New Roman" w:hAnsi="Times New Roman" w:cs="Times New Roman"/>
                <w:sz w:val="18"/>
                <w:szCs w:val="18"/>
                <w:lang w:val="ru-RU"/>
              </w:rPr>
              <w:t xml:space="preserve"> 25.3</w:t>
            </w:r>
            <w:r w:rsidR="00207BFE" w:rsidRPr="00860B8B">
              <w:rPr>
                <w:rFonts w:ascii="Times New Roman" w:hAnsi="Times New Roman" w:cs="Times New Roman"/>
                <w:sz w:val="18"/>
                <w:szCs w:val="18"/>
                <w:lang w:val="ru-RU"/>
              </w:rPr>
              <w:t>. Ур</w:t>
            </w:r>
            <w:r>
              <w:rPr>
                <w:rFonts w:ascii="Times New Roman" w:hAnsi="Times New Roman" w:cs="Times New Roman"/>
                <w:sz w:val="18"/>
                <w:szCs w:val="18"/>
                <w:lang w:val="ru-RU"/>
              </w:rPr>
              <w:t>едбе 305/2011 (ЕУ) је пренет члан</w:t>
            </w:r>
            <w:r w:rsidR="00207BFE" w:rsidRPr="00860B8B">
              <w:rPr>
                <w:rFonts w:ascii="Times New Roman" w:hAnsi="Times New Roman" w:cs="Times New Roman"/>
                <w:sz w:val="18"/>
                <w:szCs w:val="18"/>
                <w:lang w:val="ru-RU"/>
              </w:rPr>
              <w:t xml:space="preserve"> 2</w:t>
            </w:r>
            <w:r w:rsidR="00207BFE">
              <w:rPr>
                <w:rFonts w:ascii="Times New Roman" w:hAnsi="Times New Roman" w:cs="Times New Roman"/>
                <w:sz w:val="18"/>
                <w:szCs w:val="18"/>
                <w:lang w:val="ru-RU"/>
              </w:rPr>
              <w:t>6</w:t>
            </w:r>
            <w:r>
              <w:rPr>
                <w:rFonts w:ascii="Times New Roman" w:hAnsi="Times New Roman" w:cs="Times New Roman"/>
                <w:sz w:val="18"/>
                <w:szCs w:val="18"/>
                <w:lang w:val="ru-RU"/>
              </w:rPr>
              <w:t>. став</w:t>
            </w:r>
            <w:r w:rsidR="00207BFE" w:rsidRPr="00860B8B">
              <w:rPr>
                <w:rFonts w:ascii="Times New Roman" w:hAnsi="Times New Roman" w:cs="Times New Roman"/>
                <w:sz w:val="18"/>
                <w:szCs w:val="18"/>
                <w:lang w:val="ru-RU"/>
              </w:rPr>
              <w:t xml:space="preserve"> </w:t>
            </w:r>
            <w:r w:rsidR="00207BFE">
              <w:rPr>
                <w:rFonts w:ascii="Times New Roman" w:hAnsi="Times New Roman" w:cs="Times New Roman"/>
                <w:sz w:val="18"/>
                <w:szCs w:val="18"/>
                <w:lang w:val="ru-RU"/>
              </w:rPr>
              <w:t>3</w:t>
            </w:r>
            <w:r w:rsidR="00207BFE" w:rsidRPr="00860B8B">
              <w:rPr>
                <w:rFonts w:ascii="Times New Roman" w:hAnsi="Times New Roman" w:cs="Times New Roman"/>
                <w:sz w:val="18"/>
                <w:szCs w:val="18"/>
                <w:lang w:val="ru-RU"/>
              </w:rPr>
              <w:t xml:space="preserve">. </w:t>
            </w:r>
            <w:r w:rsidR="0073105A">
              <w:rPr>
                <w:rFonts w:ascii="Times New Roman" w:hAnsi="Times New Roman" w:cs="Times New Roman"/>
                <w:sz w:val="18"/>
                <w:szCs w:val="18"/>
                <w:lang w:val="ru-RU"/>
              </w:rPr>
              <w:t>Предлог</w:t>
            </w:r>
            <w:r w:rsidR="00207BFE" w:rsidRPr="00860B8B">
              <w:rPr>
                <w:rFonts w:ascii="Times New Roman" w:hAnsi="Times New Roman" w:cs="Times New Roman"/>
                <w:sz w:val="18"/>
                <w:szCs w:val="18"/>
                <w:lang w:val="ru-RU"/>
              </w:rPr>
              <w:t xml:space="preserve">а закона о грађевинским производима у делу који се односи на израду националног докуметна за оцењивање. Потпуно усклађивање биће могуће након </w:t>
            </w:r>
            <w:r w:rsidR="00207BFE" w:rsidRPr="00860B8B">
              <w:rPr>
                <w:rFonts w:ascii="Times New Roman" w:hAnsi="Times New Roman" w:cs="Times New Roman"/>
                <w:sz w:val="18"/>
                <w:szCs w:val="18"/>
                <w:lang w:val="ru-RU"/>
              </w:rPr>
              <w:lastRenderedPageBreak/>
              <w:t>приступања ЕУ.</w:t>
            </w:r>
          </w:p>
        </w:tc>
        <w:tc>
          <w:tcPr>
            <w:tcW w:w="480" w:type="pct"/>
            <w:shd w:val="clear" w:color="auto" w:fill="auto"/>
            <w:vAlign w:val="center"/>
          </w:tcPr>
          <w:p w14:paraId="0D5BC8F9" w14:textId="13B0E9A8" w:rsidR="0091177A" w:rsidRPr="00487209" w:rsidRDefault="0091177A" w:rsidP="006C6323">
            <w:pPr>
              <w:spacing w:before="120" w:after="120"/>
              <w:jc w:val="center"/>
              <w:rPr>
                <w:rFonts w:ascii="Times New Roman" w:hAnsi="Times New Roman" w:cs="Times New Roman"/>
                <w:sz w:val="18"/>
                <w:szCs w:val="18"/>
                <w:lang w:val="ru-RU"/>
              </w:rPr>
            </w:pPr>
          </w:p>
        </w:tc>
      </w:tr>
      <w:tr w:rsidR="00337554" w:rsidRPr="00487209" w14:paraId="381489C1" w14:textId="77777777" w:rsidTr="007D5144">
        <w:trPr>
          <w:trHeight w:val="547"/>
          <w:jc w:val="center"/>
        </w:trPr>
        <w:tc>
          <w:tcPr>
            <w:tcW w:w="435" w:type="pct"/>
            <w:shd w:val="clear" w:color="auto" w:fill="auto"/>
            <w:vAlign w:val="center"/>
          </w:tcPr>
          <w:p w14:paraId="6120FA83" w14:textId="77777777" w:rsidR="00454D0C" w:rsidRPr="00487209" w:rsidRDefault="00454D0C" w:rsidP="00454D0C">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26.1.</w:t>
            </w:r>
          </w:p>
        </w:tc>
        <w:tc>
          <w:tcPr>
            <w:tcW w:w="1369" w:type="pct"/>
            <w:gridSpan w:val="2"/>
            <w:shd w:val="clear" w:color="auto" w:fill="auto"/>
            <w:vAlign w:val="center"/>
          </w:tcPr>
          <w:p w14:paraId="4937549F" w14:textId="77777777" w:rsidR="00454D0C" w:rsidRPr="00487209" w:rsidRDefault="00454D0C" w:rsidP="00454D0C">
            <w:pPr>
              <w:jc w:val="both"/>
              <w:rPr>
                <w:rFonts w:ascii="Times New Roman" w:hAnsi="Times New Roman" w:cs="Times New Roman"/>
                <w:sz w:val="18"/>
                <w:szCs w:val="18"/>
              </w:rPr>
            </w:pPr>
          </w:p>
          <w:p w14:paraId="6AB63A37" w14:textId="77777777" w:rsidR="00454D0C" w:rsidRPr="00487209" w:rsidRDefault="00454D0C" w:rsidP="00454D0C">
            <w:pPr>
              <w:jc w:val="both"/>
              <w:rPr>
                <w:rFonts w:ascii="Times New Roman" w:hAnsi="Times New Roman" w:cs="Times New Roman"/>
                <w:sz w:val="18"/>
                <w:szCs w:val="18"/>
              </w:rPr>
            </w:pPr>
            <w:r w:rsidRPr="00487209">
              <w:rPr>
                <w:rFonts w:ascii="Times New Roman" w:hAnsi="Times New Roman" w:cs="Times New Roman"/>
                <w:sz w:val="18"/>
                <w:szCs w:val="18"/>
              </w:rPr>
              <w:t>The European Technical Assessment shall be issued by a TAB, at the request of a manufacturer on the basis of a European Assessment Document established in accordance with the procedures set out in Article 21 and Annex II.</w:t>
            </w:r>
          </w:p>
          <w:p w14:paraId="2F07C237" w14:textId="25AC9C5E" w:rsidR="00454D0C" w:rsidRPr="00487209" w:rsidRDefault="00454D0C" w:rsidP="00454D0C">
            <w:pPr>
              <w:jc w:val="both"/>
              <w:rPr>
                <w:rFonts w:ascii="Times New Roman" w:hAnsi="Times New Roman" w:cs="Times New Roman"/>
                <w:sz w:val="18"/>
                <w:szCs w:val="18"/>
              </w:rPr>
            </w:pPr>
            <w:r w:rsidRPr="00487209">
              <w:rPr>
                <w:rFonts w:ascii="Times New Roman" w:hAnsi="Times New Roman" w:cs="Times New Roman"/>
                <w:sz w:val="18"/>
                <w:szCs w:val="18"/>
              </w:rPr>
              <w:t>Provided that there is a European Assessment Document, a European Technical Assessment may be issued even in the case where a mandate for a harmonised standard has been issued. Such issuing shall be possible until the beginning of the coexistence period as determined by the Commission in accordance with Article 17(5).</w:t>
            </w:r>
          </w:p>
        </w:tc>
        <w:tc>
          <w:tcPr>
            <w:tcW w:w="429" w:type="pct"/>
            <w:shd w:val="clear" w:color="auto" w:fill="auto"/>
            <w:vAlign w:val="center"/>
          </w:tcPr>
          <w:p w14:paraId="7D0E75C3" w14:textId="77777777" w:rsidR="00454D0C" w:rsidRDefault="008E0D58" w:rsidP="00454D0C">
            <w:pPr>
              <w:spacing w:before="120" w:after="120"/>
              <w:ind w:firstLine="5"/>
              <w:jc w:val="center"/>
              <w:rPr>
                <w:rFonts w:ascii="Times New Roman" w:hAnsi="Times New Roman" w:cs="Times New Roman"/>
                <w:sz w:val="18"/>
                <w:szCs w:val="18"/>
                <w:lang w:val="sr-Cyrl-CS"/>
              </w:rPr>
            </w:pPr>
            <w:r>
              <w:rPr>
                <w:rFonts w:ascii="Times New Roman" w:hAnsi="Times New Roman" w:cs="Times New Roman"/>
                <w:sz w:val="18"/>
                <w:szCs w:val="18"/>
                <w:lang w:val="sr-Cyrl-CS"/>
              </w:rPr>
              <w:t>01</w:t>
            </w:r>
          </w:p>
          <w:p w14:paraId="25ECB131" w14:textId="77777777" w:rsidR="008E0D58" w:rsidRDefault="008E0D58" w:rsidP="00454D0C">
            <w:pPr>
              <w:spacing w:before="120" w:after="120"/>
              <w:ind w:firstLine="5"/>
              <w:jc w:val="center"/>
              <w:rPr>
                <w:rFonts w:ascii="Times New Roman" w:hAnsi="Times New Roman" w:cs="Times New Roman"/>
                <w:sz w:val="18"/>
                <w:szCs w:val="18"/>
                <w:lang w:val="sr-Cyrl-CS"/>
              </w:rPr>
            </w:pPr>
          </w:p>
          <w:p w14:paraId="35BE3A78" w14:textId="77777777" w:rsidR="008E0D58" w:rsidRDefault="008E0D58" w:rsidP="00454D0C">
            <w:pPr>
              <w:spacing w:before="120" w:after="120"/>
              <w:ind w:firstLine="5"/>
              <w:jc w:val="center"/>
              <w:rPr>
                <w:rFonts w:ascii="Times New Roman" w:hAnsi="Times New Roman" w:cs="Times New Roman"/>
                <w:sz w:val="18"/>
                <w:szCs w:val="18"/>
                <w:lang w:val="sr-Cyrl-CS"/>
              </w:rPr>
            </w:pPr>
            <w:r>
              <w:rPr>
                <w:rFonts w:ascii="Times New Roman" w:hAnsi="Times New Roman" w:cs="Times New Roman"/>
                <w:sz w:val="18"/>
                <w:szCs w:val="18"/>
                <w:lang w:val="sr-Cyrl-CS"/>
              </w:rPr>
              <w:t>27.1.</w:t>
            </w:r>
          </w:p>
          <w:p w14:paraId="09058AEC" w14:textId="299AE133" w:rsidR="008E0D58" w:rsidRPr="00D00BAE" w:rsidRDefault="008E0D58" w:rsidP="00D00BAE">
            <w:pPr>
              <w:spacing w:before="120" w:after="120"/>
              <w:ind w:firstLine="5"/>
              <w:rPr>
                <w:rFonts w:ascii="Times New Roman" w:hAnsi="Times New Roman" w:cs="Times New Roman"/>
                <w:sz w:val="18"/>
                <w:szCs w:val="18"/>
                <w:lang w:val="sr-Cyrl-CS"/>
              </w:rPr>
            </w:pPr>
          </w:p>
        </w:tc>
        <w:tc>
          <w:tcPr>
            <w:tcW w:w="1231" w:type="pct"/>
            <w:gridSpan w:val="2"/>
            <w:shd w:val="clear" w:color="auto" w:fill="auto"/>
            <w:vAlign w:val="center"/>
          </w:tcPr>
          <w:p w14:paraId="3E94BB12" w14:textId="5A790A1C" w:rsidR="00454D0C" w:rsidRPr="00487209" w:rsidRDefault="008E0D58" w:rsidP="00454D0C">
            <w:pPr>
              <w:pStyle w:val="Style10"/>
              <w:spacing w:before="120" w:line="240" w:lineRule="auto"/>
              <w:rPr>
                <w:rFonts w:ascii="Times New Roman" w:hAnsi="Times New Roman"/>
                <w:sz w:val="18"/>
                <w:szCs w:val="18"/>
                <w:lang w:val="sr-Cyrl-CS"/>
              </w:rPr>
            </w:pPr>
            <w:r w:rsidRPr="008E0D58">
              <w:rPr>
                <w:rFonts w:ascii="Times New Roman" w:hAnsi="Times New Roman"/>
                <w:sz w:val="18"/>
                <w:szCs w:val="18"/>
                <w:lang w:val="sr-Cyrl-CS"/>
              </w:rPr>
              <w:t>Српску техничку оцену издаје тело за техничко оцењивање, на захтев произвођача, а на основу српског документа за оцењивање утврђеног у складу са овим законом.</w:t>
            </w:r>
          </w:p>
        </w:tc>
        <w:tc>
          <w:tcPr>
            <w:tcW w:w="458" w:type="pct"/>
            <w:shd w:val="clear" w:color="auto" w:fill="auto"/>
            <w:vAlign w:val="center"/>
          </w:tcPr>
          <w:p w14:paraId="6AD97352" w14:textId="77D932FD" w:rsidR="00454D0C" w:rsidRPr="00487209" w:rsidRDefault="008E0D58" w:rsidP="00454D0C">
            <w:pPr>
              <w:spacing w:before="120" w:after="120"/>
              <w:jc w:val="center"/>
              <w:rPr>
                <w:rFonts w:ascii="Times New Roman" w:hAnsi="Times New Roman" w:cs="Times New Roman"/>
                <w:sz w:val="18"/>
                <w:szCs w:val="18"/>
                <w:lang w:val="sr-Cyrl-CS"/>
              </w:rPr>
            </w:pPr>
            <w:r>
              <w:rPr>
                <w:rFonts w:ascii="Times New Roman" w:hAnsi="Times New Roman" w:cs="Times New Roman"/>
                <w:sz w:val="18"/>
                <w:szCs w:val="18"/>
                <w:lang w:val="sr-Cyrl-CS"/>
              </w:rPr>
              <w:t>ДУ</w:t>
            </w:r>
          </w:p>
        </w:tc>
        <w:tc>
          <w:tcPr>
            <w:tcW w:w="598" w:type="pct"/>
            <w:gridSpan w:val="2"/>
            <w:shd w:val="clear" w:color="auto" w:fill="auto"/>
            <w:vAlign w:val="center"/>
          </w:tcPr>
          <w:p w14:paraId="332A07C7" w14:textId="38A56275" w:rsidR="00454D0C" w:rsidRPr="00487209" w:rsidRDefault="00E4336F" w:rsidP="00D070F7">
            <w:pPr>
              <w:spacing w:before="120" w:after="120"/>
              <w:jc w:val="both"/>
              <w:rPr>
                <w:rFonts w:ascii="Times New Roman" w:hAnsi="Times New Roman" w:cs="Times New Roman"/>
                <w:sz w:val="18"/>
                <w:szCs w:val="18"/>
                <w:lang w:val="ru-RU"/>
              </w:rPr>
            </w:pPr>
            <w:r>
              <w:rPr>
                <w:rFonts w:ascii="Times New Roman" w:hAnsi="Times New Roman" w:cs="Times New Roman"/>
                <w:sz w:val="18"/>
                <w:szCs w:val="18"/>
                <w:lang w:val="sr-Cyrl-CS"/>
              </w:rPr>
              <w:t>Члан</w:t>
            </w:r>
            <w:r w:rsidR="00D070F7" w:rsidRPr="00D070F7">
              <w:rPr>
                <w:rFonts w:ascii="Times New Roman" w:hAnsi="Times New Roman" w:cs="Times New Roman"/>
                <w:sz w:val="18"/>
                <w:szCs w:val="18"/>
                <w:lang w:val="sr-Cyrl-CS"/>
              </w:rPr>
              <w:t xml:space="preserve"> 2</w:t>
            </w:r>
            <w:r w:rsidR="00D070F7">
              <w:rPr>
                <w:rFonts w:ascii="Times New Roman" w:hAnsi="Times New Roman" w:cs="Times New Roman"/>
                <w:sz w:val="18"/>
                <w:szCs w:val="18"/>
                <w:lang w:val="sr-Cyrl-CS"/>
              </w:rPr>
              <w:t>6</w:t>
            </w:r>
            <w:r w:rsidR="00D070F7" w:rsidRPr="00D070F7">
              <w:rPr>
                <w:rFonts w:ascii="Times New Roman" w:hAnsi="Times New Roman" w:cs="Times New Roman"/>
                <w:sz w:val="18"/>
                <w:szCs w:val="18"/>
                <w:lang w:val="sr-Cyrl-CS"/>
              </w:rPr>
              <w:t>.</w:t>
            </w:r>
            <w:r w:rsidR="00D070F7">
              <w:rPr>
                <w:rFonts w:ascii="Times New Roman" w:hAnsi="Times New Roman" w:cs="Times New Roman"/>
                <w:sz w:val="18"/>
                <w:szCs w:val="18"/>
                <w:lang w:val="sr-Cyrl-CS"/>
              </w:rPr>
              <w:t>1</w:t>
            </w:r>
            <w:r w:rsidR="00D070F7" w:rsidRPr="00D070F7">
              <w:rPr>
                <w:rFonts w:ascii="Times New Roman" w:hAnsi="Times New Roman" w:cs="Times New Roman"/>
                <w:sz w:val="18"/>
                <w:szCs w:val="18"/>
                <w:lang w:val="sr-Cyrl-CS"/>
              </w:rPr>
              <w:t>. Ур</w:t>
            </w:r>
            <w:r>
              <w:rPr>
                <w:rFonts w:ascii="Times New Roman" w:hAnsi="Times New Roman" w:cs="Times New Roman"/>
                <w:sz w:val="18"/>
                <w:szCs w:val="18"/>
                <w:lang w:val="sr-Cyrl-CS"/>
              </w:rPr>
              <w:t>едбе 305/2011 (ЕУ) је пренет члан</w:t>
            </w:r>
            <w:r w:rsidR="00D070F7" w:rsidRPr="00D070F7">
              <w:rPr>
                <w:rFonts w:ascii="Times New Roman" w:hAnsi="Times New Roman" w:cs="Times New Roman"/>
                <w:sz w:val="18"/>
                <w:szCs w:val="18"/>
                <w:lang w:val="sr-Cyrl-CS"/>
              </w:rPr>
              <w:t xml:space="preserve"> 2</w:t>
            </w:r>
            <w:r w:rsidR="00D070F7">
              <w:rPr>
                <w:rFonts w:ascii="Times New Roman" w:hAnsi="Times New Roman" w:cs="Times New Roman"/>
                <w:sz w:val="18"/>
                <w:szCs w:val="18"/>
                <w:lang w:val="sr-Cyrl-CS"/>
              </w:rPr>
              <w:t>7</w:t>
            </w:r>
            <w:r>
              <w:rPr>
                <w:rFonts w:ascii="Times New Roman" w:hAnsi="Times New Roman" w:cs="Times New Roman"/>
                <w:sz w:val="18"/>
                <w:szCs w:val="18"/>
                <w:lang w:val="sr-Cyrl-CS"/>
              </w:rPr>
              <w:t>. став</w:t>
            </w:r>
            <w:r w:rsidR="00D070F7" w:rsidRPr="00D070F7">
              <w:rPr>
                <w:rFonts w:ascii="Times New Roman" w:hAnsi="Times New Roman" w:cs="Times New Roman"/>
                <w:sz w:val="18"/>
                <w:szCs w:val="18"/>
                <w:lang w:val="sr-Cyrl-CS"/>
              </w:rPr>
              <w:t xml:space="preserve"> </w:t>
            </w:r>
            <w:r w:rsidR="00D070F7">
              <w:rPr>
                <w:rFonts w:ascii="Times New Roman" w:hAnsi="Times New Roman" w:cs="Times New Roman"/>
                <w:sz w:val="18"/>
                <w:szCs w:val="18"/>
                <w:lang w:val="sr-Cyrl-CS"/>
              </w:rPr>
              <w:t>1</w:t>
            </w:r>
            <w:r w:rsidR="00D070F7" w:rsidRPr="00D070F7">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D070F7" w:rsidRPr="00D070F7">
              <w:rPr>
                <w:rFonts w:ascii="Times New Roman" w:hAnsi="Times New Roman" w:cs="Times New Roman"/>
                <w:sz w:val="18"/>
                <w:szCs w:val="18"/>
                <w:lang w:val="sr-Cyrl-CS"/>
              </w:rPr>
              <w:t>а закона о грађевинским производима у делу који се односи на израду националног докуметна за оцењивање. Потпуно усклађивање биће могуће након приступања ЕУ.</w:t>
            </w:r>
          </w:p>
        </w:tc>
        <w:tc>
          <w:tcPr>
            <w:tcW w:w="480" w:type="pct"/>
            <w:shd w:val="clear" w:color="auto" w:fill="auto"/>
            <w:vAlign w:val="center"/>
          </w:tcPr>
          <w:p w14:paraId="6E7921DA" w14:textId="77777777" w:rsidR="00454D0C" w:rsidRPr="00487209" w:rsidRDefault="00454D0C" w:rsidP="00454D0C">
            <w:pPr>
              <w:spacing w:before="120" w:after="120"/>
              <w:jc w:val="center"/>
              <w:rPr>
                <w:rFonts w:ascii="Times New Roman" w:hAnsi="Times New Roman" w:cs="Times New Roman"/>
                <w:sz w:val="18"/>
                <w:szCs w:val="18"/>
                <w:lang w:val="ru-RU"/>
              </w:rPr>
            </w:pPr>
          </w:p>
        </w:tc>
      </w:tr>
      <w:tr w:rsidR="00337554" w:rsidRPr="00487209" w14:paraId="54C7136B" w14:textId="77777777" w:rsidTr="007D5144">
        <w:trPr>
          <w:trHeight w:val="1970"/>
          <w:jc w:val="center"/>
        </w:trPr>
        <w:tc>
          <w:tcPr>
            <w:tcW w:w="435" w:type="pct"/>
            <w:shd w:val="clear" w:color="auto" w:fill="auto"/>
            <w:vAlign w:val="center"/>
          </w:tcPr>
          <w:p w14:paraId="06F577C6" w14:textId="77777777" w:rsidR="00454D0C" w:rsidRPr="00487209" w:rsidRDefault="00454D0C" w:rsidP="00454D0C">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26.2.</w:t>
            </w:r>
          </w:p>
        </w:tc>
        <w:tc>
          <w:tcPr>
            <w:tcW w:w="1369" w:type="pct"/>
            <w:gridSpan w:val="2"/>
            <w:shd w:val="clear" w:color="auto" w:fill="auto"/>
            <w:vAlign w:val="center"/>
          </w:tcPr>
          <w:p w14:paraId="1200A56C" w14:textId="77777777" w:rsidR="00454D0C" w:rsidRPr="00487209" w:rsidRDefault="00454D0C" w:rsidP="00454D0C">
            <w:pPr>
              <w:jc w:val="both"/>
              <w:rPr>
                <w:rFonts w:ascii="Times New Roman" w:hAnsi="Times New Roman" w:cs="Times New Roman"/>
                <w:sz w:val="18"/>
                <w:szCs w:val="18"/>
                <w:lang w:val="sr-Cyrl-CS"/>
              </w:rPr>
            </w:pPr>
          </w:p>
          <w:p w14:paraId="3DD6E671" w14:textId="77777777" w:rsidR="00454D0C" w:rsidRPr="00487209" w:rsidRDefault="00454D0C" w:rsidP="00454D0C">
            <w:pPr>
              <w:jc w:val="both"/>
              <w:rPr>
                <w:rFonts w:ascii="Times New Roman" w:hAnsi="Times New Roman" w:cs="Times New Roman"/>
                <w:sz w:val="18"/>
                <w:szCs w:val="18"/>
              </w:rPr>
            </w:pPr>
            <w:r w:rsidRPr="00487209">
              <w:rPr>
                <w:rFonts w:ascii="Times New Roman" w:hAnsi="Times New Roman" w:cs="Times New Roman"/>
                <w:sz w:val="18"/>
                <w:szCs w:val="18"/>
              </w:rPr>
              <w:t>The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European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Technical</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Assessment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shall</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include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performance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to</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be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declared, by levels or classes, or in a description, of those essential characteristics agreed by the manufacturer and the TAB receiving the request for the European Technical Assessment for the declared intended use, and technical details necessary for the implementation of the system of assessment and verification of constancy of performance.</w:t>
            </w:r>
          </w:p>
          <w:p w14:paraId="78535E74" w14:textId="77777777" w:rsidR="00454D0C" w:rsidRPr="00487209" w:rsidRDefault="00454D0C" w:rsidP="00454D0C">
            <w:pPr>
              <w:jc w:val="both"/>
              <w:rPr>
                <w:rFonts w:ascii="Times New Roman" w:hAnsi="Times New Roman" w:cs="Times New Roman"/>
                <w:sz w:val="18"/>
                <w:szCs w:val="18"/>
              </w:rPr>
            </w:pPr>
          </w:p>
        </w:tc>
        <w:tc>
          <w:tcPr>
            <w:tcW w:w="429" w:type="pct"/>
            <w:shd w:val="clear" w:color="auto" w:fill="auto"/>
            <w:vAlign w:val="center"/>
          </w:tcPr>
          <w:p w14:paraId="592863F3" w14:textId="77777777" w:rsidR="008E0D58" w:rsidRDefault="008E0D58" w:rsidP="008E0D58">
            <w:pPr>
              <w:spacing w:before="120" w:after="120"/>
              <w:ind w:firstLine="5"/>
              <w:jc w:val="center"/>
              <w:rPr>
                <w:rFonts w:ascii="Times New Roman" w:hAnsi="Times New Roman" w:cs="Times New Roman"/>
                <w:sz w:val="18"/>
                <w:szCs w:val="18"/>
                <w:lang w:val="sr-Cyrl-CS"/>
              </w:rPr>
            </w:pPr>
            <w:r>
              <w:rPr>
                <w:rFonts w:ascii="Times New Roman" w:hAnsi="Times New Roman" w:cs="Times New Roman"/>
                <w:sz w:val="18"/>
                <w:szCs w:val="18"/>
                <w:lang w:val="sr-Cyrl-CS"/>
              </w:rPr>
              <w:t>01</w:t>
            </w:r>
          </w:p>
          <w:p w14:paraId="7D8F4B86" w14:textId="77777777" w:rsidR="008E0D58" w:rsidRDefault="008E0D58" w:rsidP="008E0D58">
            <w:pPr>
              <w:spacing w:before="120" w:after="120"/>
              <w:ind w:firstLine="5"/>
              <w:jc w:val="center"/>
              <w:rPr>
                <w:rFonts w:ascii="Times New Roman" w:hAnsi="Times New Roman" w:cs="Times New Roman"/>
                <w:sz w:val="18"/>
                <w:szCs w:val="18"/>
                <w:lang w:val="sr-Cyrl-CS"/>
              </w:rPr>
            </w:pPr>
          </w:p>
          <w:p w14:paraId="7D51433F" w14:textId="0786611D" w:rsidR="008E0D58" w:rsidRDefault="008E0D58" w:rsidP="008E0D58">
            <w:pPr>
              <w:spacing w:before="120" w:after="120"/>
              <w:ind w:firstLine="5"/>
              <w:jc w:val="center"/>
              <w:rPr>
                <w:rFonts w:ascii="Times New Roman" w:hAnsi="Times New Roman" w:cs="Times New Roman"/>
                <w:sz w:val="18"/>
                <w:szCs w:val="18"/>
                <w:lang w:val="sr-Cyrl-CS"/>
              </w:rPr>
            </w:pPr>
            <w:r>
              <w:rPr>
                <w:rFonts w:ascii="Times New Roman" w:hAnsi="Times New Roman" w:cs="Times New Roman"/>
                <w:sz w:val="18"/>
                <w:szCs w:val="18"/>
                <w:lang w:val="sr-Cyrl-CS"/>
              </w:rPr>
              <w:t>27.2.</w:t>
            </w:r>
          </w:p>
          <w:p w14:paraId="204DE0EC" w14:textId="2EEA2E34" w:rsidR="00454D0C" w:rsidRPr="00487209" w:rsidRDefault="00454D0C" w:rsidP="00454D0C">
            <w:pPr>
              <w:spacing w:before="120" w:after="120"/>
              <w:ind w:firstLine="5"/>
              <w:jc w:val="center"/>
              <w:rPr>
                <w:rFonts w:ascii="Times New Roman" w:hAnsi="Times New Roman" w:cs="Times New Roman"/>
                <w:sz w:val="18"/>
                <w:szCs w:val="18"/>
                <w:lang w:val="es-ES"/>
              </w:rPr>
            </w:pPr>
          </w:p>
        </w:tc>
        <w:tc>
          <w:tcPr>
            <w:tcW w:w="1231" w:type="pct"/>
            <w:gridSpan w:val="2"/>
            <w:shd w:val="clear" w:color="auto" w:fill="auto"/>
            <w:vAlign w:val="center"/>
          </w:tcPr>
          <w:p w14:paraId="1E8F5D00" w14:textId="34815E49" w:rsidR="00454D0C" w:rsidRPr="00487209" w:rsidRDefault="008E0D58" w:rsidP="00454D0C">
            <w:pPr>
              <w:jc w:val="both"/>
              <w:rPr>
                <w:rFonts w:ascii="Times New Roman" w:hAnsi="Times New Roman" w:cs="Times New Roman"/>
                <w:sz w:val="18"/>
                <w:szCs w:val="18"/>
                <w:lang w:val="sr-Cyrl-CS"/>
              </w:rPr>
            </w:pPr>
            <w:r w:rsidRPr="008E0D58">
              <w:rPr>
                <w:rFonts w:ascii="Times New Roman" w:hAnsi="Times New Roman" w:cs="Times New Roman"/>
                <w:sz w:val="18"/>
                <w:szCs w:val="18"/>
                <w:lang w:val="sr-Cyrl-CS"/>
              </w:rPr>
              <w:t>Српска техничка оцена обухвата, према нивоима, класама или описно, перформансе које се наводе за оне битне карактеристике које су усаглашене између произвођача и тела за техничко оцењивање које је примило захтев за српску техничку оцену за наведену предвиђену употребу, и техничке детаље неопходне за спровођење система оцењивања и верификације сталности перформанси.</w:t>
            </w:r>
          </w:p>
        </w:tc>
        <w:tc>
          <w:tcPr>
            <w:tcW w:w="458" w:type="pct"/>
            <w:shd w:val="clear" w:color="auto" w:fill="auto"/>
            <w:vAlign w:val="center"/>
          </w:tcPr>
          <w:p w14:paraId="7CEF8BD5" w14:textId="12EF6AF4" w:rsidR="00454D0C" w:rsidRPr="00487209" w:rsidRDefault="008E0D58" w:rsidP="00454D0C">
            <w:pPr>
              <w:spacing w:before="120" w:after="120"/>
              <w:jc w:val="center"/>
              <w:rPr>
                <w:rFonts w:ascii="Times New Roman" w:hAnsi="Times New Roman" w:cs="Times New Roman"/>
                <w:sz w:val="18"/>
                <w:szCs w:val="18"/>
                <w:lang w:val="sr-Cyrl-CS"/>
              </w:rPr>
            </w:pPr>
            <w:r>
              <w:rPr>
                <w:rFonts w:ascii="Times New Roman" w:hAnsi="Times New Roman" w:cs="Times New Roman"/>
                <w:sz w:val="18"/>
                <w:szCs w:val="18"/>
                <w:lang w:val="sr-Cyrl-CS"/>
              </w:rPr>
              <w:t>ДУ</w:t>
            </w:r>
          </w:p>
        </w:tc>
        <w:tc>
          <w:tcPr>
            <w:tcW w:w="598" w:type="pct"/>
            <w:gridSpan w:val="2"/>
            <w:shd w:val="clear" w:color="auto" w:fill="auto"/>
            <w:vAlign w:val="center"/>
          </w:tcPr>
          <w:p w14:paraId="0CD46B7C" w14:textId="37D5BCC6" w:rsidR="00454D0C" w:rsidRPr="00487209" w:rsidRDefault="00E4336F" w:rsidP="00D070F7">
            <w:pPr>
              <w:spacing w:before="120" w:after="120"/>
              <w:jc w:val="both"/>
              <w:rPr>
                <w:rFonts w:ascii="Times New Roman" w:hAnsi="Times New Roman" w:cs="Times New Roman"/>
                <w:sz w:val="18"/>
                <w:szCs w:val="18"/>
                <w:lang w:val="ru-RU"/>
              </w:rPr>
            </w:pPr>
            <w:r>
              <w:rPr>
                <w:rFonts w:ascii="Times New Roman" w:hAnsi="Times New Roman" w:cs="Times New Roman"/>
                <w:sz w:val="18"/>
                <w:szCs w:val="18"/>
                <w:lang w:val="sr-Cyrl-CS"/>
              </w:rPr>
              <w:t>Члан</w:t>
            </w:r>
            <w:r w:rsidR="00D070F7" w:rsidRPr="00D070F7">
              <w:rPr>
                <w:rFonts w:ascii="Times New Roman" w:hAnsi="Times New Roman" w:cs="Times New Roman"/>
                <w:sz w:val="18"/>
                <w:szCs w:val="18"/>
                <w:lang w:val="sr-Cyrl-CS"/>
              </w:rPr>
              <w:t xml:space="preserve"> 26.</w:t>
            </w:r>
            <w:r w:rsidR="00D070F7">
              <w:rPr>
                <w:rFonts w:ascii="Times New Roman" w:hAnsi="Times New Roman" w:cs="Times New Roman"/>
                <w:sz w:val="18"/>
                <w:szCs w:val="18"/>
                <w:lang w:val="sr-Cyrl-CS"/>
              </w:rPr>
              <w:t>2</w:t>
            </w:r>
            <w:r w:rsidR="00D070F7" w:rsidRPr="00D070F7">
              <w:rPr>
                <w:rFonts w:ascii="Times New Roman" w:hAnsi="Times New Roman" w:cs="Times New Roman"/>
                <w:sz w:val="18"/>
                <w:szCs w:val="18"/>
                <w:lang w:val="sr-Cyrl-CS"/>
              </w:rPr>
              <w:t>. Ур</w:t>
            </w:r>
            <w:r>
              <w:rPr>
                <w:rFonts w:ascii="Times New Roman" w:hAnsi="Times New Roman" w:cs="Times New Roman"/>
                <w:sz w:val="18"/>
                <w:szCs w:val="18"/>
                <w:lang w:val="sr-Cyrl-CS"/>
              </w:rPr>
              <w:t>едбе 305/2011 (ЕУ) је пренет члан 27. став</w:t>
            </w:r>
            <w:r w:rsidR="00D070F7" w:rsidRPr="00D070F7">
              <w:rPr>
                <w:rFonts w:ascii="Times New Roman" w:hAnsi="Times New Roman" w:cs="Times New Roman"/>
                <w:sz w:val="18"/>
                <w:szCs w:val="18"/>
                <w:lang w:val="sr-Cyrl-CS"/>
              </w:rPr>
              <w:t xml:space="preserve"> </w:t>
            </w:r>
            <w:r w:rsidR="00D070F7">
              <w:rPr>
                <w:rFonts w:ascii="Times New Roman" w:hAnsi="Times New Roman" w:cs="Times New Roman"/>
                <w:sz w:val="18"/>
                <w:szCs w:val="18"/>
                <w:lang w:val="sr-Cyrl-CS"/>
              </w:rPr>
              <w:t>2</w:t>
            </w:r>
            <w:r w:rsidR="00D070F7" w:rsidRPr="00D070F7">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D070F7" w:rsidRPr="00D070F7">
              <w:rPr>
                <w:rFonts w:ascii="Times New Roman" w:hAnsi="Times New Roman" w:cs="Times New Roman"/>
                <w:sz w:val="18"/>
                <w:szCs w:val="18"/>
                <w:lang w:val="sr-Cyrl-CS"/>
              </w:rPr>
              <w:t>а закона о грађевинским производима у делу који се односи на израду националн</w:t>
            </w:r>
            <w:r w:rsidR="00D070F7">
              <w:rPr>
                <w:rFonts w:ascii="Times New Roman" w:hAnsi="Times New Roman" w:cs="Times New Roman"/>
                <w:sz w:val="18"/>
                <w:szCs w:val="18"/>
                <w:lang w:val="sr-Cyrl-CS"/>
              </w:rPr>
              <w:t>е техничке оцене</w:t>
            </w:r>
            <w:r w:rsidR="00D070F7" w:rsidRPr="00D070F7">
              <w:rPr>
                <w:rFonts w:ascii="Times New Roman" w:hAnsi="Times New Roman" w:cs="Times New Roman"/>
                <w:sz w:val="18"/>
                <w:szCs w:val="18"/>
                <w:lang w:val="sr-Cyrl-CS"/>
              </w:rPr>
              <w:t>. Потпуно усклађивање биће могуће након приступања ЕУ.</w:t>
            </w:r>
          </w:p>
        </w:tc>
        <w:tc>
          <w:tcPr>
            <w:tcW w:w="480" w:type="pct"/>
            <w:shd w:val="clear" w:color="auto" w:fill="auto"/>
            <w:vAlign w:val="center"/>
          </w:tcPr>
          <w:p w14:paraId="4C2C2653" w14:textId="77777777" w:rsidR="00454D0C" w:rsidRPr="00487209" w:rsidRDefault="00454D0C" w:rsidP="00454D0C">
            <w:pPr>
              <w:spacing w:before="120" w:after="120"/>
              <w:jc w:val="center"/>
              <w:rPr>
                <w:rFonts w:ascii="Times New Roman" w:hAnsi="Times New Roman" w:cs="Times New Roman"/>
                <w:sz w:val="18"/>
                <w:szCs w:val="18"/>
                <w:lang w:val="ru-RU"/>
              </w:rPr>
            </w:pPr>
          </w:p>
        </w:tc>
      </w:tr>
      <w:tr w:rsidR="00337554" w:rsidRPr="00487209" w14:paraId="10979113" w14:textId="77777777" w:rsidTr="007D5144">
        <w:trPr>
          <w:trHeight w:val="1749"/>
          <w:jc w:val="center"/>
        </w:trPr>
        <w:tc>
          <w:tcPr>
            <w:tcW w:w="435" w:type="pct"/>
            <w:shd w:val="clear" w:color="auto" w:fill="auto"/>
            <w:vAlign w:val="center"/>
          </w:tcPr>
          <w:p w14:paraId="7440E4D5" w14:textId="77777777" w:rsidR="00DB0470" w:rsidRPr="00487209" w:rsidRDefault="00DB0470"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26.3.</w:t>
            </w:r>
          </w:p>
        </w:tc>
        <w:tc>
          <w:tcPr>
            <w:tcW w:w="1369" w:type="pct"/>
            <w:gridSpan w:val="2"/>
            <w:shd w:val="clear" w:color="auto" w:fill="auto"/>
            <w:vAlign w:val="center"/>
          </w:tcPr>
          <w:p w14:paraId="7897ADF8" w14:textId="77777777" w:rsidR="00DB0470" w:rsidRPr="00487209" w:rsidRDefault="00DB0470" w:rsidP="006C6323">
            <w:pPr>
              <w:jc w:val="both"/>
              <w:rPr>
                <w:rFonts w:ascii="Times New Roman" w:hAnsi="Times New Roman" w:cs="Times New Roman"/>
                <w:sz w:val="18"/>
                <w:szCs w:val="18"/>
              </w:rPr>
            </w:pPr>
            <w:r w:rsidRPr="00487209">
              <w:rPr>
                <w:rFonts w:ascii="Times New Roman" w:hAnsi="Times New Roman" w:cs="Times New Roman"/>
                <w:sz w:val="18"/>
                <w:szCs w:val="18"/>
              </w:rPr>
              <w:t>In order to ensure the uniform implementation of this Article, the Commission shall adopt implementing acts to establish the format of the European Technical Assessment in accordance with the procedure referred to in Article 64(2).</w:t>
            </w:r>
          </w:p>
        </w:tc>
        <w:tc>
          <w:tcPr>
            <w:tcW w:w="429" w:type="pct"/>
            <w:shd w:val="clear" w:color="auto" w:fill="auto"/>
            <w:vAlign w:val="center"/>
          </w:tcPr>
          <w:p w14:paraId="0BBBC031" w14:textId="77777777" w:rsidR="008E0D58" w:rsidRDefault="008E0D58" w:rsidP="008E0D58">
            <w:pPr>
              <w:spacing w:before="120" w:after="120"/>
              <w:ind w:firstLine="5"/>
              <w:jc w:val="center"/>
              <w:rPr>
                <w:rFonts w:ascii="Times New Roman" w:hAnsi="Times New Roman" w:cs="Times New Roman"/>
                <w:sz w:val="18"/>
                <w:szCs w:val="18"/>
                <w:lang w:val="sr-Cyrl-CS"/>
              </w:rPr>
            </w:pPr>
            <w:r>
              <w:rPr>
                <w:rFonts w:ascii="Times New Roman" w:hAnsi="Times New Roman" w:cs="Times New Roman"/>
                <w:sz w:val="18"/>
                <w:szCs w:val="18"/>
                <w:lang w:val="sr-Cyrl-CS"/>
              </w:rPr>
              <w:t>01</w:t>
            </w:r>
          </w:p>
          <w:p w14:paraId="3CC8D3D2" w14:textId="77777777" w:rsidR="008E0D58" w:rsidRDefault="008E0D58" w:rsidP="008E0D58">
            <w:pPr>
              <w:spacing w:before="120" w:after="120"/>
              <w:ind w:firstLine="5"/>
              <w:jc w:val="center"/>
              <w:rPr>
                <w:rFonts w:ascii="Times New Roman" w:hAnsi="Times New Roman" w:cs="Times New Roman"/>
                <w:sz w:val="18"/>
                <w:szCs w:val="18"/>
                <w:lang w:val="sr-Cyrl-CS"/>
              </w:rPr>
            </w:pPr>
          </w:p>
          <w:p w14:paraId="7F72E5B8" w14:textId="3EA437CD" w:rsidR="008E0D58" w:rsidRDefault="008E0D58" w:rsidP="008E0D58">
            <w:pPr>
              <w:spacing w:before="120" w:after="120"/>
              <w:ind w:firstLine="5"/>
              <w:jc w:val="center"/>
              <w:rPr>
                <w:rFonts w:ascii="Times New Roman" w:hAnsi="Times New Roman" w:cs="Times New Roman"/>
                <w:sz w:val="18"/>
                <w:szCs w:val="18"/>
                <w:lang w:val="sr-Cyrl-CS"/>
              </w:rPr>
            </w:pPr>
            <w:r>
              <w:rPr>
                <w:rFonts w:ascii="Times New Roman" w:hAnsi="Times New Roman" w:cs="Times New Roman"/>
                <w:sz w:val="18"/>
                <w:szCs w:val="18"/>
                <w:lang w:val="sr-Cyrl-CS"/>
              </w:rPr>
              <w:t>27.3.</w:t>
            </w:r>
          </w:p>
          <w:p w14:paraId="6DFA0731" w14:textId="77777777" w:rsidR="00DB0470" w:rsidRPr="00487209" w:rsidRDefault="00DB0470"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2BF2C5A2" w14:textId="3E3BD74D" w:rsidR="00DB0470" w:rsidRPr="00487209" w:rsidRDefault="008E0D58" w:rsidP="006C6323">
            <w:pPr>
              <w:pStyle w:val="Style7"/>
              <w:spacing w:before="240" w:after="0" w:line="240" w:lineRule="auto"/>
              <w:ind w:right="-23"/>
              <w:jc w:val="both"/>
              <w:outlineLvl w:val="3"/>
              <w:rPr>
                <w:sz w:val="18"/>
                <w:szCs w:val="18"/>
              </w:rPr>
            </w:pPr>
            <w:r w:rsidRPr="008E0D58">
              <w:rPr>
                <w:sz w:val="18"/>
                <w:szCs w:val="18"/>
              </w:rPr>
              <w:t>Министар надлежан за послове грађевинарства ближе прописује облик и садржину српске техничке оцене.</w:t>
            </w:r>
          </w:p>
        </w:tc>
        <w:tc>
          <w:tcPr>
            <w:tcW w:w="458" w:type="pct"/>
            <w:shd w:val="clear" w:color="auto" w:fill="auto"/>
            <w:vAlign w:val="center"/>
          </w:tcPr>
          <w:p w14:paraId="1B94A1CF" w14:textId="1FFD24F0" w:rsidR="00DB0470" w:rsidRPr="00D00BAE" w:rsidRDefault="008E0D58" w:rsidP="006C6323">
            <w:pPr>
              <w:spacing w:before="120" w:after="120"/>
              <w:jc w:val="center"/>
              <w:rPr>
                <w:rFonts w:ascii="Times New Roman" w:hAnsi="Times New Roman" w:cs="Times New Roman"/>
                <w:sz w:val="18"/>
                <w:szCs w:val="18"/>
                <w:lang w:val="sr-Cyrl-CS"/>
              </w:rPr>
            </w:pPr>
            <w:r>
              <w:rPr>
                <w:rFonts w:ascii="Times New Roman" w:hAnsi="Times New Roman" w:cs="Times New Roman"/>
                <w:sz w:val="18"/>
                <w:szCs w:val="18"/>
                <w:lang w:val="sr-Cyrl-CS"/>
              </w:rPr>
              <w:t>ДУ</w:t>
            </w:r>
          </w:p>
        </w:tc>
        <w:tc>
          <w:tcPr>
            <w:tcW w:w="598" w:type="pct"/>
            <w:gridSpan w:val="2"/>
            <w:shd w:val="clear" w:color="auto" w:fill="auto"/>
            <w:vAlign w:val="center"/>
          </w:tcPr>
          <w:p w14:paraId="30104064" w14:textId="48754E39" w:rsidR="00DB0470" w:rsidRPr="00487209" w:rsidRDefault="00E4336F" w:rsidP="00D070F7">
            <w:pPr>
              <w:spacing w:before="120" w:after="120"/>
              <w:jc w:val="both"/>
              <w:rPr>
                <w:rFonts w:ascii="Times New Roman" w:hAnsi="Times New Roman" w:cs="Times New Roman"/>
                <w:sz w:val="18"/>
                <w:szCs w:val="18"/>
              </w:rPr>
            </w:pPr>
            <w:r>
              <w:rPr>
                <w:rFonts w:ascii="Times New Roman" w:hAnsi="Times New Roman" w:cs="Times New Roman"/>
                <w:sz w:val="18"/>
                <w:szCs w:val="18"/>
                <w:lang w:val="ru-RU"/>
              </w:rPr>
              <w:t>Члан</w:t>
            </w:r>
            <w:r w:rsidR="00D070F7" w:rsidRPr="00D070F7">
              <w:rPr>
                <w:rFonts w:ascii="Times New Roman" w:hAnsi="Times New Roman" w:cs="Times New Roman"/>
                <w:sz w:val="18"/>
                <w:szCs w:val="18"/>
                <w:lang w:val="ru-RU"/>
              </w:rPr>
              <w:t xml:space="preserve"> 26.</w:t>
            </w:r>
            <w:r w:rsidR="00D070F7">
              <w:rPr>
                <w:rFonts w:ascii="Times New Roman" w:hAnsi="Times New Roman" w:cs="Times New Roman"/>
                <w:sz w:val="18"/>
                <w:szCs w:val="18"/>
                <w:lang w:val="ru-RU"/>
              </w:rPr>
              <w:t>3</w:t>
            </w:r>
            <w:r w:rsidR="00D070F7" w:rsidRPr="00D070F7">
              <w:rPr>
                <w:rFonts w:ascii="Times New Roman" w:hAnsi="Times New Roman" w:cs="Times New Roman"/>
                <w:sz w:val="18"/>
                <w:szCs w:val="18"/>
                <w:lang w:val="ru-RU"/>
              </w:rPr>
              <w:t>. Ур</w:t>
            </w:r>
            <w:r>
              <w:rPr>
                <w:rFonts w:ascii="Times New Roman" w:hAnsi="Times New Roman" w:cs="Times New Roman"/>
                <w:sz w:val="18"/>
                <w:szCs w:val="18"/>
                <w:lang w:val="ru-RU"/>
              </w:rPr>
              <w:t>едбе 305/2011 (ЕУ) је пренет члан 27. став</w:t>
            </w:r>
            <w:r w:rsidR="00D070F7" w:rsidRPr="00D070F7">
              <w:rPr>
                <w:rFonts w:ascii="Times New Roman" w:hAnsi="Times New Roman" w:cs="Times New Roman"/>
                <w:sz w:val="18"/>
                <w:szCs w:val="18"/>
                <w:lang w:val="ru-RU"/>
              </w:rPr>
              <w:t xml:space="preserve"> </w:t>
            </w:r>
            <w:r w:rsidR="00D070F7">
              <w:rPr>
                <w:rFonts w:ascii="Times New Roman" w:hAnsi="Times New Roman" w:cs="Times New Roman"/>
                <w:sz w:val="18"/>
                <w:szCs w:val="18"/>
                <w:lang w:val="ru-RU"/>
              </w:rPr>
              <w:t>3</w:t>
            </w:r>
            <w:r w:rsidR="00D070F7" w:rsidRPr="00D070F7">
              <w:rPr>
                <w:rFonts w:ascii="Times New Roman" w:hAnsi="Times New Roman" w:cs="Times New Roman"/>
                <w:sz w:val="18"/>
                <w:szCs w:val="18"/>
                <w:lang w:val="ru-RU"/>
              </w:rPr>
              <w:t xml:space="preserve">. </w:t>
            </w:r>
            <w:r w:rsidR="0073105A">
              <w:rPr>
                <w:rFonts w:ascii="Times New Roman" w:hAnsi="Times New Roman" w:cs="Times New Roman"/>
                <w:sz w:val="18"/>
                <w:szCs w:val="18"/>
                <w:lang w:val="ru-RU"/>
              </w:rPr>
              <w:t>Предлог</w:t>
            </w:r>
            <w:r w:rsidR="00D070F7" w:rsidRPr="00D070F7">
              <w:rPr>
                <w:rFonts w:ascii="Times New Roman" w:hAnsi="Times New Roman" w:cs="Times New Roman"/>
                <w:sz w:val="18"/>
                <w:szCs w:val="18"/>
                <w:lang w:val="ru-RU"/>
              </w:rPr>
              <w:t>а закона о грађевинским производима у делу који се односи на израду националн</w:t>
            </w:r>
            <w:r w:rsidR="00D070F7">
              <w:rPr>
                <w:rFonts w:ascii="Times New Roman" w:hAnsi="Times New Roman" w:cs="Times New Roman"/>
                <w:sz w:val="18"/>
                <w:szCs w:val="18"/>
                <w:lang w:val="ru-RU"/>
              </w:rPr>
              <w:t>е техничке оцене</w:t>
            </w:r>
            <w:r w:rsidR="00D070F7" w:rsidRPr="00D070F7">
              <w:rPr>
                <w:rFonts w:ascii="Times New Roman" w:hAnsi="Times New Roman" w:cs="Times New Roman"/>
                <w:sz w:val="18"/>
                <w:szCs w:val="18"/>
                <w:lang w:val="ru-RU"/>
              </w:rPr>
              <w:t>. Потпуно усклађивање биће могуће након приступања ЕУ.</w:t>
            </w:r>
          </w:p>
        </w:tc>
        <w:tc>
          <w:tcPr>
            <w:tcW w:w="480" w:type="pct"/>
            <w:shd w:val="clear" w:color="auto" w:fill="auto"/>
            <w:vAlign w:val="center"/>
          </w:tcPr>
          <w:p w14:paraId="7A830D06" w14:textId="77777777" w:rsidR="00DB0470" w:rsidRPr="00487209" w:rsidRDefault="00DB0470" w:rsidP="006C6323">
            <w:pPr>
              <w:spacing w:before="120" w:after="120"/>
              <w:jc w:val="center"/>
              <w:rPr>
                <w:rFonts w:ascii="Times New Roman" w:hAnsi="Times New Roman" w:cs="Times New Roman"/>
                <w:sz w:val="18"/>
                <w:szCs w:val="18"/>
              </w:rPr>
            </w:pPr>
          </w:p>
        </w:tc>
      </w:tr>
      <w:tr w:rsidR="00337554" w:rsidRPr="00487209" w14:paraId="41058099" w14:textId="77777777" w:rsidTr="007D5144">
        <w:trPr>
          <w:trHeight w:val="1196"/>
          <w:jc w:val="center"/>
        </w:trPr>
        <w:tc>
          <w:tcPr>
            <w:tcW w:w="435" w:type="pct"/>
            <w:shd w:val="clear" w:color="auto" w:fill="auto"/>
            <w:vAlign w:val="center"/>
          </w:tcPr>
          <w:p w14:paraId="21A53CFA" w14:textId="77777777" w:rsidR="005D1EAB" w:rsidRPr="00487209" w:rsidRDefault="005D1EAB"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27.1.</w:t>
            </w:r>
          </w:p>
        </w:tc>
        <w:tc>
          <w:tcPr>
            <w:tcW w:w="1369" w:type="pct"/>
            <w:gridSpan w:val="2"/>
            <w:shd w:val="clear" w:color="auto" w:fill="auto"/>
            <w:vAlign w:val="center"/>
          </w:tcPr>
          <w:p w14:paraId="5B2109B3" w14:textId="77777777" w:rsidR="005D1EAB" w:rsidRPr="00487209" w:rsidRDefault="005D1EAB" w:rsidP="006C6323">
            <w:pPr>
              <w:jc w:val="both"/>
              <w:rPr>
                <w:rFonts w:ascii="Times New Roman" w:hAnsi="Times New Roman" w:cs="Times New Roman"/>
                <w:sz w:val="18"/>
                <w:szCs w:val="18"/>
              </w:rPr>
            </w:pPr>
            <w:r w:rsidRPr="00487209">
              <w:rPr>
                <w:rFonts w:ascii="Times New Roman" w:hAnsi="Times New Roman" w:cs="Times New Roman"/>
                <w:sz w:val="18"/>
                <w:szCs w:val="18"/>
              </w:rPr>
              <w:t>The Commission may adopt delegated acts in accordance with Article 60, to establish classes of performance in relation to the essential characteristics of construction products.</w:t>
            </w:r>
          </w:p>
          <w:p w14:paraId="1D7E11CA" w14:textId="77777777" w:rsidR="005D1EAB" w:rsidRPr="00487209" w:rsidRDefault="005D1EAB" w:rsidP="006C6323">
            <w:pPr>
              <w:rPr>
                <w:rFonts w:ascii="Times New Roman" w:hAnsi="Times New Roman" w:cs="Times New Roman"/>
                <w:sz w:val="18"/>
                <w:szCs w:val="18"/>
              </w:rPr>
            </w:pPr>
          </w:p>
          <w:p w14:paraId="087D2C3B" w14:textId="77777777" w:rsidR="005D1EAB" w:rsidRPr="00487209" w:rsidRDefault="005D1EAB" w:rsidP="006C6323">
            <w:pPr>
              <w:rPr>
                <w:rFonts w:ascii="Times New Roman" w:hAnsi="Times New Roman" w:cs="Times New Roman"/>
                <w:sz w:val="18"/>
                <w:szCs w:val="18"/>
              </w:rPr>
            </w:pPr>
          </w:p>
        </w:tc>
        <w:tc>
          <w:tcPr>
            <w:tcW w:w="429" w:type="pct"/>
            <w:shd w:val="clear" w:color="auto" w:fill="auto"/>
            <w:vAlign w:val="center"/>
          </w:tcPr>
          <w:p w14:paraId="45168F9A" w14:textId="5F61D5B1" w:rsidR="00E00E95"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0D8FDB51" w14:textId="77777777" w:rsidR="005D1EAB" w:rsidRPr="00487209" w:rsidRDefault="00E00E95" w:rsidP="006C6323">
            <w:pPr>
              <w:spacing w:before="120" w:after="120"/>
              <w:ind w:firstLine="5"/>
              <w:jc w:val="center"/>
              <w:rPr>
                <w:rFonts w:ascii="Times New Roman" w:hAnsi="Times New Roman" w:cs="Times New Roman"/>
                <w:sz w:val="18"/>
                <w:szCs w:val="18"/>
                <w:lang w:val="es-ES"/>
              </w:rPr>
            </w:pPr>
            <w:r w:rsidRPr="00487209">
              <w:rPr>
                <w:rFonts w:ascii="Times New Roman" w:hAnsi="Times New Roman" w:cs="Times New Roman"/>
                <w:sz w:val="18"/>
                <w:szCs w:val="18"/>
                <w:lang w:val="es-ES"/>
              </w:rPr>
              <w:t xml:space="preserve"> </w:t>
            </w:r>
            <w:r w:rsidR="00884269" w:rsidRPr="00487209">
              <w:rPr>
                <w:rFonts w:ascii="Times New Roman" w:hAnsi="Times New Roman" w:cs="Times New Roman"/>
                <w:sz w:val="18"/>
                <w:szCs w:val="18"/>
                <w:lang w:val="es-ES"/>
              </w:rPr>
              <w:t>28.1.</w:t>
            </w:r>
          </w:p>
        </w:tc>
        <w:tc>
          <w:tcPr>
            <w:tcW w:w="1231" w:type="pct"/>
            <w:gridSpan w:val="2"/>
            <w:shd w:val="clear" w:color="auto" w:fill="auto"/>
            <w:vAlign w:val="center"/>
          </w:tcPr>
          <w:p w14:paraId="65A33DAB" w14:textId="30E33112" w:rsidR="005D1EAB" w:rsidRPr="00487209" w:rsidRDefault="00387172" w:rsidP="006C6323">
            <w:pPr>
              <w:pStyle w:val="Style7"/>
              <w:spacing w:before="240" w:after="0" w:line="240" w:lineRule="auto"/>
              <w:ind w:right="-23"/>
              <w:jc w:val="both"/>
              <w:outlineLvl w:val="3"/>
              <w:rPr>
                <w:sz w:val="18"/>
                <w:szCs w:val="18"/>
              </w:rPr>
            </w:pPr>
            <w:r w:rsidRPr="00387172">
              <w:rPr>
                <w:sz w:val="18"/>
                <w:szCs w:val="18"/>
              </w:rPr>
              <w:t>Техничким прописом министар  надлежан за послове грађевинарства може да пропише нивое или класе перформанси у вези са битним карактеристикама грађевинских производа.</w:t>
            </w:r>
          </w:p>
        </w:tc>
        <w:tc>
          <w:tcPr>
            <w:tcW w:w="458" w:type="pct"/>
            <w:shd w:val="clear" w:color="auto" w:fill="auto"/>
            <w:vAlign w:val="center"/>
          </w:tcPr>
          <w:p w14:paraId="4281C8B9" w14:textId="77777777" w:rsidR="005D1EAB" w:rsidRPr="00487209" w:rsidRDefault="005D1EAB"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ДУ</w:t>
            </w:r>
          </w:p>
        </w:tc>
        <w:tc>
          <w:tcPr>
            <w:tcW w:w="598" w:type="pct"/>
            <w:gridSpan w:val="2"/>
            <w:shd w:val="clear" w:color="auto" w:fill="auto"/>
            <w:vAlign w:val="center"/>
          </w:tcPr>
          <w:p w14:paraId="07FE47DD" w14:textId="66DD67EA" w:rsidR="005D1EAB" w:rsidRPr="00487209" w:rsidRDefault="00E4336F" w:rsidP="006C6323">
            <w:pPr>
              <w:spacing w:before="120" w:after="120"/>
              <w:jc w:val="both"/>
              <w:rPr>
                <w:rFonts w:ascii="Times New Roman" w:hAnsi="Times New Roman" w:cs="Times New Roman"/>
                <w:sz w:val="18"/>
                <w:szCs w:val="18"/>
                <w:lang w:val="ru-RU"/>
              </w:rPr>
            </w:pPr>
            <w:r>
              <w:rPr>
                <w:rFonts w:ascii="Times New Roman" w:hAnsi="Times New Roman" w:cs="Times New Roman"/>
                <w:sz w:val="18"/>
                <w:szCs w:val="18"/>
                <w:lang w:val="ru-RU"/>
              </w:rPr>
              <w:t>Члан 28. став</w:t>
            </w:r>
            <w:r w:rsidR="005D1EAB" w:rsidRPr="00487209">
              <w:rPr>
                <w:rFonts w:ascii="Times New Roman" w:hAnsi="Times New Roman" w:cs="Times New Roman"/>
                <w:sz w:val="18"/>
                <w:szCs w:val="18"/>
                <w:lang w:val="ru-RU"/>
              </w:rPr>
              <w:t xml:space="preserve"> 1.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Pr>
                <w:rFonts w:ascii="Times New Roman" w:hAnsi="Times New Roman" w:cs="Times New Roman"/>
                <w:sz w:val="18"/>
                <w:szCs w:val="18"/>
                <w:lang w:val="ru-RU"/>
              </w:rPr>
              <w:t xml:space="preserve"> је делимично усклађен са чланом</w:t>
            </w:r>
            <w:r w:rsidR="005D1EAB" w:rsidRPr="00487209">
              <w:rPr>
                <w:rFonts w:ascii="Times New Roman" w:hAnsi="Times New Roman" w:cs="Times New Roman"/>
                <w:sz w:val="18"/>
                <w:szCs w:val="18"/>
                <w:lang w:val="ru-RU"/>
              </w:rPr>
              <w:t xml:space="preserve"> </w:t>
            </w:r>
            <w:r w:rsidR="005D1EAB" w:rsidRPr="00487209">
              <w:rPr>
                <w:rFonts w:ascii="Times New Roman" w:hAnsi="Times New Roman" w:cs="Times New Roman"/>
                <w:sz w:val="18"/>
                <w:szCs w:val="18"/>
                <w:lang w:val="sr-Cyrl-CS"/>
              </w:rPr>
              <w:t>27.1.</w:t>
            </w:r>
            <w:r w:rsidR="005D1EAB" w:rsidRPr="00487209">
              <w:rPr>
                <w:rFonts w:ascii="Times New Roman" w:hAnsi="Times New Roman" w:cs="Times New Roman"/>
                <w:sz w:val="18"/>
                <w:szCs w:val="18"/>
                <w:lang w:val="ru-RU"/>
              </w:rPr>
              <w:t xml:space="preserve"> </w:t>
            </w:r>
            <w:r w:rsidR="005D1EAB" w:rsidRPr="00487209">
              <w:rPr>
                <w:rFonts w:ascii="Times New Roman" w:hAnsi="Times New Roman" w:cs="Times New Roman"/>
                <w:sz w:val="18"/>
                <w:szCs w:val="18"/>
                <w:lang w:val="sr-Cyrl-CS"/>
              </w:rPr>
              <w:t>Уредбе 305/2011 (ЕУ), у делу који се односи на начин утврђивања нивоа и класа перформанси битних карактеристика грађевинског производа</w:t>
            </w:r>
            <w:r w:rsidR="00BF03D0" w:rsidRPr="00487209">
              <w:rPr>
                <w:rFonts w:ascii="Times New Roman" w:hAnsi="Times New Roman" w:cs="Times New Roman"/>
                <w:sz w:val="18"/>
                <w:szCs w:val="18"/>
                <w:lang w:val="sr-Cyrl-CS"/>
              </w:rPr>
              <w:t>,</w:t>
            </w:r>
            <w:r w:rsidR="005D1EAB" w:rsidRPr="00487209">
              <w:rPr>
                <w:rFonts w:ascii="Times New Roman" w:hAnsi="Times New Roman" w:cs="Times New Roman"/>
                <w:sz w:val="18"/>
                <w:szCs w:val="18"/>
                <w:lang w:val="sr-Cyrl-CS"/>
              </w:rPr>
              <w:t xml:space="preserve"> због статуса нечланице. Потпуно усклађивање биће могуће </w:t>
            </w:r>
            <w:r w:rsidR="005D1EAB" w:rsidRPr="00487209">
              <w:rPr>
                <w:rFonts w:ascii="Times New Roman" w:hAnsi="Times New Roman" w:cs="Times New Roman"/>
                <w:sz w:val="18"/>
                <w:szCs w:val="18"/>
                <w:lang w:val="sr-Cyrl-CS"/>
              </w:rPr>
              <w:lastRenderedPageBreak/>
              <w:t>након приступања ЕУ.</w:t>
            </w:r>
          </w:p>
        </w:tc>
        <w:tc>
          <w:tcPr>
            <w:tcW w:w="480" w:type="pct"/>
            <w:shd w:val="clear" w:color="auto" w:fill="auto"/>
            <w:vAlign w:val="center"/>
          </w:tcPr>
          <w:p w14:paraId="411796EB" w14:textId="77777777" w:rsidR="005D1EAB" w:rsidRPr="00487209" w:rsidRDefault="005D1EAB" w:rsidP="006C6323">
            <w:pPr>
              <w:spacing w:before="120" w:after="120"/>
              <w:jc w:val="center"/>
              <w:rPr>
                <w:rFonts w:ascii="Times New Roman" w:hAnsi="Times New Roman" w:cs="Times New Roman"/>
                <w:sz w:val="18"/>
                <w:szCs w:val="18"/>
                <w:lang w:val="ru-RU"/>
              </w:rPr>
            </w:pPr>
          </w:p>
        </w:tc>
      </w:tr>
      <w:tr w:rsidR="00337554" w:rsidRPr="00487209" w14:paraId="25767992" w14:textId="77777777" w:rsidTr="007D5144">
        <w:trPr>
          <w:trHeight w:val="1970"/>
          <w:jc w:val="center"/>
        </w:trPr>
        <w:tc>
          <w:tcPr>
            <w:tcW w:w="435" w:type="pct"/>
            <w:shd w:val="clear" w:color="auto" w:fill="auto"/>
            <w:vAlign w:val="center"/>
          </w:tcPr>
          <w:p w14:paraId="0B235583" w14:textId="77777777" w:rsidR="00E04D89" w:rsidRPr="00487209" w:rsidRDefault="00E04D89"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27.2.</w:t>
            </w:r>
          </w:p>
        </w:tc>
        <w:tc>
          <w:tcPr>
            <w:tcW w:w="1369" w:type="pct"/>
            <w:gridSpan w:val="2"/>
            <w:shd w:val="clear" w:color="auto" w:fill="auto"/>
            <w:vAlign w:val="center"/>
          </w:tcPr>
          <w:p w14:paraId="65943397" w14:textId="77777777" w:rsidR="00E04D89" w:rsidRPr="00487209" w:rsidRDefault="00E04D89" w:rsidP="006C6323">
            <w:pPr>
              <w:jc w:val="both"/>
              <w:rPr>
                <w:rFonts w:ascii="Times New Roman" w:hAnsi="Times New Roman" w:cs="Times New Roman"/>
                <w:sz w:val="18"/>
                <w:szCs w:val="18"/>
              </w:rPr>
            </w:pPr>
          </w:p>
          <w:p w14:paraId="018C201F" w14:textId="77777777" w:rsidR="00E04D89" w:rsidRPr="00487209" w:rsidRDefault="00E04D89"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Where the Commission has established classes of performance in relation to the essential characteristics of construction products, the European standardisation bodies shall use those classes in harmonised standards. The organisation of TABs shall where relevant use those classes in European Assessment Documents.</w:t>
            </w:r>
          </w:p>
          <w:p w14:paraId="77B8E6D4" w14:textId="77777777" w:rsidR="00E04D89" w:rsidRPr="00487209" w:rsidRDefault="00E04D89"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Where classes of performance in relation to the essential characteristics of construction products are not established by the Commission, they may be established by the European standardisation bodies in harmonised standards, on the basis of a revised mandate.</w:t>
            </w:r>
          </w:p>
          <w:p w14:paraId="0B7C3B3F" w14:textId="77777777" w:rsidR="00E04D89" w:rsidRPr="00487209" w:rsidRDefault="00E04D89" w:rsidP="006C6323">
            <w:pPr>
              <w:jc w:val="both"/>
              <w:rPr>
                <w:rFonts w:ascii="Times New Roman" w:hAnsi="Times New Roman" w:cs="Times New Roman"/>
                <w:sz w:val="18"/>
                <w:szCs w:val="18"/>
                <w:lang w:val="sr-Cyrl-CS"/>
              </w:rPr>
            </w:pPr>
          </w:p>
        </w:tc>
        <w:tc>
          <w:tcPr>
            <w:tcW w:w="429" w:type="pct"/>
            <w:shd w:val="clear" w:color="auto" w:fill="auto"/>
            <w:vAlign w:val="center"/>
          </w:tcPr>
          <w:p w14:paraId="37F99204" w14:textId="5D74486D" w:rsidR="00E00E95"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7C636AC8" w14:textId="77777777" w:rsidR="00E04D89" w:rsidRPr="00487209" w:rsidRDefault="00E00E95"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E04D89" w:rsidRPr="00487209">
              <w:rPr>
                <w:rFonts w:ascii="Times New Roman" w:hAnsi="Times New Roman" w:cs="Times New Roman"/>
                <w:sz w:val="18"/>
                <w:szCs w:val="18"/>
                <w:lang w:val="ru-RU"/>
              </w:rPr>
              <w:t>28.2.</w:t>
            </w:r>
          </w:p>
        </w:tc>
        <w:tc>
          <w:tcPr>
            <w:tcW w:w="1231" w:type="pct"/>
            <w:gridSpan w:val="2"/>
            <w:shd w:val="clear" w:color="auto" w:fill="auto"/>
            <w:vAlign w:val="center"/>
          </w:tcPr>
          <w:p w14:paraId="0D0477DD" w14:textId="6A7B11EF" w:rsidR="00E04D89" w:rsidRPr="00487209" w:rsidRDefault="00E04D89" w:rsidP="006C6323">
            <w:pPr>
              <w:pStyle w:val="Style7"/>
              <w:spacing w:before="240" w:after="0" w:line="240" w:lineRule="auto"/>
              <w:ind w:right="-23"/>
              <w:jc w:val="both"/>
              <w:outlineLvl w:val="3"/>
              <w:rPr>
                <w:sz w:val="18"/>
                <w:szCs w:val="18"/>
              </w:rPr>
            </w:pPr>
            <w:r w:rsidRPr="00487209">
              <w:rPr>
                <w:sz w:val="18"/>
                <w:szCs w:val="18"/>
              </w:rPr>
              <w:t>Ако нивои и</w:t>
            </w:r>
            <w:r w:rsidR="00387172">
              <w:rPr>
                <w:sz w:val="18"/>
                <w:szCs w:val="18"/>
              </w:rPr>
              <w:t>ли</w:t>
            </w:r>
            <w:r w:rsidRPr="00487209">
              <w:rPr>
                <w:sz w:val="18"/>
                <w:szCs w:val="18"/>
              </w:rPr>
              <w:t xml:space="preserve"> класе перформанси нису </w:t>
            </w:r>
            <w:r w:rsidR="00387172">
              <w:rPr>
                <w:sz w:val="18"/>
                <w:szCs w:val="18"/>
              </w:rPr>
              <w:t>прописани</w:t>
            </w:r>
            <w:r w:rsidR="00387172" w:rsidRPr="00487209">
              <w:rPr>
                <w:sz w:val="18"/>
                <w:szCs w:val="18"/>
              </w:rPr>
              <w:t xml:space="preserve"> </w:t>
            </w:r>
            <w:r w:rsidRPr="00487209">
              <w:rPr>
                <w:sz w:val="18"/>
                <w:szCs w:val="18"/>
              </w:rPr>
              <w:t>прописом из става 1. овог члана, исти могу бити утврђени српским стандардом.</w:t>
            </w:r>
          </w:p>
          <w:p w14:paraId="7F7720D7" w14:textId="77777777" w:rsidR="00E04D89" w:rsidRPr="00487209" w:rsidRDefault="00E04D89" w:rsidP="006C6323">
            <w:pPr>
              <w:pStyle w:val="Style7"/>
              <w:spacing w:before="240" w:after="0" w:line="240" w:lineRule="auto"/>
              <w:ind w:right="-23"/>
              <w:jc w:val="both"/>
              <w:outlineLvl w:val="3"/>
              <w:rPr>
                <w:sz w:val="18"/>
                <w:szCs w:val="18"/>
              </w:rPr>
            </w:pPr>
          </w:p>
        </w:tc>
        <w:tc>
          <w:tcPr>
            <w:tcW w:w="458" w:type="pct"/>
            <w:shd w:val="clear" w:color="auto" w:fill="auto"/>
            <w:vAlign w:val="center"/>
          </w:tcPr>
          <w:p w14:paraId="1833C3DB" w14:textId="77777777" w:rsidR="00E04D89" w:rsidRPr="00487209" w:rsidRDefault="00E04D89"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ДУ</w:t>
            </w:r>
          </w:p>
        </w:tc>
        <w:tc>
          <w:tcPr>
            <w:tcW w:w="598" w:type="pct"/>
            <w:gridSpan w:val="2"/>
            <w:shd w:val="clear" w:color="auto" w:fill="auto"/>
            <w:vAlign w:val="center"/>
          </w:tcPr>
          <w:p w14:paraId="14ED63D4" w14:textId="064054D5" w:rsidR="00E04D89" w:rsidRPr="00487209" w:rsidRDefault="00E4336F" w:rsidP="006C6323">
            <w:pPr>
              <w:spacing w:before="120" w:after="120"/>
              <w:jc w:val="both"/>
              <w:rPr>
                <w:rFonts w:ascii="Times New Roman" w:hAnsi="Times New Roman" w:cs="Times New Roman"/>
                <w:sz w:val="18"/>
                <w:szCs w:val="18"/>
                <w:lang w:val="ru-RU"/>
              </w:rPr>
            </w:pPr>
            <w:r>
              <w:rPr>
                <w:rFonts w:ascii="Times New Roman" w:hAnsi="Times New Roman" w:cs="Times New Roman"/>
                <w:sz w:val="18"/>
                <w:szCs w:val="18"/>
                <w:lang w:val="ru-RU"/>
              </w:rPr>
              <w:t>Члан 28. став</w:t>
            </w:r>
            <w:r w:rsidR="00E04D89" w:rsidRPr="00487209">
              <w:rPr>
                <w:rFonts w:ascii="Times New Roman" w:hAnsi="Times New Roman" w:cs="Times New Roman"/>
                <w:sz w:val="18"/>
                <w:szCs w:val="18"/>
                <w:lang w:val="ru-RU"/>
              </w:rPr>
              <w:t xml:space="preserve"> 2.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sidR="00043DF8">
              <w:rPr>
                <w:rFonts w:ascii="Times New Roman" w:hAnsi="Times New Roman" w:cs="Times New Roman"/>
                <w:sz w:val="18"/>
                <w:szCs w:val="18"/>
                <w:lang w:val="ru-RU"/>
              </w:rPr>
              <w:t xml:space="preserve"> је делимично усклађен са чланом</w:t>
            </w:r>
            <w:r w:rsidR="00E04D89" w:rsidRPr="00487209">
              <w:rPr>
                <w:rFonts w:ascii="Times New Roman" w:hAnsi="Times New Roman" w:cs="Times New Roman"/>
                <w:sz w:val="18"/>
                <w:szCs w:val="18"/>
                <w:lang w:val="ru-RU"/>
              </w:rPr>
              <w:t xml:space="preserve"> </w:t>
            </w:r>
            <w:r w:rsidR="00E04D89" w:rsidRPr="00487209">
              <w:rPr>
                <w:rFonts w:ascii="Times New Roman" w:hAnsi="Times New Roman" w:cs="Times New Roman"/>
                <w:sz w:val="18"/>
                <w:szCs w:val="18"/>
                <w:lang w:val="sr-Cyrl-CS"/>
              </w:rPr>
              <w:t>27.2.</w:t>
            </w:r>
            <w:r w:rsidR="00E04D89" w:rsidRPr="00487209">
              <w:rPr>
                <w:rFonts w:ascii="Times New Roman" w:hAnsi="Times New Roman" w:cs="Times New Roman"/>
                <w:sz w:val="18"/>
                <w:szCs w:val="18"/>
                <w:lang w:val="ru-RU"/>
              </w:rPr>
              <w:t xml:space="preserve"> </w:t>
            </w:r>
            <w:r w:rsidR="00E04D89" w:rsidRPr="00487209">
              <w:rPr>
                <w:rFonts w:ascii="Times New Roman" w:hAnsi="Times New Roman" w:cs="Times New Roman"/>
                <w:sz w:val="18"/>
                <w:szCs w:val="18"/>
                <w:lang w:val="sr-Cyrl-CS"/>
              </w:rPr>
              <w:t>Уредбе 305/2011 (ЕУ), у делу који се односи на начин утврђивања нивоа и класа перформанси битних карактеристика грађевинског производа, због статуса нечланице. Потпуно усклађивање биће могуће након приступања ЕУ.</w:t>
            </w:r>
          </w:p>
        </w:tc>
        <w:tc>
          <w:tcPr>
            <w:tcW w:w="480" w:type="pct"/>
            <w:shd w:val="clear" w:color="auto" w:fill="auto"/>
            <w:vAlign w:val="center"/>
          </w:tcPr>
          <w:p w14:paraId="721B897D" w14:textId="77777777" w:rsidR="00E04D89" w:rsidRPr="00487209" w:rsidRDefault="00E04D89" w:rsidP="006C6323">
            <w:pPr>
              <w:spacing w:before="120" w:after="120"/>
              <w:jc w:val="center"/>
              <w:rPr>
                <w:rFonts w:ascii="Times New Roman" w:hAnsi="Times New Roman" w:cs="Times New Roman"/>
                <w:sz w:val="18"/>
                <w:szCs w:val="18"/>
                <w:lang w:val="ru-RU"/>
              </w:rPr>
            </w:pPr>
          </w:p>
        </w:tc>
      </w:tr>
      <w:tr w:rsidR="00337554" w:rsidRPr="00487209" w14:paraId="0C9E6B18" w14:textId="77777777" w:rsidTr="007D5144">
        <w:trPr>
          <w:trHeight w:val="1970"/>
          <w:jc w:val="center"/>
        </w:trPr>
        <w:tc>
          <w:tcPr>
            <w:tcW w:w="435" w:type="pct"/>
            <w:shd w:val="clear" w:color="auto" w:fill="auto"/>
            <w:vAlign w:val="center"/>
          </w:tcPr>
          <w:p w14:paraId="4D22A4F0" w14:textId="77777777" w:rsidR="0002602C" w:rsidRPr="00487209" w:rsidRDefault="0002602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27.3.</w:t>
            </w:r>
          </w:p>
        </w:tc>
        <w:tc>
          <w:tcPr>
            <w:tcW w:w="1369" w:type="pct"/>
            <w:gridSpan w:val="2"/>
            <w:shd w:val="clear" w:color="auto" w:fill="auto"/>
            <w:vAlign w:val="center"/>
          </w:tcPr>
          <w:p w14:paraId="451E6F4B" w14:textId="77777777" w:rsidR="0002602C" w:rsidRPr="00487209" w:rsidRDefault="0002602C" w:rsidP="006C6323">
            <w:pPr>
              <w:jc w:val="both"/>
              <w:rPr>
                <w:rFonts w:ascii="Times New Roman" w:hAnsi="Times New Roman" w:cs="Times New Roman"/>
                <w:sz w:val="18"/>
                <w:szCs w:val="18"/>
              </w:rPr>
            </w:pPr>
            <w:r w:rsidRPr="00487209">
              <w:rPr>
                <w:rFonts w:ascii="Times New Roman" w:hAnsi="Times New Roman" w:cs="Times New Roman"/>
                <w:sz w:val="18"/>
                <w:szCs w:val="18"/>
              </w:rPr>
              <w:t>When provided for in the relevant mandates, the European standardisation bodies shall establish in harmonised standards threshold levels in relation to essential characteristics and, when appropriate, for intended uses, to be fulfilled by construction products in Member States.</w:t>
            </w:r>
          </w:p>
        </w:tc>
        <w:tc>
          <w:tcPr>
            <w:tcW w:w="429" w:type="pct"/>
            <w:shd w:val="clear" w:color="auto" w:fill="auto"/>
            <w:vAlign w:val="center"/>
          </w:tcPr>
          <w:p w14:paraId="3BA05D7F" w14:textId="77777777" w:rsidR="0002602C" w:rsidRPr="00487209" w:rsidRDefault="0002602C"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122FB565" w14:textId="77777777" w:rsidR="0002602C" w:rsidRPr="00487209" w:rsidRDefault="0002602C" w:rsidP="006C6323">
            <w:pPr>
              <w:pStyle w:val="Style7"/>
              <w:spacing w:before="240" w:after="0" w:line="240" w:lineRule="auto"/>
              <w:ind w:right="-23"/>
              <w:jc w:val="both"/>
              <w:outlineLvl w:val="3"/>
              <w:rPr>
                <w:vanish/>
                <w:sz w:val="18"/>
                <w:szCs w:val="18"/>
                <w:lang w:val="sr-Latn-BA"/>
              </w:rPr>
            </w:pPr>
          </w:p>
        </w:tc>
        <w:tc>
          <w:tcPr>
            <w:tcW w:w="458" w:type="pct"/>
            <w:shd w:val="clear" w:color="auto" w:fill="auto"/>
            <w:vAlign w:val="center"/>
          </w:tcPr>
          <w:p w14:paraId="4B4E9884" w14:textId="77777777" w:rsidR="0002602C" w:rsidRPr="00487209" w:rsidRDefault="0002602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213DDBF8" w14:textId="435309AA" w:rsidR="0002602C" w:rsidRPr="00487209" w:rsidRDefault="00043DF8" w:rsidP="006C6323">
            <w:pPr>
              <w:spacing w:before="120" w:after="120"/>
              <w:jc w:val="both"/>
              <w:rPr>
                <w:rFonts w:ascii="Times New Roman" w:hAnsi="Times New Roman" w:cs="Times New Roman"/>
                <w:sz w:val="18"/>
                <w:szCs w:val="18"/>
              </w:rPr>
            </w:pPr>
            <w:r>
              <w:rPr>
                <w:rFonts w:ascii="Times New Roman" w:hAnsi="Times New Roman" w:cs="Times New Roman"/>
                <w:sz w:val="18"/>
                <w:szCs w:val="18"/>
                <w:lang w:val="ru-RU"/>
              </w:rPr>
              <w:t>Члан</w:t>
            </w:r>
            <w:r w:rsidR="0002602C" w:rsidRPr="00487209">
              <w:rPr>
                <w:rFonts w:ascii="Times New Roman" w:hAnsi="Times New Roman" w:cs="Times New Roman"/>
                <w:sz w:val="18"/>
                <w:szCs w:val="18"/>
                <w:lang w:val="ru-RU"/>
              </w:rPr>
              <w:t xml:space="preserve"> </w:t>
            </w:r>
            <w:r w:rsidR="0002602C" w:rsidRPr="00487209">
              <w:rPr>
                <w:rFonts w:ascii="Times New Roman" w:hAnsi="Times New Roman" w:cs="Times New Roman"/>
                <w:sz w:val="18"/>
                <w:szCs w:val="18"/>
              </w:rPr>
              <w:t xml:space="preserve">27.3. </w:t>
            </w:r>
            <w:r w:rsidR="0002602C" w:rsidRPr="00487209">
              <w:rPr>
                <w:rFonts w:ascii="Times New Roman" w:hAnsi="Times New Roman" w:cs="Times New Roman"/>
                <w:sz w:val="18"/>
                <w:szCs w:val="18"/>
                <w:lang w:val="sr-Cyrl-CS"/>
              </w:rPr>
              <w:t>Уредбе 305/2011 (ЕУ) није пренет, јер се односи на обавезу европских организација за стандардизацију</w:t>
            </w:r>
            <w:r w:rsidR="0002602C" w:rsidRPr="00487209">
              <w:rPr>
                <w:rFonts w:ascii="Times New Roman" w:hAnsi="Times New Roman" w:cs="Times New Roman"/>
                <w:bCs/>
                <w:sz w:val="18"/>
                <w:szCs w:val="18"/>
                <w:lang w:val="sr-Cyrl-CS"/>
              </w:rPr>
              <w:t>.</w:t>
            </w:r>
          </w:p>
        </w:tc>
        <w:tc>
          <w:tcPr>
            <w:tcW w:w="480" w:type="pct"/>
            <w:shd w:val="clear" w:color="auto" w:fill="auto"/>
            <w:vAlign w:val="center"/>
          </w:tcPr>
          <w:p w14:paraId="5D2C6EAB" w14:textId="77777777" w:rsidR="0002602C" w:rsidRPr="00487209" w:rsidRDefault="0002602C" w:rsidP="006C6323">
            <w:pPr>
              <w:spacing w:before="120" w:after="120"/>
              <w:jc w:val="center"/>
              <w:rPr>
                <w:rFonts w:ascii="Times New Roman" w:hAnsi="Times New Roman" w:cs="Times New Roman"/>
                <w:sz w:val="18"/>
                <w:szCs w:val="18"/>
                <w:lang w:val="ru-RU"/>
              </w:rPr>
            </w:pPr>
          </w:p>
        </w:tc>
      </w:tr>
      <w:tr w:rsidR="00337554" w:rsidRPr="00487209" w14:paraId="4DEC1F56" w14:textId="77777777" w:rsidTr="007D5144">
        <w:trPr>
          <w:trHeight w:val="1970"/>
          <w:jc w:val="center"/>
        </w:trPr>
        <w:tc>
          <w:tcPr>
            <w:tcW w:w="435" w:type="pct"/>
            <w:shd w:val="clear" w:color="auto" w:fill="auto"/>
            <w:vAlign w:val="center"/>
          </w:tcPr>
          <w:p w14:paraId="347F2A72" w14:textId="77777777" w:rsidR="009E398A" w:rsidRPr="00487209" w:rsidRDefault="009E398A"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27.4.</w:t>
            </w:r>
          </w:p>
        </w:tc>
        <w:tc>
          <w:tcPr>
            <w:tcW w:w="1369" w:type="pct"/>
            <w:gridSpan w:val="2"/>
            <w:shd w:val="clear" w:color="auto" w:fill="auto"/>
            <w:vAlign w:val="center"/>
          </w:tcPr>
          <w:p w14:paraId="0D8C3022" w14:textId="77777777" w:rsidR="009E398A" w:rsidRPr="00487209" w:rsidRDefault="009E398A"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Where the European standardisation bodies have established classes of performance in a harmonised standard, the organisation of TABs shall use those classes in the European Assessment Documents where they are relevant for the construction product.</w:t>
            </w:r>
          </w:p>
          <w:p w14:paraId="561F3E39" w14:textId="77777777" w:rsidR="009E398A" w:rsidRPr="00487209" w:rsidRDefault="009E398A"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When deemed appropriate, the organisation of TABs may, with the agreement of the Commission and after consulting the Standing Committee on Construction, establish in the European Assessment Document classes of performance and threshold levels in relation to the essential characteristics of a construction product within its intended use as foreseen by the manufacturer.</w:t>
            </w:r>
          </w:p>
          <w:p w14:paraId="07A3018E" w14:textId="77777777" w:rsidR="009E398A" w:rsidRPr="00487209" w:rsidRDefault="009E398A" w:rsidP="006C6323">
            <w:pPr>
              <w:jc w:val="both"/>
              <w:rPr>
                <w:rFonts w:ascii="Times New Roman" w:hAnsi="Times New Roman" w:cs="Times New Roman"/>
                <w:sz w:val="18"/>
                <w:szCs w:val="18"/>
                <w:lang w:val="sr-Cyrl-CS"/>
              </w:rPr>
            </w:pPr>
          </w:p>
        </w:tc>
        <w:tc>
          <w:tcPr>
            <w:tcW w:w="429" w:type="pct"/>
            <w:shd w:val="clear" w:color="auto" w:fill="auto"/>
            <w:vAlign w:val="center"/>
          </w:tcPr>
          <w:p w14:paraId="137F46D5" w14:textId="77777777" w:rsidR="009E398A" w:rsidRPr="00487209" w:rsidRDefault="009E398A" w:rsidP="006C6323">
            <w:pPr>
              <w:spacing w:before="120" w:after="120"/>
              <w:ind w:firstLine="5"/>
              <w:jc w:val="center"/>
              <w:rPr>
                <w:rFonts w:ascii="Times New Roman" w:hAnsi="Times New Roman" w:cs="Times New Roman"/>
                <w:sz w:val="18"/>
                <w:szCs w:val="18"/>
              </w:rPr>
            </w:pPr>
          </w:p>
        </w:tc>
        <w:tc>
          <w:tcPr>
            <w:tcW w:w="1231" w:type="pct"/>
            <w:gridSpan w:val="2"/>
            <w:shd w:val="clear" w:color="auto" w:fill="auto"/>
            <w:vAlign w:val="center"/>
          </w:tcPr>
          <w:p w14:paraId="14CD0D3B" w14:textId="77777777" w:rsidR="009E398A" w:rsidRPr="00487209" w:rsidRDefault="009E398A" w:rsidP="006C6323">
            <w:pPr>
              <w:pStyle w:val="Style7"/>
              <w:spacing w:before="240" w:after="0" w:line="240" w:lineRule="auto"/>
              <w:ind w:right="-23"/>
              <w:jc w:val="both"/>
              <w:outlineLvl w:val="3"/>
              <w:rPr>
                <w:sz w:val="18"/>
                <w:szCs w:val="18"/>
              </w:rPr>
            </w:pPr>
          </w:p>
        </w:tc>
        <w:tc>
          <w:tcPr>
            <w:tcW w:w="458" w:type="pct"/>
            <w:shd w:val="clear" w:color="auto" w:fill="auto"/>
            <w:vAlign w:val="center"/>
          </w:tcPr>
          <w:p w14:paraId="19815E96" w14:textId="77777777" w:rsidR="009E398A" w:rsidRPr="00487209" w:rsidRDefault="00611DA2"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НП</w:t>
            </w:r>
          </w:p>
        </w:tc>
        <w:tc>
          <w:tcPr>
            <w:tcW w:w="598" w:type="pct"/>
            <w:gridSpan w:val="2"/>
            <w:shd w:val="clear" w:color="auto" w:fill="auto"/>
            <w:vAlign w:val="center"/>
          </w:tcPr>
          <w:p w14:paraId="13166548" w14:textId="67AA8B0B" w:rsidR="009E398A" w:rsidRPr="00487209" w:rsidRDefault="00043DF8" w:rsidP="006C6323">
            <w:pPr>
              <w:spacing w:before="120" w:after="120"/>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611DA2" w:rsidRPr="00487209">
              <w:rPr>
                <w:rFonts w:ascii="Times New Roman" w:hAnsi="Times New Roman" w:cs="Times New Roman"/>
                <w:sz w:val="18"/>
                <w:szCs w:val="18"/>
                <w:lang w:val="ru-RU"/>
              </w:rPr>
              <w:t xml:space="preserve"> </w:t>
            </w:r>
            <w:r w:rsidR="00611DA2" w:rsidRPr="00487209">
              <w:rPr>
                <w:rFonts w:ascii="Times New Roman" w:hAnsi="Times New Roman" w:cs="Times New Roman"/>
                <w:sz w:val="18"/>
                <w:szCs w:val="18"/>
                <w:lang w:val="sr-Cyrl-CS"/>
              </w:rPr>
              <w:t>27.4. Уредбе 305/2011 (ЕУ) није пренет, јер се односи на обавезу организације ТАВ-ова</w:t>
            </w:r>
          </w:p>
        </w:tc>
        <w:tc>
          <w:tcPr>
            <w:tcW w:w="480" w:type="pct"/>
            <w:shd w:val="clear" w:color="auto" w:fill="auto"/>
            <w:vAlign w:val="center"/>
          </w:tcPr>
          <w:p w14:paraId="5D3824E4" w14:textId="77777777" w:rsidR="009E398A" w:rsidRPr="00487209" w:rsidRDefault="009E398A" w:rsidP="006C6323">
            <w:pPr>
              <w:spacing w:before="120" w:after="120"/>
              <w:jc w:val="center"/>
              <w:rPr>
                <w:rFonts w:ascii="Times New Roman" w:hAnsi="Times New Roman" w:cs="Times New Roman"/>
                <w:sz w:val="18"/>
                <w:szCs w:val="18"/>
                <w:lang w:val="ru-RU"/>
              </w:rPr>
            </w:pPr>
          </w:p>
        </w:tc>
      </w:tr>
      <w:tr w:rsidR="00337554" w:rsidRPr="00487209" w14:paraId="0FC368B1" w14:textId="77777777" w:rsidTr="007D5144">
        <w:trPr>
          <w:trHeight w:val="1970"/>
          <w:jc w:val="center"/>
        </w:trPr>
        <w:tc>
          <w:tcPr>
            <w:tcW w:w="435" w:type="pct"/>
            <w:shd w:val="clear" w:color="auto" w:fill="auto"/>
            <w:vAlign w:val="center"/>
          </w:tcPr>
          <w:p w14:paraId="767AFE48" w14:textId="77777777" w:rsidR="001566BB" w:rsidRPr="00487209" w:rsidRDefault="001566BB"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27.5.</w:t>
            </w:r>
          </w:p>
        </w:tc>
        <w:tc>
          <w:tcPr>
            <w:tcW w:w="1369" w:type="pct"/>
            <w:gridSpan w:val="2"/>
            <w:shd w:val="clear" w:color="auto" w:fill="auto"/>
            <w:vAlign w:val="center"/>
          </w:tcPr>
          <w:p w14:paraId="6779FA67" w14:textId="77777777" w:rsidR="001566BB" w:rsidRPr="00487209" w:rsidRDefault="001566BB"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Commission may adopt delegated acts in accordance with Article 60, to establish conditions under which a construction product shall be deemed to satisfy a certain level or class of performance without testing or without further testing.</w:t>
            </w:r>
          </w:p>
          <w:p w14:paraId="4D883123" w14:textId="77777777" w:rsidR="001566BB" w:rsidRPr="00487209" w:rsidRDefault="001566BB"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Where such conditions are not established by the Commission, they may be established by the European standardisation bodies in harmonised standards, on the basis of a revised mandate.</w:t>
            </w:r>
          </w:p>
          <w:p w14:paraId="7CD1DEE2" w14:textId="77777777" w:rsidR="001566BB" w:rsidRPr="00487209" w:rsidRDefault="001566BB" w:rsidP="006C6323">
            <w:pPr>
              <w:jc w:val="both"/>
              <w:rPr>
                <w:rFonts w:ascii="Times New Roman" w:hAnsi="Times New Roman" w:cs="Times New Roman"/>
                <w:sz w:val="18"/>
                <w:szCs w:val="18"/>
                <w:lang w:val="sr-Cyrl-CS"/>
              </w:rPr>
            </w:pPr>
          </w:p>
        </w:tc>
        <w:tc>
          <w:tcPr>
            <w:tcW w:w="429" w:type="pct"/>
            <w:shd w:val="clear" w:color="auto" w:fill="auto"/>
            <w:vAlign w:val="center"/>
          </w:tcPr>
          <w:p w14:paraId="1A6075C5" w14:textId="77777777" w:rsidR="001566BB" w:rsidRPr="00487209" w:rsidRDefault="001566BB"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0192CF2D" w14:textId="77777777" w:rsidR="001566BB" w:rsidRPr="00487209" w:rsidRDefault="001566BB" w:rsidP="006C6323">
            <w:pPr>
              <w:jc w:val="center"/>
              <w:rPr>
                <w:rFonts w:ascii="Times New Roman" w:hAnsi="Times New Roman" w:cs="Times New Roman"/>
                <w:sz w:val="18"/>
                <w:szCs w:val="18"/>
                <w:lang w:val="sr-Cyrl-CS"/>
              </w:rPr>
            </w:pPr>
          </w:p>
        </w:tc>
        <w:tc>
          <w:tcPr>
            <w:tcW w:w="458" w:type="pct"/>
            <w:shd w:val="clear" w:color="auto" w:fill="auto"/>
            <w:vAlign w:val="center"/>
          </w:tcPr>
          <w:p w14:paraId="7822A532" w14:textId="77777777" w:rsidR="001566BB" w:rsidRPr="00487209" w:rsidRDefault="001566BB"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642863AD" w14:textId="774D3118" w:rsidR="001566BB" w:rsidRPr="00487209" w:rsidRDefault="00043DF8" w:rsidP="006C6323">
            <w:pPr>
              <w:spacing w:before="120" w:after="120"/>
              <w:jc w:val="both"/>
              <w:rPr>
                <w:rFonts w:ascii="Times New Roman" w:hAnsi="Times New Roman" w:cs="Times New Roman"/>
                <w:sz w:val="18"/>
                <w:szCs w:val="18"/>
              </w:rPr>
            </w:pPr>
            <w:r>
              <w:rPr>
                <w:rFonts w:ascii="Times New Roman" w:hAnsi="Times New Roman" w:cs="Times New Roman"/>
                <w:sz w:val="18"/>
                <w:szCs w:val="18"/>
                <w:lang w:val="ru-RU"/>
              </w:rPr>
              <w:t>Члан</w:t>
            </w:r>
            <w:r w:rsidR="001566BB" w:rsidRPr="00487209">
              <w:rPr>
                <w:rFonts w:ascii="Times New Roman" w:hAnsi="Times New Roman" w:cs="Times New Roman"/>
                <w:sz w:val="18"/>
                <w:szCs w:val="18"/>
                <w:lang w:val="ru-RU"/>
              </w:rPr>
              <w:t xml:space="preserve"> </w:t>
            </w:r>
            <w:r w:rsidR="001566BB" w:rsidRPr="00487209">
              <w:rPr>
                <w:rFonts w:ascii="Times New Roman" w:hAnsi="Times New Roman" w:cs="Times New Roman"/>
                <w:sz w:val="18"/>
                <w:szCs w:val="18"/>
              </w:rPr>
              <w:t xml:space="preserve">27.5. </w:t>
            </w:r>
            <w:r w:rsidR="001566BB" w:rsidRPr="00487209">
              <w:rPr>
                <w:rFonts w:ascii="Times New Roman" w:hAnsi="Times New Roman" w:cs="Times New Roman"/>
                <w:sz w:val="18"/>
                <w:szCs w:val="18"/>
                <w:lang w:val="sr-Cyrl-CS"/>
              </w:rPr>
              <w:t>Уредбе 305/2011 (ЕУ) није пренет, јер се односи на обавезу Европске комисије и европских организација за стандардизацију</w:t>
            </w:r>
            <w:r w:rsidR="001566BB" w:rsidRPr="00487209">
              <w:rPr>
                <w:rFonts w:ascii="Times New Roman" w:hAnsi="Times New Roman" w:cs="Times New Roman"/>
                <w:bCs/>
                <w:sz w:val="18"/>
                <w:szCs w:val="18"/>
                <w:lang w:val="sr-Cyrl-CS"/>
              </w:rPr>
              <w:t>.</w:t>
            </w:r>
          </w:p>
        </w:tc>
        <w:tc>
          <w:tcPr>
            <w:tcW w:w="480" w:type="pct"/>
            <w:shd w:val="clear" w:color="auto" w:fill="auto"/>
            <w:vAlign w:val="center"/>
          </w:tcPr>
          <w:p w14:paraId="7C84DA9B" w14:textId="77777777" w:rsidR="001566BB" w:rsidRPr="00487209" w:rsidRDefault="001566BB" w:rsidP="006C6323">
            <w:pPr>
              <w:spacing w:before="120" w:after="120"/>
              <w:jc w:val="center"/>
              <w:rPr>
                <w:rFonts w:ascii="Times New Roman" w:hAnsi="Times New Roman" w:cs="Times New Roman"/>
                <w:sz w:val="18"/>
                <w:szCs w:val="18"/>
              </w:rPr>
            </w:pPr>
          </w:p>
        </w:tc>
      </w:tr>
      <w:tr w:rsidR="00337554" w:rsidRPr="00487209" w14:paraId="7789C31E" w14:textId="77777777" w:rsidTr="007D5144">
        <w:trPr>
          <w:trHeight w:val="1970"/>
          <w:jc w:val="center"/>
        </w:trPr>
        <w:tc>
          <w:tcPr>
            <w:tcW w:w="435" w:type="pct"/>
            <w:shd w:val="clear" w:color="auto" w:fill="auto"/>
            <w:vAlign w:val="center"/>
          </w:tcPr>
          <w:p w14:paraId="569415DB" w14:textId="77777777" w:rsidR="00073EA1" w:rsidRPr="00487209" w:rsidRDefault="00073EA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27.6.</w:t>
            </w:r>
          </w:p>
        </w:tc>
        <w:tc>
          <w:tcPr>
            <w:tcW w:w="1369" w:type="pct"/>
            <w:gridSpan w:val="2"/>
            <w:shd w:val="clear" w:color="auto" w:fill="auto"/>
            <w:vAlign w:val="center"/>
          </w:tcPr>
          <w:p w14:paraId="0A175E4F" w14:textId="77777777" w:rsidR="00073EA1" w:rsidRPr="00487209" w:rsidRDefault="00073EA1" w:rsidP="006C6323">
            <w:pPr>
              <w:jc w:val="both"/>
              <w:rPr>
                <w:rFonts w:ascii="Times New Roman" w:hAnsi="Times New Roman" w:cs="Times New Roman"/>
                <w:sz w:val="18"/>
                <w:szCs w:val="18"/>
              </w:rPr>
            </w:pPr>
            <w:r w:rsidRPr="00487209">
              <w:rPr>
                <w:rFonts w:ascii="Times New Roman" w:hAnsi="Times New Roman" w:cs="Times New Roman"/>
                <w:sz w:val="18"/>
                <w:szCs w:val="18"/>
              </w:rPr>
              <w:t> When the Commission has established classification systems in accordance with paragraph 1, Member States may determine the levels or classes of performance to be respected by construction products in relation to their essential characteristics only in accordance with those classification systems.</w:t>
            </w:r>
          </w:p>
        </w:tc>
        <w:tc>
          <w:tcPr>
            <w:tcW w:w="429" w:type="pct"/>
            <w:shd w:val="clear" w:color="auto" w:fill="auto"/>
            <w:vAlign w:val="center"/>
          </w:tcPr>
          <w:p w14:paraId="3D89B7D1" w14:textId="77777777" w:rsidR="00073EA1" w:rsidRPr="00487209" w:rsidRDefault="00073EA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675DB2D4" w14:textId="77777777" w:rsidR="00073EA1" w:rsidRPr="00487209" w:rsidRDefault="00073EA1" w:rsidP="006C6323">
            <w:pPr>
              <w:jc w:val="center"/>
              <w:rPr>
                <w:rFonts w:ascii="Times New Roman" w:hAnsi="Times New Roman" w:cs="Times New Roman"/>
                <w:sz w:val="18"/>
                <w:szCs w:val="18"/>
                <w:lang w:val="sr-Cyrl-CS"/>
              </w:rPr>
            </w:pPr>
          </w:p>
        </w:tc>
        <w:tc>
          <w:tcPr>
            <w:tcW w:w="458" w:type="pct"/>
            <w:shd w:val="clear" w:color="auto" w:fill="auto"/>
            <w:vAlign w:val="center"/>
          </w:tcPr>
          <w:p w14:paraId="10A24A0F" w14:textId="77777777" w:rsidR="00073EA1" w:rsidRPr="00487209" w:rsidRDefault="00073EA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3CFFC929" w14:textId="221C2B12" w:rsidR="00073EA1" w:rsidRPr="00487209" w:rsidRDefault="00043DF8" w:rsidP="006C6323">
            <w:pPr>
              <w:spacing w:before="120" w:after="120"/>
              <w:jc w:val="both"/>
              <w:rPr>
                <w:rFonts w:ascii="Times New Roman" w:hAnsi="Times New Roman" w:cs="Times New Roman"/>
                <w:sz w:val="18"/>
                <w:szCs w:val="18"/>
              </w:rPr>
            </w:pPr>
            <w:r>
              <w:rPr>
                <w:rFonts w:ascii="Times New Roman" w:hAnsi="Times New Roman" w:cs="Times New Roman"/>
                <w:sz w:val="18"/>
                <w:szCs w:val="18"/>
                <w:lang w:val="ru-RU"/>
              </w:rPr>
              <w:t>Члан</w:t>
            </w:r>
            <w:r w:rsidR="00073EA1" w:rsidRPr="00487209">
              <w:rPr>
                <w:rFonts w:ascii="Times New Roman" w:hAnsi="Times New Roman" w:cs="Times New Roman"/>
                <w:sz w:val="18"/>
                <w:szCs w:val="18"/>
                <w:lang w:val="ru-RU"/>
              </w:rPr>
              <w:t xml:space="preserve"> </w:t>
            </w:r>
            <w:r w:rsidR="00073EA1" w:rsidRPr="00487209">
              <w:rPr>
                <w:rFonts w:ascii="Times New Roman" w:hAnsi="Times New Roman" w:cs="Times New Roman"/>
                <w:sz w:val="18"/>
                <w:szCs w:val="18"/>
              </w:rPr>
              <w:t xml:space="preserve">27.6. </w:t>
            </w:r>
            <w:r w:rsidR="00073EA1" w:rsidRPr="00487209">
              <w:rPr>
                <w:rFonts w:ascii="Times New Roman" w:hAnsi="Times New Roman" w:cs="Times New Roman"/>
                <w:sz w:val="18"/>
                <w:szCs w:val="18"/>
                <w:lang w:val="sr-Cyrl-CS"/>
              </w:rPr>
              <w:t xml:space="preserve">Уредбе 305/2011 (ЕУ) није пренет, јер се односи на обавезу Европске комисије и </w:t>
            </w:r>
            <w:r w:rsidR="00A01384" w:rsidRPr="00487209">
              <w:rPr>
                <w:rFonts w:ascii="Times New Roman" w:hAnsi="Times New Roman" w:cs="Times New Roman"/>
                <w:sz w:val="18"/>
                <w:szCs w:val="18"/>
                <w:lang w:val="sr-Cyrl-CS"/>
              </w:rPr>
              <w:t>држава чланица</w:t>
            </w:r>
            <w:r w:rsidR="00073EA1" w:rsidRPr="00487209">
              <w:rPr>
                <w:rFonts w:ascii="Times New Roman" w:hAnsi="Times New Roman" w:cs="Times New Roman"/>
                <w:bCs/>
                <w:sz w:val="18"/>
                <w:szCs w:val="18"/>
                <w:lang w:val="sr-Cyrl-CS"/>
              </w:rPr>
              <w:t>.</w:t>
            </w:r>
          </w:p>
        </w:tc>
        <w:tc>
          <w:tcPr>
            <w:tcW w:w="480" w:type="pct"/>
            <w:shd w:val="clear" w:color="auto" w:fill="auto"/>
            <w:vAlign w:val="center"/>
          </w:tcPr>
          <w:p w14:paraId="3BD50E13" w14:textId="77777777" w:rsidR="00073EA1" w:rsidRPr="00487209" w:rsidRDefault="00073EA1" w:rsidP="006C6323">
            <w:pPr>
              <w:spacing w:before="120" w:after="120"/>
              <w:jc w:val="center"/>
              <w:rPr>
                <w:rFonts w:ascii="Times New Roman" w:hAnsi="Times New Roman" w:cs="Times New Roman"/>
                <w:sz w:val="18"/>
                <w:szCs w:val="18"/>
              </w:rPr>
            </w:pPr>
          </w:p>
        </w:tc>
      </w:tr>
      <w:tr w:rsidR="00337554" w:rsidRPr="00487209" w14:paraId="1E855166" w14:textId="77777777" w:rsidTr="007D5144">
        <w:trPr>
          <w:trHeight w:val="1970"/>
          <w:jc w:val="center"/>
        </w:trPr>
        <w:tc>
          <w:tcPr>
            <w:tcW w:w="435" w:type="pct"/>
            <w:shd w:val="clear" w:color="auto" w:fill="auto"/>
            <w:vAlign w:val="center"/>
          </w:tcPr>
          <w:p w14:paraId="7B0F5C64" w14:textId="77777777" w:rsidR="00A01384" w:rsidRPr="00487209" w:rsidRDefault="00A01384"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27.7.</w:t>
            </w:r>
          </w:p>
        </w:tc>
        <w:tc>
          <w:tcPr>
            <w:tcW w:w="1369" w:type="pct"/>
            <w:gridSpan w:val="2"/>
            <w:shd w:val="clear" w:color="auto" w:fill="auto"/>
            <w:vAlign w:val="center"/>
          </w:tcPr>
          <w:p w14:paraId="17586A55" w14:textId="77777777" w:rsidR="00A01384" w:rsidRPr="00487209" w:rsidRDefault="00A01384" w:rsidP="006C6323">
            <w:pPr>
              <w:jc w:val="both"/>
              <w:rPr>
                <w:rFonts w:ascii="Times New Roman" w:hAnsi="Times New Roman" w:cs="Times New Roman"/>
                <w:sz w:val="18"/>
                <w:szCs w:val="18"/>
              </w:rPr>
            </w:pPr>
            <w:r w:rsidRPr="00487209">
              <w:rPr>
                <w:rFonts w:ascii="Times New Roman" w:hAnsi="Times New Roman" w:cs="Times New Roman"/>
                <w:sz w:val="18"/>
                <w:szCs w:val="18"/>
              </w:rPr>
              <w:t>The European standardisation bodies and the organisation of TABs shall respect the regulatory needs of Member States when determining threshold levels or classes of performance.</w:t>
            </w:r>
          </w:p>
        </w:tc>
        <w:tc>
          <w:tcPr>
            <w:tcW w:w="429" w:type="pct"/>
            <w:shd w:val="clear" w:color="auto" w:fill="auto"/>
            <w:vAlign w:val="center"/>
          </w:tcPr>
          <w:p w14:paraId="35F3F80D" w14:textId="77777777" w:rsidR="00A01384" w:rsidRPr="00487209" w:rsidRDefault="00A01384"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6B7FD4E6" w14:textId="77777777" w:rsidR="00A01384" w:rsidRPr="00487209" w:rsidRDefault="00A01384" w:rsidP="006C6323">
            <w:pPr>
              <w:jc w:val="center"/>
              <w:rPr>
                <w:rFonts w:ascii="Times New Roman" w:hAnsi="Times New Roman" w:cs="Times New Roman"/>
                <w:sz w:val="18"/>
                <w:szCs w:val="18"/>
                <w:lang w:val="sr-Cyrl-CS"/>
              </w:rPr>
            </w:pPr>
          </w:p>
        </w:tc>
        <w:tc>
          <w:tcPr>
            <w:tcW w:w="458" w:type="pct"/>
            <w:shd w:val="clear" w:color="auto" w:fill="auto"/>
            <w:vAlign w:val="center"/>
          </w:tcPr>
          <w:p w14:paraId="22177504" w14:textId="77777777" w:rsidR="00A01384" w:rsidRPr="00487209" w:rsidRDefault="00A01384"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37AA6E08" w14:textId="4750576B" w:rsidR="00857DB1" w:rsidRPr="00487209" w:rsidRDefault="00043DF8" w:rsidP="006C6323">
            <w:pPr>
              <w:spacing w:before="120" w:after="120"/>
              <w:jc w:val="both"/>
              <w:rPr>
                <w:rFonts w:ascii="Times New Roman" w:hAnsi="Times New Roman" w:cs="Times New Roman"/>
                <w:bCs/>
                <w:sz w:val="18"/>
                <w:szCs w:val="18"/>
                <w:lang w:val="sr-Cyrl-CS"/>
              </w:rPr>
            </w:pPr>
            <w:r>
              <w:rPr>
                <w:rFonts w:ascii="Times New Roman" w:hAnsi="Times New Roman" w:cs="Times New Roman"/>
                <w:sz w:val="18"/>
                <w:szCs w:val="18"/>
                <w:lang w:val="ru-RU"/>
              </w:rPr>
              <w:t>Члан</w:t>
            </w:r>
            <w:r w:rsidR="00A01384" w:rsidRPr="00487209">
              <w:rPr>
                <w:rFonts w:ascii="Times New Roman" w:hAnsi="Times New Roman" w:cs="Times New Roman"/>
                <w:sz w:val="18"/>
                <w:szCs w:val="18"/>
                <w:lang w:val="ru-RU"/>
              </w:rPr>
              <w:t xml:space="preserve"> </w:t>
            </w:r>
            <w:r w:rsidR="00A01384" w:rsidRPr="00487209">
              <w:rPr>
                <w:rFonts w:ascii="Times New Roman" w:hAnsi="Times New Roman" w:cs="Times New Roman"/>
                <w:sz w:val="18"/>
                <w:szCs w:val="18"/>
              </w:rPr>
              <w:t xml:space="preserve">27.7. </w:t>
            </w:r>
            <w:r w:rsidR="00A01384" w:rsidRPr="00487209">
              <w:rPr>
                <w:rFonts w:ascii="Times New Roman" w:hAnsi="Times New Roman" w:cs="Times New Roman"/>
                <w:sz w:val="18"/>
                <w:szCs w:val="18"/>
                <w:lang w:val="sr-Cyrl-CS"/>
              </w:rPr>
              <w:t>Уредбе 305/2011 (ЕУ) није пренет, јер се односи на обавезу европских организација за стандардизацију</w:t>
            </w:r>
            <w:r w:rsidR="00A01384" w:rsidRPr="00487209">
              <w:rPr>
                <w:rFonts w:ascii="Times New Roman" w:hAnsi="Times New Roman" w:cs="Times New Roman"/>
                <w:bCs/>
                <w:sz w:val="18"/>
                <w:szCs w:val="18"/>
                <w:lang w:val="sr-Cyrl-CS"/>
              </w:rPr>
              <w:t>.</w:t>
            </w:r>
          </w:p>
        </w:tc>
        <w:tc>
          <w:tcPr>
            <w:tcW w:w="480" w:type="pct"/>
            <w:shd w:val="clear" w:color="auto" w:fill="auto"/>
            <w:vAlign w:val="center"/>
          </w:tcPr>
          <w:p w14:paraId="204BFF13" w14:textId="77777777" w:rsidR="00A01384" w:rsidRPr="00487209" w:rsidRDefault="00A01384" w:rsidP="006C6323">
            <w:pPr>
              <w:spacing w:before="120" w:after="120"/>
              <w:jc w:val="center"/>
              <w:rPr>
                <w:rFonts w:ascii="Times New Roman" w:hAnsi="Times New Roman" w:cs="Times New Roman"/>
                <w:sz w:val="18"/>
                <w:szCs w:val="18"/>
              </w:rPr>
            </w:pPr>
          </w:p>
        </w:tc>
      </w:tr>
      <w:tr w:rsidR="00337554" w:rsidRPr="00487209" w14:paraId="47B5BF49" w14:textId="77777777" w:rsidTr="007D5144">
        <w:trPr>
          <w:trHeight w:val="1970"/>
          <w:jc w:val="center"/>
        </w:trPr>
        <w:tc>
          <w:tcPr>
            <w:tcW w:w="435" w:type="pct"/>
            <w:shd w:val="clear" w:color="auto" w:fill="auto"/>
            <w:vAlign w:val="center"/>
          </w:tcPr>
          <w:p w14:paraId="7B907331" w14:textId="77777777" w:rsidR="00175EE5" w:rsidRPr="00487209" w:rsidRDefault="00175EE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28.1.</w:t>
            </w:r>
          </w:p>
        </w:tc>
        <w:tc>
          <w:tcPr>
            <w:tcW w:w="1369" w:type="pct"/>
            <w:gridSpan w:val="2"/>
            <w:shd w:val="clear" w:color="auto" w:fill="auto"/>
            <w:vAlign w:val="center"/>
          </w:tcPr>
          <w:p w14:paraId="6FA02764" w14:textId="77777777" w:rsidR="00175EE5" w:rsidRPr="00487209" w:rsidRDefault="00175EE5" w:rsidP="006C6323">
            <w:pPr>
              <w:jc w:val="both"/>
              <w:rPr>
                <w:rFonts w:ascii="Times New Roman" w:hAnsi="Times New Roman" w:cs="Times New Roman"/>
                <w:sz w:val="18"/>
                <w:szCs w:val="18"/>
              </w:rPr>
            </w:pPr>
            <w:r w:rsidRPr="00487209">
              <w:rPr>
                <w:rFonts w:ascii="Times New Roman" w:hAnsi="Times New Roman" w:cs="Times New Roman"/>
                <w:sz w:val="18"/>
                <w:szCs w:val="18"/>
              </w:rPr>
              <w:t>Assessment and verification of constancy of performance of construction products in relation to their essential characteristics shall be carried out in accordance with one of the systems set out in Annex V.</w:t>
            </w:r>
          </w:p>
        </w:tc>
        <w:tc>
          <w:tcPr>
            <w:tcW w:w="429" w:type="pct"/>
            <w:shd w:val="clear" w:color="auto" w:fill="auto"/>
            <w:vAlign w:val="center"/>
          </w:tcPr>
          <w:p w14:paraId="6E142CA0" w14:textId="618235E9" w:rsidR="00E00E95"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5B5B258D" w14:textId="77777777" w:rsidR="00631FDF" w:rsidRPr="00487209" w:rsidRDefault="00631FDF" w:rsidP="006C6323">
            <w:pPr>
              <w:spacing w:before="120" w:after="120"/>
              <w:jc w:val="center"/>
              <w:rPr>
                <w:rFonts w:ascii="Times New Roman" w:hAnsi="Times New Roman" w:cs="Times New Roman"/>
                <w:sz w:val="18"/>
                <w:szCs w:val="18"/>
                <w:lang w:val="sr-Cyrl-CS"/>
              </w:rPr>
            </w:pPr>
          </w:p>
          <w:p w14:paraId="4E93BF43" w14:textId="5DF03A4B" w:rsidR="00175EE5" w:rsidRDefault="00E00E95"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es-ES"/>
              </w:rPr>
              <w:t xml:space="preserve"> </w:t>
            </w:r>
            <w:r w:rsidR="00884269" w:rsidRPr="00487209">
              <w:rPr>
                <w:rFonts w:ascii="Times New Roman" w:hAnsi="Times New Roman" w:cs="Times New Roman"/>
                <w:sz w:val="18"/>
                <w:szCs w:val="18"/>
                <w:lang w:val="es-ES"/>
              </w:rPr>
              <w:t>29.1</w:t>
            </w:r>
            <w:r w:rsidR="00301F08" w:rsidRPr="00487209">
              <w:rPr>
                <w:rFonts w:ascii="Times New Roman" w:hAnsi="Times New Roman" w:cs="Times New Roman"/>
                <w:sz w:val="18"/>
                <w:szCs w:val="18"/>
                <w:lang w:val="ru-RU"/>
              </w:rPr>
              <w:t>.</w:t>
            </w:r>
          </w:p>
          <w:p w14:paraId="63F941BC" w14:textId="3FC17F3D" w:rsidR="00631FDF" w:rsidRDefault="00631FDF" w:rsidP="006C6323">
            <w:pPr>
              <w:spacing w:before="120" w:after="120"/>
              <w:ind w:firstLine="5"/>
              <w:jc w:val="center"/>
              <w:rPr>
                <w:rFonts w:ascii="Times New Roman" w:hAnsi="Times New Roman" w:cs="Times New Roman"/>
                <w:sz w:val="18"/>
                <w:szCs w:val="18"/>
                <w:lang w:val="ru-RU"/>
              </w:rPr>
            </w:pPr>
          </w:p>
          <w:p w14:paraId="1700D55D" w14:textId="1F9D8C93" w:rsidR="00631FDF" w:rsidRPr="00487209" w:rsidRDefault="00631FDF" w:rsidP="006C6323">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29.5.</w:t>
            </w:r>
          </w:p>
        </w:tc>
        <w:tc>
          <w:tcPr>
            <w:tcW w:w="1231" w:type="pct"/>
            <w:gridSpan w:val="2"/>
            <w:shd w:val="clear" w:color="auto" w:fill="auto"/>
            <w:vAlign w:val="center"/>
          </w:tcPr>
          <w:p w14:paraId="0BD9C056" w14:textId="44640269" w:rsidR="00175EE5" w:rsidRDefault="00631FDF" w:rsidP="001E527B">
            <w:pPr>
              <w:jc w:val="both"/>
              <w:rPr>
                <w:rFonts w:ascii="Times New Roman" w:hAnsi="Times New Roman" w:cs="Times New Roman"/>
                <w:sz w:val="18"/>
                <w:szCs w:val="18"/>
                <w:lang w:val="sr-Cyrl-CS"/>
              </w:rPr>
            </w:pPr>
            <w:r w:rsidRPr="00631FDF">
              <w:rPr>
                <w:rFonts w:ascii="Times New Roman" w:eastAsia="Batang" w:hAnsi="Times New Roman" w:cs="Times New Roman"/>
                <w:sz w:val="18"/>
                <w:szCs w:val="18"/>
                <w:lang w:eastAsia="ko-KR"/>
              </w:rPr>
              <w:t>Оцењивање и верификација сталности перформанси грађевинског производа у вези са његовим битним карактеристикама спроводи се у складу са једним од система оцењивања и верфикације сталности перформанси: систем 1+, систем 1, систем 2+, систем 3 и систем 4.</w:t>
            </w:r>
          </w:p>
          <w:p w14:paraId="5D33E983" w14:textId="77777777" w:rsidR="00631FDF" w:rsidRDefault="00631FDF" w:rsidP="001E527B">
            <w:pPr>
              <w:jc w:val="both"/>
              <w:rPr>
                <w:rFonts w:ascii="Times New Roman" w:hAnsi="Times New Roman" w:cs="Times New Roman"/>
                <w:sz w:val="18"/>
                <w:szCs w:val="18"/>
                <w:lang w:val="sr-Cyrl-CS"/>
              </w:rPr>
            </w:pPr>
          </w:p>
          <w:p w14:paraId="7F1AD8CD" w14:textId="5C57C259" w:rsidR="00631FDF" w:rsidRPr="00487209" w:rsidRDefault="00631FDF" w:rsidP="001E527B">
            <w:pPr>
              <w:jc w:val="both"/>
              <w:rPr>
                <w:rFonts w:ascii="Times New Roman" w:hAnsi="Times New Roman" w:cs="Times New Roman"/>
                <w:sz w:val="18"/>
                <w:szCs w:val="18"/>
                <w:lang w:val="sr-Cyrl-CS"/>
              </w:rPr>
            </w:pPr>
            <w:r w:rsidRPr="00631FDF">
              <w:rPr>
                <w:rFonts w:ascii="Times New Roman" w:hAnsi="Times New Roman" w:cs="Times New Roman"/>
                <w:sz w:val="18"/>
                <w:szCs w:val="18"/>
                <w:lang w:val="sr-Cyrl-CS"/>
              </w:rPr>
              <w:t>Министар надлежан 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садржину и врсте докумената о оцењивању и верификацији сталности перформанси у зависности од примењеног система оцењивања и верификације сталности перформанси утврђеног техничком спецификацијом или техничким прописом којим је обухваћен грађевински производ.</w:t>
            </w:r>
          </w:p>
        </w:tc>
        <w:tc>
          <w:tcPr>
            <w:tcW w:w="458" w:type="pct"/>
            <w:shd w:val="clear" w:color="auto" w:fill="auto"/>
            <w:vAlign w:val="center"/>
          </w:tcPr>
          <w:p w14:paraId="43FC3BEA" w14:textId="77777777" w:rsidR="00175EE5" w:rsidRPr="00487209" w:rsidRDefault="00301F08"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3E935B32" w14:textId="77777777" w:rsidR="00175EE5" w:rsidRPr="00487209" w:rsidRDefault="00175EE5"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61E692D" w14:textId="77777777" w:rsidR="00175EE5" w:rsidRPr="00487209" w:rsidRDefault="00175EE5" w:rsidP="006C6323">
            <w:pPr>
              <w:spacing w:before="120" w:after="120"/>
              <w:jc w:val="center"/>
              <w:rPr>
                <w:rFonts w:ascii="Times New Roman" w:hAnsi="Times New Roman" w:cs="Times New Roman"/>
                <w:sz w:val="18"/>
                <w:szCs w:val="18"/>
                <w:lang w:val="ru-RU"/>
              </w:rPr>
            </w:pPr>
          </w:p>
        </w:tc>
      </w:tr>
      <w:tr w:rsidR="00337554" w:rsidRPr="00487209" w14:paraId="0B517379" w14:textId="77777777" w:rsidTr="007D5144">
        <w:trPr>
          <w:trHeight w:val="1338"/>
          <w:jc w:val="center"/>
        </w:trPr>
        <w:tc>
          <w:tcPr>
            <w:tcW w:w="435" w:type="pct"/>
            <w:shd w:val="clear" w:color="auto" w:fill="auto"/>
            <w:vAlign w:val="center"/>
          </w:tcPr>
          <w:p w14:paraId="2278287E" w14:textId="77777777" w:rsidR="00967606" w:rsidRPr="00487209" w:rsidRDefault="00967606"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28.2.</w:t>
            </w:r>
          </w:p>
        </w:tc>
        <w:tc>
          <w:tcPr>
            <w:tcW w:w="1369" w:type="pct"/>
            <w:gridSpan w:val="2"/>
            <w:shd w:val="clear" w:color="auto" w:fill="auto"/>
            <w:vAlign w:val="center"/>
          </w:tcPr>
          <w:p w14:paraId="76B61C7F" w14:textId="77777777" w:rsidR="00967606" w:rsidRPr="00487209" w:rsidRDefault="00967606"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By means of delegated acts in accordance with Article 60, the Commission shall establish and may revise, taking into account in particular the effect on the health and safety of people, and on the environment, which system or systems are applicable to a given construction product or family of construction products or a </w:t>
            </w:r>
            <w:r w:rsidRPr="00487209">
              <w:rPr>
                <w:rFonts w:ascii="Times New Roman" w:hAnsi="Times New Roman" w:cs="Times New Roman"/>
                <w:sz w:val="18"/>
                <w:szCs w:val="18"/>
                <w:lang w:val="sr-Cyrl-CS"/>
              </w:rPr>
              <w:lastRenderedPageBreak/>
              <w:t>given essential characteristic. In doing so, the Commission shall also take into account the documented experiences forwarded by national authorities with regard to market surveillance.</w:t>
            </w:r>
          </w:p>
          <w:p w14:paraId="43703337" w14:textId="77777777" w:rsidR="00967606" w:rsidRPr="00487209" w:rsidRDefault="00967606"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Commission shall choose the least onerous system or systems consistent with the fulfilment of all basic requirements for construction works.</w:t>
            </w:r>
          </w:p>
        </w:tc>
        <w:tc>
          <w:tcPr>
            <w:tcW w:w="429" w:type="pct"/>
            <w:shd w:val="clear" w:color="auto" w:fill="auto"/>
            <w:vAlign w:val="center"/>
          </w:tcPr>
          <w:p w14:paraId="4269A138" w14:textId="1C51C0FE" w:rsidR="00E00E95"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01</w:t>
            </w:r>
          </w:p>
          <w:p w14:paraId="695AABD2" w14:textId="30DA6B4A" w:rsidR="00967606" w:rsidRPr="00487209" w:rsidRDefault="00E00E95" w:rsidP="006C6323">
            <w:pPr>
              <w:spacing w:before="120" w:after="120"/>
              <w:ind w:firstLine="5"/>
              <w:jc w:val="center"/>
              <w:rPr>
                <w:rFonts w:ascii="Times New Roman" w:hAnsi="Times New Roman" w:cs="Times New Roman"/>
                <w:sz w:val="18"/>
                <w:szCs w:val="18"/>
                <w:lang w:val="es-ES"/>
              </w:rPr>
            </w:pPr>
            <w:r w:rsidRPr="00487209">
              <w:rPr>
                <w:rFonts w:ascii="Times New Roman" w:hAnsi="Times New Roman" w:cs="Times New Roman"/>
                <w:sz w:val="18"/>
                <w:szCs w:val="18"/>
                <w:lang w:val="es-ES"/>
              </w:rPr>
              <w:t xml:space="preserve"> </w:t>
            </w:r>
            <w:r w:rsidR="00884269" w:rsidRPr="00487209">
              <w:rPr>
                <w:rFonts w:ascii="Times New Roman" w:hAnsi="Times New Roman" w:cs="Times New Roman"/>
                <w:sz w:val="18"/>
                <w:szCs w:val="18"/>
                <w:lang w:val="es-ES"/>
              </w:rPr>
              <w:t>29.</w:t>
            </w:r>
            <w:r w:rsidR="001E527B" w:rsidRPr="00487209">
              <w:rPr>
                <w:rFonts w:ascii="Times New Roman" w:hAnsi="Times New Roman" w:cs="Times New Roman"/>
                <w:sz w:val="18"/>
                <w:szCs w:val="18"/>
                <w:lang w:val="es-ES"/>
              </w:rPr>
              <w:t>6</w:t>
            </w:r>
            <w:r w:rsidR="00884269" w:rsidRPr="00487209">
              <w:rPr>
                <w:rFonts w:ascii="Times New Roman" w:hAnsi="Times New Roman" w:cs="Times New Roman"/>
                <w:sz w:val="18"/>
                <w:szCs w:val="18"/>
                <w:lang w:val="es-ES"/>
              </w:rPr>
              <w:t>.</w:t>
            </w:r>
          </w:p>
          <w:p w14:paraId="567E8642" w14:textId="77777777" w:rsidR="00C1435E" w:rsidRPr="00487209" w:rsidRDefault="00C1435E" w:rsidP="006C6323">
            <w:pPr>
              <w:spacing w:before="120" w:after="120"/>
              <w:ind w:firstLine="5"/>
              <w:jc w:val="center"/>
              <w:rPr>
                <w:rFonts w:ascii="Times New Roman" w:hAnsi="Times New Roman" w:cs="Times New Roman"/>
                <w:sz w:val="18"/>
                <w:szCs w:val="18"/>
                <w:lang w:val="es-ES"/>
              </w:rPr>
            </w:pPr>
          </w:p>
          <w:p w14:paraId="4EF16C31" w14:textId="5DE211C2" w:rsidR="00C1435E" w:rsidRPr="00487209" w:rsidRDefault="00C1435E" w:rsidP="001E527B">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29.</w:t>
            </w:r>
            <w:r w:rsidR="001E527B" w:rsidRPr="00487209">
              <w:rPr>
                <w:rFonts w:ascii="Times New Roman" w:hAnsi="Times New Roman" w:cs="Times New Roman"/>
                <w:sz w:val="18"/>
                <w:szCs w:val="18"/>
                <w:lang w:val="sr-Latn-CS"/>
              </w:rPr>
              <w:t>7</w:t>
            </w:r>
            <w:r w:rsidRPr="00487209">
              <w:rPr>
                <w:rFonts w:ascii="Times New Roman" w:hAnsi="Times New Roman" w:cs="Times New Roman"/>
                <w:sz w:val="18"/>
                <w:szCs w:val="18"/>
                <w:lang w:val="sr-Cyrl-CS"/>
              </w:rPr>
              <w:t>.</w:t>
            </w:r>
          </w:p>
        </w:tc>
        <w:tc>
          <w:tcPr>
            <w:tcW w:w="1231" w:type="pct"/>
            <w:gridSpan w:val="2"/>
            <w:shd w:val="clear" w:color="auto" w:fill="auto"/>
            <w:vAlign w:val="center"/>
          </w:tcPr>
          <w:p w14:paraId="5A8BED37" w14:textId="27467CDA" w:rsidR="00631FDF" w:rsidRDefault="00631FDF" w:rsidP="001E527B">
            <w:pPr>
              <w:spacing w:before="120"/>
              <w:ind w:right="-23"/>
              <w:outlineLvl w:val="3"/>
              <w:rPr>
                <w:rFonts w:ascii="Times New Roman" w:eastAsia="Batang" w:hAnsi="Times New Roman" w:cs="Times New Roman"/>
                <w:sz w:val="18"/>
                <w:szCs w:val="18"/>
                <w:lang w:eastAsia="ko-KR"/>
              </w:rPr>
            </w:pPr>
            <w:r w:rsidRPr="00631FDF">
              <w:rPr>
                <w:rFonts w:ascii="Times New Roman" w:eastAsia="Batang" w:hAnsi="Times New Roman" w:cs="Times New Roman"/>
                <w:sz w:val="18"/>
                <w:szCs w:val="18"/>
                <w:lang w:eastAsia="ko-KR"/>
              </w:rPr>
              <w:t xml:space="preserve">Министар надлежан за послове грађевинарства техничким прописом може да пропише или измени систем оцењивања и верификације сталности перформанси који ће се примењивати на грађевински производ или фамилију </w:t>
            </w:r>
            <w:r w:rsidRPr="00631FDF">
              <w:rPr>
                <w:rFonts w:ascii="Times New Roman" w:eastAsia="Batang" w:hAnsi="Times New Roman" w:cs="Times New Roman"/>
                <w:sz w:val="18"/>
                <w:szCs w:val="18"/>
                <w:lang w:eastAsia="ko-KR"/>
              </w:rPr>
              <w:lastRenderedPageBreak/>
              <w:t>грађевинских производа обухваћених српским стандардом са Списка 1 или битне карактеристике грађевинског производа, утврђене српским стандардом са Списка 1, узимајући у обзир, нарочито, утицај на здравље и безбедност људи и животну средину.</w:t>
            </w:r>
          </w:p>
          <w:p w14:paraId="36E02FB2" w14:textId="5DD226C5" w:rsidR="00967606" w:rsidRPr="00487209" w:rsidRDefault="00631FDF" w:rsidP="001E527B">
            <w:pPr>
              <w:spacing w:before="120"/>
              <w:ind w:right="-23"/>
              <w:outlineLvl w:val="3"/>
              <w:rPr>
                <w:rFonts w:ascii="Times New Roman" w:eastAsia="Batang" w:hAnsi="Times New Roman" w:cs="Times New Roman"/>
                <w:sz w:val="18"/>
                <w:szCs w:val="18"/>
                <w:lang w:eastAsia="ko-KR"/>
              </w:rPr>
            </w:pPr>
            <w:r w:rsidRPr="00631FDF">
              <w:rPr>
                <w:rFonts w:ascii="Times New Roman" w:eastAsia="Batang" w:hAnsi="Times New Roman" w:cs="Times New Roman"/>
                <w:sz w:val="18"/>
                <w:szCs w:val="18"/>
                <w:lang w:eastAsia="ko-KR"/>
              </w:rPr>
              <w:t>Министар надлежaн за послове грађевинарства прописује систем или системе оцењивања и верификације сталаности перформасни који ће се примењивати на грађевински производ или фамилију грађевинских производа обухваћених српским стандардом на који се позива технички пропис или техничким прописом или битне карактеристике грађевинског производа, утврђене српским стандардом на који се позива технички пропис, узимајући у обзир, нарочито, утицај на здравље и безбедност људи и животну средину.</w:t>
            </w:r>
          </w:p>
        </w:tc>
        <w:tc>
          <w:tcPr>
            <w:tcW w:w="458" w:type="pct"/>
            <w:shd w:val="clear" w:color="auto" w:fill="auto"/>
            <w:vAlign w:val="center"/>
          </w:tcPr>
          <w:p w14:paraId="5192A02C" w14:textId="77777777" w:rsidR="00967606" w:rsidRPr="00487209" w:rsidRDefault="00967606"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ДУ</w:t>
            </w:r>
          </w:p>
        </w:tc>
        <w:tc>
          <w:tcPr>
            <w:tcW w:w="598" w:type="pct"/>
            <w:gridSpan w:val="2"/>
            <w:shd w:val="clear" w:color="auto" w:fill="auto"/>
            <w:vAlign w:val="center"/>
          </w:tcPr>
          <w:p w14:paraId="01179007" w14:textId="77777777" w:rsidR="00857DB1" w:rsidRPr="00487209" w:rsidRDefault="00857DB1" w:rsidP="006C6323">
            <w:pPr>
              <w:spacing w:before="120" w:after="120"/>
              <w:jc w:val="both"/>
              <w:rPr>
                <w:rFonts w:ascii="Times New Roman" w:hAnsi="Times New Roman" w:cs="Times New Roman"/>
                <w:sz w:val="18"/>
                <w:szCs w:val="18"/>
                <w:lang w:val="ru-RU"/>
              </w:rPr>
            </w:pPr>
          </w:p>
          <w:p w14:paraId="7FFD206D" w14:textId="55C13C61" w:rsidR="00857DB1" w:rsidRPr="00487209" w:rsidRDefault="00043DF8" w:rsidP="00BD1E56">
            <w:pPr>
              <w:spacing w:before="120" w:after="120"/>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967606" w:rsidRPr="00487209">
              <w:rPr>
                <w:rFonts w:ascii="Times New Roman" w:hAnsi="Times New Roman" w:cs="Times New Roman"/>
                <w:sz w:val="18"/>
                <w:szCs w:val="18"/>
                <w:lang w:val="ru-RU"/>
              </w:rPr>
              <w:t xml:space="preserve"> 29. ст. </w:t>
            </w:r>
            <w:r w:rsidR="00BD1E56" w:rsidRPr="00487209">
              <w:rPr>
                <w:rFonts w:ascii="Times New Roman" w:hAnsi="Times New Roman" w:cs="Times New Roman"/>
                <w:sz w:val="18"/>
                <w:szCs w:val="18"/>
                <w:lang w:val="ru-RU"/>
              </w:rPr>
              <w:t>6</w:t>
            </w:r>
            <w:r w:rsidR="00967606" w:rsidRPr="00487209">
              <w:rPr>
                <w:rFonts w:ascii="Times New Roman" w:hAnsi="Times New Roman" w:cs="Times New Roman"/>
                <w:sz w:val="18"/>
                <w:szCs w:val="18"/>
                <w:lang w:val="ru-RU"/>
              </w:rPr>
              <w:t>.</w:t>
            </w:r>
            <w:r w:rsidR="00BD1E56" w:rsidRPr="00487209">
              <w:rPr>
                <w:rFonts w:ascii="Times New Roman" w:hAnsi="Times New Roman" w:cs="Times New Roman"/>
                <w:sz w:val="18"/>
                <w:szCs w:val="18"/>
                <w:lang w:val="ru-RU"/>
              </w:rPr>
              <w:t xml:space="preserve"> и 7. </w:t>
            </w:r>
            <w:r w:rsidR="00967606" w:rsidRPr="00487209">
              <w:rPr>
                <w:rFonts w:ascii="Times New Roman" w:hAnsi="Times New Roman" w:cs="Times New Roman"/>
                <w:sz w:val="18"/>
                <w:szCs w:val="18"/>
                <w:lang w:val="ru-RU"/>
              </w:rPr>
              <w:t xml:space="preserve">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 xml:space="preserve">а закона о грађевинским </w:t>
            </w:r>
            <w:r w:rsidR="00F421F0" w:rsidRPr="00487209">
              <w:rPr>
                <w:rFonts w:ascii="Times New Roman" w:hAnsi="Times New Roman" w:cs="Times New Roman"/>
                <w:sz w:val="18"/>
                <w:szCs w:val="18"/>
                <w:lang w:val="ru-RU"/>
              </w:rPr>
              <w:lastRenderedPageBreak/>
              <w:t>производима</w:t>
            </w:r>
            <w:r w:rsidR="00967606" w:rsidRPr="00487209">
              <w:rPr>
                <w:rFonts w:ascii="Times New Roman" w:hAnsi="Times New Roman" w:cs="Times New Roman"/>
                <w:sz w:val="18"/>
                <w:szCs w:val="18"/>
                <w:lang w:val="ru-RU"/>
              </w:rPr>
              <w:t xml:space="preserve"> је делимично усклађен с</w:t>
            </w:r>
            <w:r>
              <w:rPr>
                <w:rFonts w:ascii="Times New Roman" w:hAnsi="Times New Roman" w:cs="Times New Roman"/>
                <w:sz w:val="18"/>
                <w:szCs w:val="18"/>
                <w:lang w:val="ru-RU"/>
              </w:rPr>
              <w:t xml:space="preserve">а чланом </w:t>
            </w:r>
            <w:r w:rsidR="00967606" w:rsidRPr="00487209">
              <w:rPr>
                <w:rFonts w:ascii="Times New Roman" w:hAnsi="Times New Roman" w:cs="Times New Roman"/>
                <w:sz w:val="18"/>
                <w:szCs w:val="18"/>
                <w:lang w:val="sr-Cyrl-CS"/>
              </w:rPr>
              <w:t>28.2.</w:t>
            </w:r>
            <w:r w:rsidR="00967606" w:rsidRPr="00487209">
              <w:rPr>
                <w:rFonts w:ascii="Times New Roman" w:hAnsi="Times New Roman" w:cs="Times New Roman"/>
                <w:sz w:val="18"/>
                <w:szCs w:val="18"/>
                <w:lang w:val="ru-RU"/>
              </w:rPr>
              <w:t xml:space="preserve"> </w:t>
            </w:r>
            <w:r w:rsidR="00967606" w:rsidRPr="00487209">
              <w:rPr>
                <w:rFonts w:ascii="Times New Roman" w:hAnsi="Times New Roman" w:cs="Times New Roman"/>
                <w:sz w:val="18"/>
                <w:szCs w:val="18"/>
                <w:lang w:val="sr-Cyrl-CS"/>
              </w:rPr>
              <w:t>Уредбе 305/2011 (ЕУ), у делу који се односи на начин утврђивања система оцењивања и верификације сталности перформанси или измен</w:t>
            </w:r>
            <w:r w:rsidR="00CB4B09" w:rsidRPr="00487209">
              <w:rPr>
                <w:rFonts w:ascii="Times New Roman" w:hAnsi="Times New Roman" w:cs="Times New Roman"/>
                <w:sz w:val="18"/>
                <w:szCs w:val="18"/>
                <w:lang w:val="sr-Cyrl-CS"/>
              </w:rPr>
              <w:t>е</w:t>
            </w:r>
            <w:r w:rsidR="00967606" w:rsidRPr="00487209">
              <w:rPr>
                <w:rFonts w:ascii="Times New Roman" w:hAnsi="Times New Roman" w:cs="Times New Roman"/>
                <w:sz w:val="18"/>
                <w:szCs w:val="18"/>
                <w:lang w:val="sr-Cyrl-CS"/>
              </w:rPr>
              <w:t xml:space="preserve"> </w:t>
            </w:r>
            <w:r w:rsidR="00CB4B09" w:rsidRPr="00487209">
              <w:rPr>
                <w:rFonts w:ascii="Times New Roman" w:hAnsi="Times New Roman" w:cs="Times New Roman"/>
                <w:sz w:val="18"/>
                <w:szCs w:val="18"/>
                <w:lang w:val="sr-Cyrl-CS"/>
              </w:rPr>
              <w:t xml:space="preserve">тих </w:t>
            </w:r>
            <w:r w:rsidR="00967606" w:rsidRPr="00487209">
              <w:rPr>
                <w:rFonts w:ascii="Times New Roman" w:hAnsi="Times New Roman" w:cs="Times New Roman"/>
                <w:sz w:val="18"/>
                <w:szCs w:val="18"/>
                <w:lang w:val="sr-Cyrl-CS"/>
              </w:rPr>
              <w:t>система који ће се примењивати на грађевински производ или фамилију грађевинских производа због статуса нечланице. Потпуно усклађивање биће могуће након приступања ЕУ.</w:t>
            </w:r>
          </w:p>
        </w:tc>
        <w:tc>
          <w:tcPr>
            <w:tcW w:w="480" w:type="pct"/>
            <w:shd w:val="clear" w:color="auto" w:fill="auto"/>
            <w:vAlign w:val="center"/>
          </w:tcPr>
          <w:p w14:paraId="2CD1E52B" w14:textId="77777777" w:rsidR="00967606" w:rsidRPr="00487209" w:rsidRDefault="00967606" w:rsidP="006C6323">
            <w:pPr>
              <w:spacing w:before="120" w:after="120"/>
              <w:jc w:val="center"/>
              <w:rPr>
                <w:rFonts w:ascii="Times New Roman" w:hAnsi="Times New Roman" w:cs="Times New Roman"/>
                <w:sz w:val="18"/>
                <w:szCs w:val="18"/>
                <w:lang w:val="ru-RU"/>
              </w:rPr>
            </w:pPr>
          </w:p>
        </w:tc>
      </w:tr>
      <w:tr w:rsidR="00337554" w:rsidRPr="00487209" w14:paraId="70C7E2E5" w14:textId="77777777" w:rsidTr="007D5144">
        <w:trPr>
          <w:trHeight w:val="1465"/>
          <w:jc w:val="center"/>
        </w:trPr>
        <w:tc>
          <w:tcPr>
            <w:tcW w:w="435" w:type="pct"/>
            <w:shd w:val="clear" w:color="auto" w:fill="auto"/>
            <w:vAlign w:val="center"/>
          </w:tcPr>
          <w:p w14:paraId="4EC79C0F" w14:textId="77777777" w:rsidR="00C83E94" w:rsidRPr="00487209" w:rsidRDefault="00C83E94"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28.3.</w:t>
            </w:r>
          </w:p>
        </w:tc>
        <w:tc>
          <w:tcPr>
            <w:tcW w:w="1369" w:type="pct"/>
            <w:gridSpan w:val="2"/>
            <w:shd w:val="clear" w:color="auto" w:fill="auto"/>
            <w:vAlign w:val="center"/>
          </w:tcPr>
          <w:p w14:paraId="5ABAC0A4" w14:textId="77777777" w:rsidR="00C83E94" w:rsidRPr="00487209" w:rsidRDefault="00C83E94" w:rsidP="006C6323">
            <w:pPr>
              <w:jc w:val="both"/>
              <w:rPr>
                <w:rFonts w:ascii="Times New Roman" w:hAnsi="Times New Roman" w:cs="Times New Roman"/>
                <w:sz w:val="18"/>
                <w:szCs w:val="18"/>
              </w:rPr>
            </w:pPr>
            <w:r w:rsidRPr="00487209">
              <w:rPr>
                <w:rFonts w:ascii="Times New Roman" w:hAnsi="Times New Roman" w:cs="Times New Roman"/>
                <w:sz w:val="18"/>
                <w:szCs w:val="18"/>
              </w:rPr>
              <w:t>The system or systems thus determined shall be indicated in the mandates for harmonised standards and in the harmonised technical specifications.</w:t>
            </w:r>
          </w:p>
        </w:tc>
        <w:tc>
          <w:tcPr>
            <w:tcW w:w="429" w:type="pct"/>
            <w:shd w:val="clear" w:color="auto" w:fill="auto"/>
            <w:vAlign w:val="center"/>
          </w:tcPr>
          <w:p w14:paraId="497D4193" w14:textId="77777777" w:rsidR="00C83E94" w:rsidRPr="00487209" w:rsidRDefault="00C83E94"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654970C1" w14:textId="77777777" w:rsidR="00C83E94" w:rsidRPr="00487209" w:rsidRDefault="00C83E94" w:rsidP="006C6323">
            <w:pPr>
              <w:jc w:val="center"/>
              <w:rPr>
                <w:rFonts w:ascii="Times New Roman" w:hAnsi="Times New Roman" w:cs="Times New Roman"/>
                <w:sz w:val="18"/>
                <w:szCs w:val="18"/>
                <w:lang w:val="sr-Cyrl-CS"/>
              </w:rPr>
            </w:pPr>
          </w:p>
        </w:tc>
        <w:tc>
          <w:tcPr>
            <w:tcW w:w="458" w:type="pct"/>
            <w:shd w:val="clear" w:color="auto" w:fill="auto"/>
            <w:vAlign w:val="center"/>
          </w:tcPr>
          <w:p w14:paraId="4D777979" w14:textId="77777777" w:rsidR="00C83E94" w:rsidRPr="00487209" w:rsidRDefault="00C83E94"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НУ</w:t>
            </w:r>
          </w:p>
        </w:tc>
        <w:tc>
          <w:tcPr>
            <w:tcW w:w="598" w:type="pct"/>
            <w:gridSpan w:val="2"/>
            <w:shd w:val="clear" w:color="auto" w:fill="auto"/>
            <w:vAlign w:val="center"/>
          </w:tcPr>
          <w:p w14:paraId="7B7BFD3B" w14:textId="7DC41F02" w:rsidR="00C83E94" w:rsidRPr="00487209" w:rsidRDefault="00C83E94"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која се може упоредити са ч</w:t>
            </w:r>
            <w:r w:rsidR="00043DF8">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28.3. </w:t>
            </w:r>
            <w:r w:rsidR="007E2AEC" w:rsidRPr="00487209">
              <w:rPr>
                <w:rFonts w:ascii="Times New Roman" w:hAnsi="Times New Roman" w:cs="Times New Roman"/>
                <w:sz w:val="18"/>
                <w:szCs w:val="18"/>
                <w:lang w:val="sr-Cyrl-CS"/>
              </w:rPr>
              <w:t xml:space="preserve">Уредбе 305/2011 (ЕУ), због статуса </w:t>
            </w:r>
            <w:r w:rsidR="007E2AEC" w:rsidRPr="00487209">
              <w:rPr>
                <w:rFonts w:ascii="Times New Roman" w:hAnsi="Times New Roman" w:cs="Times New Roman"/>
                <w:sz w:val="18"/>
                <w:szCs w:val="18"/>
                <w:lang w:val="sr-Cyrl-CS"/>
              </w:rPr>
              <w:lastRenderedPageBreak/>
              <w:t>нечланице. Усклађивање ће бити могуће након приступања ЕУ</w:t>
            </w:r>
          </w:p>
        </w:tc>
        <w:tc>
          <w:tcPr>
            <w:tcW w:w="480" w:type="pct"/>
            <w:shd w:val="clear" w:color="auto" w:fill="auto"/>
            <w:vAlign w:val="center"/>
          </w:tcPr>
          <w:p w14:paraId="5EAEBE50" w14:textId="77777777" w:rsidR="00C83E94" w:rsidRPr="00487209" w:rsidRDefault="00C83E94" w:rsidP="006C6323">
            <w:pPr>
              <w:spacing w:before="120" w:after="120"/>
              <w:jc w:val="center"/>
              <w:rPr>
                <w:rFonts w:ascii="Times New Roman" w:hAnsi="Times New Roman" w:cs="Times New Roman"/>
                <w:sz w:val="18"/>
                <w:szCs w:val="18"/>
                <w:lang w:val="ru-RU"/>
              </w:rPr>
            </w:pPr>
          </w:p>
        </w:tc>
      </w:tr>
      <w:tr w:rsidR="00337554" w:rsidRPr="00487209" w14:paraId="42F4CF29" w14:textId="77777777" w:rsidTr="007D5144">
        <w:trPr>
          <w:trHeight w:val="1255"/>
          <w:jc w:val="center"/>
        </w:trPr>
        <w:tc>
          <w:tcPr>
            <w:tcW w:w="435" w:type="pct"/>
            <w:shd w:val="clear" w:color="auto" w:fill="auto"/>
            <w:vAlign w:val="center"/>
          </w:tcPr>
          <w:p w14:paraId="3F58513E" w14:textId="77777777" w:rsidR="0084191A" w:rsidRPr="00487209" w:rsidRDefault="0084191A"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29.1.</w:t>
            </w:r>
          </w:p>
        </w:tc>
        <w:tc>
          <w:tcPr>
            <w:tcW w:w="1369" w:type="pct"/>
            <w:gridSpan w:val="2"/>
            <w:shd w:val="clear" w:color="auto" w:fill="auto"/>
            <w:vAlign w:val="center"/>
          </w:tcPr>
          <w:p w14:paraId="3A31A0A6" w14:textId="77777777" w:rsidR="0084191A" w:rsidRPr="00487209" w:rsidRDefault="0084191A"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Member States may designate TABs within their territories, notably for one or several product areas listed in Table 1 of Annex IV.</w:t>
            </w:r>
          </w:p>
          <w:p w14:paraId="1CECD414" w14:textId="77777777" w:rsidR="0084191A" w:rsidRPr="00487209" w:rsidRDefault="0084191A"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Member States which have designated a TAB shall communicate to the other Member States and the Commission its name and address and the product areas for which that TAB is designated.</w:t>
            </w:r>
          </w:p>
          <w:p w14:paraId="4490B997" w14:textId="77777777" w:rsidR="0084191A" w:rsidRPr="00487209" w:rsidRDefault="0084191A" w:rsidP="006C6323">
            <w:pPr>
              <w:jc w:val="both"/>
              <w:rPr>
                <w:rFonts w:ascii="Times New Roman" w:hAnsi="Times New Roman" w:cs="Times New Roman"/>
                <w:sz w:val="18"/>
                <w:szCs w:val="18"/>
                <w:lang w:val="sr-Cyrl-CS"/>
              </w:rPr>
            </w:pPr>
          </w:p>
        </w:tc>
        <w:tc>
          <w:tcPr>
            <w:tcW w:w="429" w:type="pct"/>
            <w:shd w:val="clear" w:color="auto" w:fill="auto"/>
            <w:vAlign w:val="center"/>
          </w:tcPr>
          <w:p w14:paraId="7F2CA3C7" w14:textId="4A259220" w:rsidR="00644BD2"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1E63C558" w14:textId="77777777" w:rsidR="00624435" w:rsidRPr="00487209" w:rsidRDefault="00624435" w:rsidP="006C6323">
            <w:pPr>
              <w:spacing w:before="120" w:after="120"/>
              <w:jc w:val="center"/>
              <w:rPr>
                <w:rFonts w:ascii="Times New Roman" w:hAnsi="Times New Roman" w:cs="Times New Roman"/>
                <w:sz w:val="18"/>
                <w:szCs w:val="18"/>
                <w:lang w:val="sr-Cyrl-CS"/>
              </w:rPr>
            </w:pPr>
          </w:p>
          <w:p w14:paraId="6E9405E5" w14:textId="77777777" w:rsidR="0084191A" w:rsidRPr="00487209" w:rsidRDefault="00644BD2"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236CF4" w:rsidRPr="00487209">
              <w:rPr>
                <w:rFonts w:ascii="Times New Roman" w:hAnsi="Times New Roman" w:cs="Times New Roman"/>
                <w:sz w:val="18"/>
                <w:szCs w:val="18"/>
                <w:lang w:val="ru-RU"/>
              </w:rPr>
              <w:t>34.1.</w:t>
            </w:r>
          </w:p>
          <w:p w14:paraId="3FB32517" w14:textId="77777777" w:rsidR="00236CF4" w:rsidRPr="00487209" w:rsidRDefault="00236CF4" w:rsidP="006C6323">
            <w:pPr>
              <w:spacing w:before="120" w:after="120"/>
              <w:ind w:firstLine="5"/>
              <w:jc w:val="center"/>
              <w:rPr>
                <w:rFonts w:ascii="Times New Roman" w:hAnsi="Times New Roman" w:cs="Times New Roman"/>
                <w:sz w:val="18"/>
                <w:szCs w:val="18"/>
                <w:lang w:val="ru-RU"/>
              </w:rPr>
            </w:pPr>
          </w:p>
          <w:p w14:paraId="620DD394" w14:textId="77777777" w:rsidR="00236CF4" w:rsidRPr="00487209" w:rsidRDefault="00236CF4" w:rsidP="006C6323">
            <w:pPr>
              <w:spacing w:before="120" w:after="120"/>
              <w:ind w:firstLine="5"/>
              <w:jc w:val="center"/>
              <w:rPr>
                <w:rFonts w:ascii="Times New Roman" w:hAnsi="Times New Roman" w:cs="Times New Roman"/>
                <w:sz w:val="18"/>
                <w:szCs w:val="18"/>
                <w:lang w:val="ru-RU"/>
              </w:rPr>
            </w:pPr>
          </w:p>
          <w:p w14:paraId="477AB460" w14:textId="65AD1AEF" w:rsidR="00236CF4" w:rsidRDefault="00236CF4"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34.</w:t>
            </w:r>
            <w:r w:rsidR="001E527B" w:rsidRPr="00487209">
              <w:rPr>
                <w:rFonts w:ascii="Times New Roman" w:hAnsi="Times New Roman" w:cs="Times New Roman"/>
                <w:sz w:val="18"/>
                <w:szCs w:val="18"/>
                <w:lang w:val="sr-Latn-CS"/>
              </w:rPr>
              <w:t>4</w:t>
            </w:r>
            <w:r w:rsidRPr="00487209">
              <w:rPr>
                <w:rFonts w:ascii="Times New Roman" w:hAnsi="Times New Roman" w:cs="Times New Roman"/>
                <w:sz w:val="18"/>
                <w:szCs w:val="18"/>
                <w:lang w:val="ru-RU"/>
              </w:rPr>
              <w:t>.</w:t>
            </w:r>
          </w:p>
          <w:p w14:paraId="3CEF2B46" w14:textId="5DAD0354" w:rsidR="00624435" w:rsidRDefault="00624435" w:rsidP="006C6323">
            <w:pPr>
              <w:spacing w:before="120" w:after="120"/>
              <w:ind w:firstLine="5"/>
              <w:jc w:val="center"/>
              <w:rPr>
                <w:rFonts w:ascii="Times New Roman" w:hAnsi="Times New Roman" w:cs="Times New Roman"/>
                <w:sz w:val="18"/>
                <w:szCs w:val="18"/>
                <w:lang w:val="ru-RU"/>
              </w:rPr>
            </w:pPr>
          </w:p>
          <w:p w14:paraId="3233CFDE" w14:textId="50C26C20" w:rsidR="00624435" w:rsidRDefault="00624435" w:rsidP="006C6323">
            <w:pPr>
              <w:spacing w:before="120" w:after="120"/>
              <w:ind w:firstLine="5"/>
              <w:jc w:val="center"/>
              <w:rPr>
                <w:rFonts w:ascii="Times New Roman" w:hAnsi="Times New Roman" w:cs="Times New Roman"/>
                <w:sz w:val="18"/>
                <w:szCs w:val="18"/>
                <w:lang w:val="ru-RU"/>
              </w:rPr>
            </w:pPr>
          </w:p>
          <w:p w14:paraId="4DBAEAE8" w14:textId="647D1B1A" w:rsidR="00624435" w:rsidRPr="00487209" w:rsidRDefault="00624435" w:rsidP="006C6323">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48</w:t>
            </w:r>
          </w:p>
          <w:p w14:paraId="49669806" w14:textId="77777777" w:rsidR="0060335B" w:rsidRPr="00487209" w:rsidRDefault="0060335B" w:rsidP="006C6323">
            <w:pPr>
              <w:spacing w:before="120" w:after="120"/>
              <w:ind w:firstLine="5"/>
              <w:jc w:val="center"/>
              <w:rPr>
                <w:rFonts w:ascii="Times New Roman" w:hAnsi="Times New Roman" w:cs="Times New Roman"/>
                <w:sz w:val="18"/>
                <w:szCs w:val="18"/>
                <w:lang w:val="ru-RU"/>
              </w:rPr>
            </w:pPr>
          </w:p>
          <w:p w14:paraId="7FE2ED27" w14:textId="77777777" w:rsidR="00EC45A5" w:rsidRPr="00487209" w:rsidRDefault="00EC45A5" w:rsidP="006C6323">
            <w:pPr>
              <w:spacing w:before="120" w:after="120"/>
              <w:ind w:firstLine="5"/>
              <w:jc w:val="center"/>
              <w:rPr>
                <w:rFonts w:ascii="Times New Roman" w:hAnsi="Times New Roman" w:cs="Times New Roman"/>
                <w:sz w:val="18"/>
                <w:szCs w:val="18"/>
                <w:lang w:val="ru-RU"/>
              </w:rPr>
            </w:pPr>
          </w:p>
          <w:p w14:paraId="3FB0DC3E" w14:textId="77777777" w:rsidR="00EC45A5" w:rsidRPr="00487209" w:rsidRDefault="00EC45A5" w:rsidP="006C6323">
            <w:pPr>
              <w:spacing w:before="120" w:after="120"/>
              <w:ind w:firstLine="5"/>
              <w:jc w:val="center"/>
              <w:rPr>
                <w:rFonts w:ascii="Times New Roman" w:hAnsi="Times New Roman" w:cs="Times New Roman"/>
                <w:sz w:val="18"/>
                <w:szCs w:val="18"/>
                <w:lang w:val="ru-RU"/>
              </w:rPr>
            </w:pPr>
          </w:p>
          <w:p w14:paraId="38FD3195" w14:textId="1E381A6C" w:rsidR="0060335B" w:rsidRPr="00487209" w:rsidRDefault="0060335B" w:rsidP="001E527B">
            <w:pPr>
              <w:spacing w:before="120" w:after="120"/>
              <w:rPr>
                <w:rFonts w:ascii="Times New Roman" w:hAnsi="Times New Roman" w:cs="Times New Roman"/>
                <w:sz w:val="18"/>
                <w:szCs w:val="18"/>
                <w:lang w:val="ru-RU"/>
              </w:rPr>
            </w:pPr>
          </w:p>
        </w:tc>
        <w:tc>
          <w:tcPr>
            <w:tcW w:w="1231" w:type="pct"/>
            <w:gridSpan w:val="2"/>
            <w:shd w:val="clear" w:color="auto" w:fill="auto"/>
            <w:vAlign w:val="center"/>
          </w:tcPr>
          <w:p w14:paraId="262780D7" w14:textId="62E877CB" w:rsidR="00624435" w:rsidRDefault="00624435" w:rsidP="00624435">
            <w:pPr>
              <w:shd w:val="clear" w:color="auto" w:fill="FFFFFF"/>
              <w:spacing w:before="120"/>
              <w:ind w:right="-23"/>
              <w:jc w:val="both"/>
              <w:rPr>
                <w:rFonts w:ascii="Times New Roman" w:hAnsi="Times New Roman" w:cs="Times New Roman"/>
                <w:sz w:val="18"/>
                <w:szCs w:val="18"/>
              </w:rPr>
            </w:pPr>
            <w:r w:rsidRPr="00624435">
              <w:rPr>
                <w:rFonts w:ascii="Times New Roman" w:hAnsi="Times New Roman" w:cs="Times New Roman"/>
                <w:sz w:val="18"/>
                <w:szCs w:val="18"/>
              </w:rPr>
              <w:t>На захтев правног лица, министар надлежaн за послове грађевинарства, доноси решење о именовању тела за технико оцењивање које спроводи оцењивање перформанси и издавање техничке оцене за једну или више области грађевинских производа утврђених у члану 3. став 1. овог закона.</w:t>
            </w:r>
          </w:p>
          <w:p w14:paraId="1CA07CFD" w14:textId="64E6A223" w:rsidR="0084191A" w:rsidRDefault="00624435" w:rsidP="004E50CA">
            <w:pPr>
              <w:spacing w:before="120"/>
              <w:jc w:val="both"/>
              <w:rPr>
                <w:rFonts w:ascii="Times New Roman" w:hAnsi="Times New Roman" w:cs="Times New Roman"/>
                <w:sz w:val="18"/>
                <w:szCs w:val="18"/>
                <w:lang w:val="sr-Cyrl-CS"/>
              </w:rPr>
            </w:pPr>
            <w:r w:rsidRPr="00624435">
              <w:rPr>
                <w:rFonts w:ascii="Times New Roman" w:hAnsi="Times New Roman" w:cs="Times New Roman"/>
                <w:sz w:val="18"/>
                <w:szCs w:val="18"/>
              </w:rPr>
              <w:t xml:space="preserve">Након правноснажности решења из става 1. овог члана министарство надлежно за послове грађевинарства, у складу са посебним прописом, доставља Европској комисији и другим државама чланицама Европске уније податке о називу, адреси и областима грађевинских производа за које је тело за техничко оцењивање именовано, на захтев тела за техничко оцењивање.   </w:t>
            </w:r>
          </w:p>
          <w:p w14:paraId="6DC5E1B0" w14:textId="70281F22" w:rsidR="00624435" w:rsidRPr="00487209" w:rsidRDefault="00624435" w:rsidP="004E50CA">
            <w:pPr>
              <w:spacing w:before="120"/>
              <w:jc w:val="both"/>
              <w:rPr>
                <w:rFonts w:ascii="Times New Roman" w:hAnsi="Times New Roman" w:cs="Times New Roman"/>
                <w:sz w:val="18"/>
                <w:szCs w:val="18"/>
                <w:lang w:val="sr-Cyrl-CS"/>
              </w:rPr>
            </w:pPr>
            <w:r w:rsidRPr="00624435">
              <w:rPr>
                <w:rFonts w:ascii="Times New Roman" w:hAnsi="Times New Roman" w:cs="Times New Roman"/>
                <w:sz w:val="18"/>
                <w:szCs w:val="18"/>
                <w:lang w:val="sr-Cyrl-CS"/>
              </w:rPr>
              <w:t xml:space="preserve">За обављање задатака независне треће стране у поступку оцењивања и верификације сталности перформанси у складу са хармонизованом техничком спецификацијом, именовано тело за оцењивање и верификацију сталности перформанси подноси органу надлежном за пријављивање, преко министарства надлежног за послове грађевинарства, захтев за пријављивање Европској Комисији и другима државама </w:t>
            </w:r>
            <w:r w:rsidRPr="00624435">
              <w:rPr>
                <w:rFonts w:ascii="Times New Roman" w:hAnsi="Times New Roman" w:cs="Times New Roman"/>
                <w:sz w:val="18"/>
                <w:szCs w:val="18"/>
                <w:lang w:val="sr-Cyrl-CS"/>
              </w:rPr>
              <w:lastRenderedPageBreak/>
              <w:t>чланицама, у складу са законом којим се уређују технички захтеви за производе и оцењивање усаглашености и прописима донетим на основу тог закона.</w:t>
            </w:r>
          </w:p>
        </w:tc>
        <w:tc>
          <w:tcPr>
            <w:tcW w:w="458" w:type="pct"/>
            <w:shd w:val="clear" w:color="auto" w:fill="auto"/>
            <w:vAlign w:val="center"/>
          </w:tcPr>
          <w:p w14:paraId="5B700277" w14:textId="77777777" w:rsidR="0084191A" w:rsidRPr="00487209" w:rsidRDefault="000E470D"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ПУ</w:t>
            </w:r>
          </w:p>
        </w:tc>
        <w:tc>
          <w:tcPr>
            <w:tcW w:w="598" w:type="pct"/>
            <w:gridSpan w:val="2"/>
            <w:shd w:val="clear" w:color="auto" w:fill="auto"/>
            <w:vAlign w:val="center"/>
          </w:tcPr>
          <w:p w14:paraId="731B6DDD" w14:textId="77777777" w:rsidR="0084191A" w:rsidRPr="00487209" w:rsidRDefault="0084191A"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7E52A0EE" w14:textId="77777777" w:rsidR="0084191A" w:rsidRPr="00487209" w:rsidRDefault="0084191A" w:rsidP="006C6323">
            <w:pPr>
              <w:spacing w:before="120" w:after="120"/>
              <w:jc w:val="center"/>
              <w:rPr>
                <w:rFonts w:ascii="Times New Roman" w:hAnsi="Times New Roman" w:cs="Times New Roman"/>
                <w:sz w:val="18"/>
                <w:szCs w:val="18"/>
                <w:lang w:val="ru-RU"/>
              </w:rPr>
            </w:pPr>
          </w:p>
        </w:tc>
      </w:tr>
      <w:tr w:rsidR="00337554" w:rsidRPr="00487209" w14:paraId="2E0DA662" w14:textId="77777777" w:rsidTr="007D5144">
        <w:trPr>
          <w:trHeight w:val="1970"/>
          <w:jc w:val="center"/>
        </w:trPr>
        <w:tc>
          <w:tcPr>
            <w:tcW w:w="435" w:type="pct"/>
            <w:shd w:val="clear" w:color="auto" w:fill="auto"/>
            <w:vAlign w:val="center"/>
          </w:tcPr>
          <w:p w14:paraId="44BC25BF" w14:textId="77777777" w:rsidR="0084191A" w:rsidRPr="00487209" w:rsidRDefault="0084191A"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29.2.</w:t>
            </w:r>
          </w:p>
        </w:tc>
        <w:tc>
          <w:tcPr>
            <w:tcW w:w="1369" w:type="pct"/>
            <w:gridSpan w:val="2"/>
            <w:shd w:val="clear" w:color="auto" w:fill="auto"/>
            <w:vAlign w:val="center"/>
          </w:tcPr>
          <w:p w14:paraId="0100DFAA" w14:textId="77777777" w:rsidR="0084191A" w:rsidRPr="00487209" w:rsidRDefault="0084191A"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Commission shall make publicly available by electronic means the list of TABs indicating the product areas for which they are designated, endeavouring to achieve the highest possible level of transparency.</w:t>
            </w:r>
          </w:p>
          <w:p w14:paraId="199136FB" w14:textId="77777777" w:rsidR="0084191A" w:rsidRPr="00487209" w:rsidRDefault="0084191A"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Commission shall make any updates to that list publicly available.</w:t>
            </w:r>
          </w:p>
          <w:p w14:paraId="72F6F3D4" w14:textId="77777777" w:rsidR="0084191A" w:rsidRPr="00487209" w:rsidRDefault="0084191A" w:rsidP="006C6323">
            <w:pPr>
              <w:jc w:val="both"/>
              <w:rPr>
                <w:rFonts w:ascii="Times New Roman" w:hAnsi="Times New Roman" w:cs="Times New Roman"/>
                <w:sz w:val="18"/>
                <w:szCs w:val="18"/>
                <w:lang w:val="sr-Cyrl-CS"/>
              </w:rPr>
            </w:pPr>
          </w:p>
        </w:tc>
        <w:tc>
          <w:tcPr>
            <w:tcW w:w="429" w:type="pct"/>
            <w:shd w:val="clear" w:color="auto" w:fill="auto"/>
            <w:vAlign w:val="center"/>
          </w:tcPr>
          <w:p w14:paraId="06F4FDA6" w14:textId="77777777" w:rsidR="0084191A" w:rsidRPr="00487209" w:rsidRDefault="0084191A"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7FB37B47" w14:textId="77777777" w:rsidR="0084191A" w:rsidRPr="00487209" w:rsidRDefault="0084191A" w:rsidP="006C6323">
            <w:pPr>
              <w:jc w:val="center"/>
              <w:rPr>
                <w:rFonts w:ascii="Times New Roman" w:hAnsi="Times New Roman" w:cs="Times New Roman"/>
                <w:sz w:val="18"/>
                <w:szCs w:val="18"/>
                <w:lang w:val="sr-Cyrl-CS"/>
              </w:rPr>
            </w:pPr>
          </w:p>
        </w:tc>
        <w:tc>
          <w:tcPr>
            <w:tcW w:w="458" w:type="pct"/>
            <w:shd w:val="clear" w:color="auto" w:fill="auto"/>
            <w:vAlign w:val="center"/>
          </w:tcPr>
          <w:p w14:paraId="238D58EB" w14:textId="77777777" w:rsidR="0084191A" w:rsidRPr="00487209" w:rsidRDefault="0084191A"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0098E83F" w14:textId="1D62E82B" w:rsidR="0084191A" w:rsidRPr="00487209" w:rsidRDefault="00043DF8" w:rsidP="006C6323">
            <w:pPr>
              <w:spacing w:before="120" w:after="120"/>
              <w:jc w:val="both"/>
              <w:rPr>
                <w:rFonts w:ascii="Times New Roman" w:hAnsi="Times New Roman" w:cs="Times New Roman"/>
                <w:sz w:val="18"/>
                <w:szCs w:val="18"/>
              </w:rPr>
            </w:pPr>
            <w:r>
              <w:rPr>
                <w:rFonts w:ascii="Times New Roman" w:hAnsi="Times New Roman" w:cs="Times New Roman"/>
                <w:sz w:val="18"/>
                <w:szCs w:val="18"/>
                <w:lang w:val="ru-RU"/>
              </w:rPr>
              <w:t>Члан</w:t>
            </w:r>
            <w:r w:rsidR="0084191A" w:rsidRPr="00487209">
              <w:rPr>
                <w:rFonts w:ascii="Times New Roman" w:hAnsi="Times New Roman" w:cs="Times New Roman"/>
                <w:sz w:val="18"/>
                <w:szCs w:val="18"/>
                <w:lang w:val="ru-RU"/>
              </w:rPr>
              <w:t xml:space="preserve"> </w:t>
            </w:r>
            <w:r w:rsidR="0084191A" w:rsidRPr="00487209">
              <w:rPr>
                <w:rFonts w:ascii="Times New Roman" w:hAnsi="Times New Roman" w:cs="Times New Roman"/>
                <w:sz w:val="18"/>
                <w:szCs w:val="18"/>
              </w:rPr>
              <w:t xml:space="preserve">29.2. </w:t>
            </w:r>
            <w:r w:rsidR="0084191A" w:rsidRPr="00487209">
              <w:rPr>
                <w:rFonts w:ascii="Times New Roman" w:hAnsi="Times New Roman" w:cs="Times New Roman"/>
                <w:sz w:val="18"/>
                <w:szCs w:val="18"/>
                <w:lang w:val="sr-Cyrl-CS"/>
              </w:rPr>
              <w:t>Уредбе 305/2011 (ЕУ) није пренет, јер се односи на обавезу Европске комисије</w:t>
            </w:r>
            <w:r w:rsidR="0084191A" w:rsidRPr="00487209">
              <w:rPr>
                <w:rFonts w:ascii="Times New Roman" w:hAnsi="Times New Roman" w:cs="Times New Roman"/>
                <w:bCs/>
                <w:sz w:val="18"/>
                <w:szCs w:val="18"/>
                <w:lang w:val="sr-Cyrl-CS"/>
              </w:rPr>
              <w:t>.</w:t>
            </w:r>
          </w:p>
        </w:tc>
        <w:tc>
          <w:tcPr>
            <w:tcW w:w="480" w:type="pct"/>
            <w:shd w:val="clear" w:color="auto" w:fill="auto"/>
            <w:vAlign w:val="center"/>
          </w:tcPr>
          <w:p w14:paraId="05126732" w14:textId="77777777" w:rsidR="0084191A" w:rsidRPr="00487209" w:rsidRDefault="0084191A" w:rsidP="006C6323">
            <w:pPr>
              <w:spacing w:before="120" w:after="120"/>
              <w:jc w:val="center"/>
              <w:rPr>
                <w:rFonts w:ascii="Times New Roman" w:hAnsi="Times New Roman" w:cs="Times New Roman"/>
                <w:sz w:val="18"/>
                <w:szCs w:val="18"/>
              </w:rPr>
            </w:pPr>
          </w:p>
        </w:tc>
      </w:tr>
      <w:tr w:rsidR="00337554" w:rsidRPr="00487209" w14:paraId="65A99B24" w14:textId="77777777" w:rsidTr="007D5144">
        <w:trPr>
          <w:trHeight w:val="1970"/>
          <w:jc w:val="center"/>
        </w:trPr>
        <w:tc>
          <w:tcPr>
            <w:tcW w:w="435" w:type="pct"/>
            <w:shd w:val="clear" w:color="auto" w:fill="auto"/>
            <w:vAlign w:val="center"/>
          </w:tcPr>
          <w:p w14:paraId="5CB4CBEF" w14:textId="77777777" w:rsidR="00583A6E" w:rsidRPr="00487209" w:rsidRDefault="00583A6E"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29.3.</w:t>
            </w:r>
          </w:p>
        </w:tc>
        <w:tc>
          <w:tcPr>
            <w:tcW w:w="1369" w:type="pct"/>
            <w:gridSpan w:val="2"/>
            <w:shd w:val="clear" w:color="auto" w:fill="auto"/>
            <w:vAlign w:val="center"/>
          </w:tcPr>
          <w:p w14:paraId="1F007192" w14:textId="77777777" w:rsidR="00583A6E" w:rsidRPr="00487209" w:rsidRDefault="00583A6E"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Member States shall monitor the activities and competence of the TABs they have designated, and evaluate them in relation to the respective requirements set out in Table 2 of Annex IV.</w:t>
            </w:r>
          </w:p>
          <w:p w14:paraId="6F11B2D2" w14:textId="77777777" w:rsidR="00583A6E" w:rsidRPr="00487209" w:rsidRDefault="00583A6E"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Member States shall inform the Commission of their national procedures for the designation of TABs, of the monitoring of their activity and competence, and of any changes to that information.</w:t>
            </w:r>
          </w:p>
          <w:p w14:paraId="150618C1" w14:textId="77777777" w:rsidR="00583A6E" w:rsidRPr="00487209" w:rsidRDefault="00583A6E" w:rsidP="006C6323">
            <w:pPr>
              <w:jc w:val="both"/>
              <w:rPr>
                <w:rFonts w:ascii="Times New Roman" w:hAnsi="Times New Roman" w:cs="Times New Roman"/>
                <w:sz w:val="18"/>
                <w:szCs w:val="18"/>
                <w:lang w:val="sr-Cyrl-CS"/>
              </w:rPr>
            </w:pPr>
          </w:p>
        </w:tc>
        <w:tc>
          <w:tcPr>
            <w:tcW w:w="429" w:type="pct"/>
            <w:shd w:val="clear" w:color="auto" w:fill="auto"/>
            <w:vAlign w:val="center"/>
          </w:tcPr>
          <w:p w14:paraId="25F05E56" w14:textId="7B191A18" w:rsidR="00644BD2"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46961BCC" w14:textId="77777777" w:rsidR="007040FE" w:rsidRPr="00487209" w:rsidRDefault="007040FE" w:rsidP="006C6323">
            <w:pPr>
              <w:spacing w:before="120" w:after="120"/>
              <w:ind w:firstLine="5"/>
              <w:jc w:val="center"/>
              <w:rPr>
                <w:rFonts w:ascii="Times New Roman" w:hAnsi="Times New Roman" w:cs="Times New Roman"/>
                <w:sz w:val="18"/>
                <w:szCs w:val="18"/>
                <w:lang w:val="ru-RU"/>
              </w:rPr>
            </w:pPr>
          </w:p>
          <w:p w14:paraId="07B54930" w14:textId="77777777" w:rsidR="007040FE" w:rsidRPr="00487209" w:rsidRDefault="007040FE" w:rsidP="006C6323">
            <w:pPr>
              <w:spacing w:before="120" w:after="120"/>
              <w:ind w:firstLine="5"/>
              <w:jc w:val="center"/>
              <w:rPr>
                <w:rFonts w:ascii="Times New Roman" w:hAnsi="Times New Roman" w:cs="Times New Roman"/>
                <w:sz w:val="18"/>
                <w:szCs w:val="18"/>
                <w:lang w:val="ru-RU"/>
              </w:rPr>
            </w:pPr>
          </w:p>
          <w:p w14:paraId="50C57560" w14:textId="274648E8" w:rsidR="007040FE" w:rsidRPr="00487209" w:rsidRDefault="007040FE"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36.</w:t>
            </w:r>
            <w:r w:rsidR="00E536E3">
              <w:rPr>
                <w:rFonts w:ascii="Times New Roman" w:hAnsi="Times New Roman" w:cs="Times New Roman"/>
                <w:sz w:val="18"/>
                <w:szCs w:val="18"/>
                <w:lang w:val="ru-RU"/>
              </w:rPr>
              <w:t>1</w:t>
            </w:r>
            <w:r w:rsidRPr="00487209">
              <w:rPr>
                <w:rFonts w:ascii="Times New Roman" w:hAnsi="Times New Roman" w:cs="Times New Roman"/>
                <w:sz w:val="18"/>
                <w:szCs w:val="18"/>
                <w:lang w:val="ru-RU"/>
              </w:rPr>
              <w:t>.</w:t>
            </w:r>
          </w:p>
          <w:p w14:paraId="4234D3E5" w14:textId="77777777" w:rsidR="004A5AA8" w:rsidRPr="00487209" w:rsidRDefault="004A5AA8" w:rsidP="006C6323">
            <w:pPr>
              <w:spacing w:before="120" w:after="120"/>
              <w:rPr>
                <w:rFonts w:ascii="Times New Roman" w:hAnsi="Times New Roman" w:cs="Times New Roman"/>
                <w:sz w:val="18"/>
                <w:szCs w:val="18"/>
                <w:lang w:val="ru-RU"/>
              </w:rPr>
            </w:pPr>
          </w:p>
          <w:p w14:paraId="7FB1C0DE" w14:textId="77777777" w:rsidR="004A5AA8" w:rsidRPr="00487209" w:rsidRDefault="004A5AA8" w:rsidP="006C6323">
            <w:pPr>
              <w:spacing w:before="120" w:after="120"/>
              <w:ind w:firstLine="5"/>
              <w:jc w:val="center"/>
              <w:rPr>
                <w:rFonts w:ascii="Times New Roman" w:hAnsi="Times New Roman" w:cs="Times New Roman"/>
                <w:sz w:val="18"/>
                <w:szCs w:val="18"/>
                <w:lang w:val="ru-RU"/>
              </w:rPr>
            </w:pPr>
          </w:p>
          <w:p w14:paraId="61410C31" w14:textId="77777777" w:rsidR="004A5AA8" w:rsidRPr="00487209" w:rsidRDefault="004A5AA8" w:rsidP="006C6323">
            <w:pPr>
              <w:spacing w:before="120" w:after="120"/>
              <w:ind w:firstLine="5"/>
              <w:jc w:val="center"/>
              <w:rPr>
                <w:rFonts w:ascii="Times New Roman" w:hAnsi="Times New Roman" w:cs="Times New Roman"/>
                <w:sz w:val="18"/>
                <w:szCs w:val="18"/>
                <w:lang w:val="ru-RU"/>
              </w:rPr>
            </w:pPr>
          </w:p>
          <w:p w14:paraId="177DA445" w14:textId="77777777" w:rsidR="004A5AA8" w:rsidRPr="00487209" w:rsidRDefault="004A5AA8" w:rsidP="006C6323">
            <w:pPr>
              <w:spacing w:before="120" w:after="120"/>
              <w:ind w:firstLine="5"/>
              <w:jc w:val="center"/>
              <w:rPr>
                <w:rFonts w:ascii="Times New Roman" w:hAnsi="Times New Roman" w:cs="Times New Roman"/>
                <w:sz w:val="18"/>
                <w:szCs w:val="18"/>
                <w:lang w:val="ru-RU"/>
              </w:rPr>
            </w:pPr>
          </w:p>
          <w:p w14:paraId="4A13B731" w14:textId="4E67A7C6" w:rsidR="004A5AA8" w:rsidRPr="00487209" w:rsidRDefault="004A5AA8" w:rsidP="006C6323">
            <w:pPr>
              <w:spacing w:before="120" w:after="120"/>
              <w:ind w:firstLine="5"/>
              <w:jc w:val="center"/>
              <w:rPr>
                <w:rFonts w:ascii="Times New Roman" w:hAnsi="Times New Roman" w:cs="Times New Roman"/>
                <w:sz w:val="18"/>
                <w:szCs w:val="18"/>
                <w:lang w:val="sr-Latn-CS"/>
              </w:rPr>
            </w:pPr>
          </w:p>
        </w:tc>
        <w:tc>
          <w:tcPr>
            <w:tcW w:w="1231" w:type="pct"/>
            <w:gridSpan w:val="2"/>
            <w:shd w:val="clear" w:color="auto" w:fill="auto"/>
            <w:vAlign w:val="center"/>
          </w:tcPr>
          <w:p w14:paraId="28FE6245" w14:textId="77777777" w:rsidR="00E536E3" w:rsidRDefault="00E536E3" w:rsidP="008B3CF2">
            <w:pPr>
              <w:spacing w:before="120"/>
              <w:ind w:right="-23"/>
              <w:jc w:val="both"/>
              <w:rPr>
                <w:rFonts w:ascii="Times New Roman" w:hAnsi="Times New Roman" w:cs="Times New Roman"/>
                <w:sz w:val="18"/>
                <w:szCs w:val="18"/>
              </w:rPr>
            </w:pPr>
            <w:r w:rsidRPr="00E536E3">
              <w:rPr>
                <w:rFonts w:ascii="Times New Roman" w:hAnsi="Times New Roman" w:cs="Times New Roman"/>
                <w:sz w:val="18"/>
                <w:szCs w:val="18"/>
              </w:rPr>
              <w:t>Телo за техничко оцењивање је дужно да једном годишње од дана правноснажности решења из члана 34. став 1. овог закона, као и на писани захтев министарства надлежног за послове грађевинарства, извештава министарство о спровођењу оцењивања и издавања техничких оцена за област грађевинских производа за које је именовано. Уз извештај се достављају и докази потребни за проверу и надзор над испуњавањем прописаних захтева за обављање послова за које је донето решење из члана 34. став 1. овог закона.</w:t>
            </w:r>
          </w:p>
          <w:p w14:paraId="22BD3352" w14:textId="77777777" w:rsidR="004A5AA8" w:rsidRPr="00487209" w:rsidRDefault="004A5AA8" w:rsidP="008B3CF2">
            <w:pPr>
              <w:spacing w:before="120"/>
              <w:ind w:right="-23"/>
              <w:jc w:val="both"/>
              <w:rPr>
                <w:rFonts w:ascii="Times New Roman" w:hAnsi="Times New Roman" w:cs="Times New Roman"/>
                <w:sz w:val="18"/>
                <w:szCs w:val="18"/>
                <w:lang w:val="sr-Cyrl-CS"/>
              </w:rPr>
            </w:pPr>
          </w:p>
        </w:tc>
        <w:tc>
          <w:tcPr>
            <w:tcW w:w="458" w:type="pct"/>
            <w:shd w:val="clear" w:color="auto" w:fill="auto"/>
            <w:vAlign w:val="center"/>
          </w:tcPr>
          <w:p w14:paraId="4F669FB0" w14:textId="77777777" w:rsidR="00583A6E" w:rsidRPr="00487209" w:rsidRDefault="007040FE"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2F09070B" w14:textId="77777777" w:rsidR="00583A6E" w:rsidRPr="00487209" w:rsidRDefault="00583A6E"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085FFE40" w14:textId="77777777" w:rsidR="00583A6E" w:rsidRPr="00487209" w:rsidRDefault="00583A6E" w:rsidP="006C6323">
            <w:pPr>
              <w:spacing w:before="120" w:after="120"/>
              <w:jc w:val="center"/>
              <w:rPr>
                <w:rFonts w:ascii="Times New Roman" w:hAnsi="Times New Roman" w:cs="Times New Roman"/>
                <w:sz w:val="18"/>
                <w:szCs w:val="18"/>
                <w:lang w:val="ru-RU"/>
              </w:rPr>
            </w:pPr>
          </w:p>
        </w:tc>
      </w:tr>
      <w:tr w:rsidR="00337554" w:rsidRPr="00487209" w14:paraId="00E67F4E" w14:textId="77777777" w:rsidTr="007D5144">
        <w:trPr>
          <w:trHeight w:val="1970"/>
          <w:jc w:val="center"/>
        </w:trPr>
        <w:tc>
          <w:tcPr>
            <w:tcW w:w="435" w:type="pct"/>
            <w:shd w:val="clear" w:color="auto" w:fill="auto"/>
            <w:vAlign w:val="center"/>
          </w:tcPr>
          <w:p w14:paraId="36B18F44" w14:textId="77777777" w:rsidR="00F337D2" w:rsidRPr="00487209" w:rsidRDefault="00F337D2"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29.4.</w:t>
            </w:r>
          </w:p>
        </w:tc>
        <w:tc>
          <w:tcPr>
            <w:tcW w:w="1369" w:type="pct"/>
            <w:gridSpan w:val="2"/>
            <w:shd w:val="clear" w:color="auto" w:fill="auto"/>
            <w:vAlign w:val="center"/>
          </w:tcPr>
          <w:p w14:paraId="54D1FFB7" w14:textId="77777777" w:rsidR="00F337D2" w:rsidRPr="00487209" w:rsidRDefault="00F337D2" w:rsidP="006C6323">
            <w:pPr>
              <w:jc w:val="both"/>
              <w:rPr>
                <w:rFonts w:ascii="Times New Roman" w:hAnsi="Times New Roman" w:cs="Times New Roman"/>
                <w:sz w:val="18"/>
                <w:szCs w:val="18"/>
              </w:rPr>
            </w:pPr>
            <w:r w:rsidRPr="00487209">
              <w:rPr>
                <w:rFonts w:ascii="Times New Roman" w:hAnsi="Times New Roman" w:cs="Times New Roman"/>
                <w:sz w:val="18"/>
                <w:szCs w:val="18"/>
              </w:rPr>
              <w:t>The Commission shall adopt guidelines for carrying out the evaluation of TABs, after consulting the Standing Committee on Construction.</w:t>
            </w:r>
          </w:p>
        </w:tc>
        <w:tc>
          <w:tcPr>
            <w:tcW w:w="429" w:type="pct"/>
            <w:shd w:val="clear" w:color="auto" w:fill="auto"/>
            <w:vAlign w:val="center"/>
          </w:tcPr>
          <w:p w14:paraId="174BEB6C" w14:textId="77777777" w:rsidR="00F337D2" w:rsidRPr="00487209" w:rsidRDefault="00F337D2"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56933CD7" w14:textId="77777777" w:rsidR="00F337D2" w:rsidRPr="00487209" w:rsidRDefault="00F337D2" w:rsidP="006C6323">
            <w:pPr>
              <w:jc w:val="center"/>
              <w:rPr>
                <w:rFonts w:ascii="Times New Roman" w:hAnsi="Times New Roman" w:cs="Times New Roman"/>
                <w:sz w:val="18"/>
                <w:szCs w:val="18"/>
                <w:lang w:val="sr-Cyrl-CS"/>
              </w:rPr>
            </w:pPr>
          </w:p>
        </w:tc>
        <w:tc>
          <w:tcPr>
            <w:tcW w:w="458" w:type="pct"/>
            <w:shd w:val="clear" w:color="auto" w:fill="auto"/>
            <w:vAlign w:val="center"/>
          </w:tcPr>
          <w:p w14:paraId="6991DD31" w14:textId="77777777" w:rsidR="00F337D2" w:rsidRPr="00487209" w:rsidRDefault="00F337D2"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1BDF9FE2" w14:textId="633CF749" w:rsidR="00F337D2" w:rsidRPr="00487209" w:rsidRDefault="00043DF8" w:rsidP="006C6323">
            <w:pPr>
              <w:spacing w:before="120" w:after="120"/>
              <w:jc w:val="both"/>
              <w:rPr>
                <w:rFonts w:ascii="Times New Roman" w:hAnsi="Times New Roman" w:cs="Times New Roman"/>
                <w:sz w:val="18"/>
                <w:szCs w:val="18"/>
              </w:rPr>
            </w:pPr>
            <w:r>
              <w:rPr>
                <w:rFonts w:ascii="Times New Roman" w:hAnsi="Times New Roman" w:cs="Times New Roman"/>
                <w:sz w:val="18"/>
                <w:szCs w:val="18"/>
                <w:lang w:val="ru-RU"/>
              </w:rPr>
              <w:t>Члан</w:t>
            </w:r>
            <w:r w:rsidR="00F337D2" w:rsidRPr="00487209">
              <w:rPr>
                <w:rFonts w:ascii="Times New Roman" w:hAnsi="Times New Roman" w:cs="Times New Roman"/>
                <w:sz w:val="18"/>
                <w:szCs w:val="18"/>
                <w:lang w:val="ru-RU"/>
              </w:rPr>
              <w:t xml:space="preserve"> </w:t>
            </w:r>
            <w:r w:rsidR="00F337D2" w:rsidRPr="00487209">
              <w:rPr>
                <w:rFonts w:ascii="Times New Roman" w:hAnsi="Times New Roman" w:cs="Times New Roman"/>
                <w:sz w:val="18"/>
                <w:szCs w:val="18"/>
              </w:rPr>
              <w:t xml:space="preserve">29.4. </w:t>
            </w:r>
            <w:r w:rsidR="00F337D2" w:rsidRPr="00487209">
              <w:rPr>
                <w:rFonts w:ascii="Times New Roman" w:hAnsi="Times New Roman" w:cs="Times New Roman"/>
                <w:sz w:val="18"/>
                <w:szCs w:val="18"/>
                <w:lang w:val="sr-Cyrl-CS"/>
              </w:rPr>
              <w:t>Уредбе 305/2011 (ЕУ) није пренет, јер се односи на обавезу Европске комисије</w:t>
            </w:r>
            <w:r w:rsidR="00F337D2" w:rsidRPr="00487209">
              <w:rPr>
                <w:rFonts w:ascii="Times New Roman" w:hAnsi="Times New Roman" w:cs="Times New Roman"/>
                <w:bCs/>
                <w:sz w:val="18"/>
                <w:szCs w:val="18"/>
                <w:lang w:val="sr-Cyrl-CS"/>
              </w:rPr>
              <w:t>.</w:t>
            </w:r>
          </w:p>
        </w:tc>
        <w:tc>
          <w:tcPr>
            <w:tcW w:w="480" w:type="pct"/>
            <w:shd w:val="clear" w:color="auto" w:fill="auto"/>
            <w:vAlign w:val="center"/>
          </w:tcPr>
          <w:p w14:paraId="6D0556F9" w14:textId="77777777" w:rsidR="00F337D2" w:rsidRPr="00487209" w:rsidRDefault="00F337D2" w:rsidP="006C6323">
            <w:pPr>
              <w:spacing w:before="120" w:after="120"/>
              <w:jc w:val="center"/>
              <w:rPr>
                <w:rFonts w:ascii="Times New Roman" w:hAnsi="Times New Roman" w:cs="Times New Roman"/>
                <w:sz w:val="18"/>
                <w:szCs w:val="18"/>
              </w:rPr>
            </w:pPr>
          </w:p>
        </w:tc>
      </w:tr>
      <w:tr w:rsidR="00337554" w:rsidRPr="00487209" w14:paraId="31D732F4" w14:textId="77777777" w:rsidTr="007D5144">
        <w:trPr>
          <w:trHeight w:val="1970"/>
          <w:jc w:val="center"/>
        </w:trPr>
        <w:tc>
          <w:tcPr>
            <w:tcW w:w="435" w:type="pct"/>
            <w:shd w:val="clear" w:color="auto" w:fill="auto"/>
            <w:vAlign w:val="center"/>
          </w:tcPr>
          <w:p w14:paraId="25AE75BB" w14:textId="77777777" w:rsidR="00175EE5" w:rsidRPr="00487209" w:rsidRDefault="00175EE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30.1.</w:t>
            </w:r>
          </w:p>
        </w:tc>
        <w:tc>
          <w:tcPr>
            <w:tcW w:w="1369" w:type="pct"/>
            <w:gridSpan w:val="2"/>
            <w:shd w:val="clear" w:color="auto" w:fill="auto"/>
            <w:vAlign w:val="center"/>
          </w:tcPr>
          <w:p w14:paraId="30E748B9" w14:textId="77777777" w:rsidR="00175EE5" w:rsidRPr="00487209" w:rsidRDefault="00175EE5"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TAB shall carry out the assessment and issue the European Technical Assessment in a product area for which it has been designated.</w:t>
            </w:r>
          </w:p>
          <w:p w14:paraId="33DDB29E" w14:textId="77777777" w:rsidR="00175EE5" w:rsidRPr="00487209" w:rsidRDefault="00175EE5"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TAB shall satisfy the requirements set out in Table 2 of Annex IV within the scope of its designation.</w:t>
            </w:r>
          </w:p>
          <w:p w14:paraId="5B1A2B94" w14:textId="77777777" w:rsidR="00175EE5" w:rsidRPr="00487209" w:rsidRDefault="00175EE5" w:rsidP="006C6323">
            <w:pPr>
              <w:jc w:val="both"/>
              <w:rPr>
                <w:rFonts w:ascii="Times New Roman" w:hAnsi="Times New Roman" w:cs="Times New Roman"/>
                <w:sz w:val="18"/>
                <w:szCs w:val="18"/>
                <w:lang w:val="sr-Cyrl-CS"/>
              </w:rPr>
            </w:pPr>
          </w:p>
        </w:tc>
        <w:tc>
          <w:tcPr>
            <w:tcW w:w="429" w:type="pct"/>
            <w:shd w:val="clear" w:color="auto" w:fill="auto"/>
            <w:vAlign w:val="center"/>
          </w:tcPr>
          <w:p w14:paraId="1606BC99" w14:textId="79A0C912" w:rsidR="00644BD2"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1B7E0410" w14:textId="77777777" w:rsidR="006315C2" w:rsidRPr="00487209" w:rsidRDefault="00644BD2" w:rsidP="006C6323">
            <w:pPr>
              <w:spacing w:before="120" w:after="120"/>
              <w:ind w:firstLine="5"/>
              <w:jc w:val="center"/>
              <w:rPr>
                <w:rFonts w:ascii="Times New Roman" w:hAnsi="Times New Roman" w:cs="Times New Roman"/>
                <w:sz w:val="18"/>
                <w:szCs w:val="18"/>
                <w:lang w:val="es-ES"/>
              </w:rPr>
            </w:pPr>
            <w:r w:rsidRPr="00487209">
              <w:rPr>
                <w:rFonts w:ascii="Times New Roman" w:hAnsi="Times New Roman" w:cs="Times New Roman"/>
                <w:sz w:val="18"/>
                <w:szCs w:val="18"/>
                <w:lang w:val="es-ES"/>
              </w:rPr>
              <w:t xml:space="preserve"> </w:t>
            </w:r>
            <w:r w:rsidR="00884269" w:rsidRPr="00487209">
              <w:rPr>
                <w:rFonts w:ascii="Times New Roman" w:hAnsi="Times New Roman" w:cs="Times New Roman"/>
                <w:sz w:val="18"/>
                <w:szCs w:val="18"/>
                <w:lang w:val="es-ES"/>
              </w:rPr>
              <w:t>3</w:t>
            </w:r>
            <w:r w:rsidR="00293052" w:rsidRPr="00487209">
              <w:rPr>
                <w:rFonts w:ascii="Times New Roman" w:hAnsi="Times New Roman" w:cs="Times New Roman"/>
                <w:sz w:val="18"/>
                <w:szCs w:val="18"/>
              </w:rPr>
              <w:t>5</w:t>
            </w:r>
            <w:r w:rsidR="00884269" w:rsidRPr="00487209">
              <w:rPr>
                <w:rFonts w:ascii="Times New Roman" w:hAnsi="Times New Roman" w:cs="Times New Roman"/>
                <w:sz w:val="18"/>
                <w:szCs w:val="18"/>
                <w:lang w:val="es-ES"/>
              </w:rPr>
              <w:t>.1.</w:t>
            </w:r>
          </w:p>
          <w:p w14:paraId="4C6EA26B" w14:textId="77777777" w:rsidR="006315C2" w:rsidRPr="00487209" w:rsidRDefault="006315C2" w:rsidP="006C6323">
            <w:pPr>
              <w:spacing w:before="120" w:after="120"/>
              <w:ind w:firstLine="5"/>
              <w:jc w:val="center"/>
              <w:rPr>
                <w:rFonts w:ascii="Times New Roman" w:hAnsi="Times New Roman" w:cs="Times New Roman"/>
                <w:sz w:val="18"/>
                <w:szCs w:val="18"/>
                <w:lang w:val="ru-RU"/>
              </w:rPr>
            </w:pPr>
          </w:p>
          <w:p w14:paraId="6B147121" w14:textId="77777777" w:rsidR="006315C2" w:rsidRDefault="00884269" w:rsidP="006C6323">
            <w:pPr>
              <w:spacing w:before="120" w:after="120"/>
              <w:ind w:firstLine="5"/>
              <w:jc w:val="center"/>
              <w:rPr>
                <w:rFonts w:ascii="Times New Roman" w:hAnsi="Times New Roman" w:cs="Times New Roman"/>
                <w:sz w:val="18"/>
                <w:szCs w:val="18"/>
                <w:lang w:val="es-ES"/>
              </w:rPr>
            </w:pPr>
            <w:r w:rsidRPr="00487209">
              <w:rPr>
                <w:rFonts w:ascii="Times New Roman" w:hAnsi="Times New Roman" w:cs="Times New Roman"/>
                <w:sz w:val="18"/>
                <w:szCs w:val="18"/>
                <w:lang w:val="es-ES"/>
              </w:rPr>
              <w:t>3</w:t>
            </w:r>
            <w:r w:rsidR="00293052" w:rsidRPr="00487209">
              <w:rPr>
                <w:rFonts w:ascii="Times New Roman" w:hAnsi="Times New Roman" w:cs="Times New Roman"/>
                <w:sz w:val="18"/>
                <w:szCs w:val="18"/>
              </w:rPr>
              <w:t>5</w:t>
            </w:r>
            <w:r w:rsidRPr="00487209">
              <w:rPr>
                <w:rFonts w:ascii="Times New Roman" w:hAnsi="Times New Roman" w:cs="Times New Roman"/>
                <w:sz w:val="18"/>
                <w:szCs w:val="18"/>
                <w:lang w:val="es-ES"/>
              </w:rPr>
              <w:t>.2.</w:t>
            </w:r>
          </w:p>
          <w:p w14:paraId="228143D4" w14:textId="77777777" w:rsidR="00DB35CE" w:rsidRDefault="00DB35CE" w:rsidP="006C6323">
            <w:pPr>
              <w:spacing w:before="120" w:after="120"/>
              <w:ind w:firstLine="5"/>
              <w:jc w:val="center"/>
              <w:rPr>
                <w:rFonts w:ascii="Times New Roman" w:hAnsi="Times New Roman" w:cs="Times New Roman"/>
                <w:sz w:val="18"/>
                <w:szCs w:val="18"/>
                <w:lang w:val="es-ES"/>
              </w:rPr>
            </w:pPr>
          </w:p>
          <w:p w14:paraId="4B59BD16" w14:textId="47A24B43" w:rsidR="00DB35CE" w:rsidRPr="008B3CF2" w:rsidRDefault="00DB35CE" w:rsidP="006C6323">
            <w:pPr>
              <w:spacing w:before="120" w:after="120"/>
              <w:ind w:firstLine="5"/>
              <w:jc w:val="center"/>
              <w:rPr>
                <w:rFonts w:ascii="Times New Roman" w:hAnsi="Times New Roman" w:cs="Times New Roman"/>
                <w:sz w:val="18"/>
                <w:szCs w:val="18"/>
                <w:lang w:val="sr-Cyrl-CS"/>
              </w:rPr>
            </w:pPr>
            <w:r>
              <w:rPr>
                <w:rFonts w:ascii="Times New Roman" w:hAnsi="Times New Roman" w:cs="Times New Roman"/>
                <w:sz w:val="18"/>
                <w:szCs w:val="18"/>
                <w:lang w:val="sr-Cyrl-CS"/>
              </w:rPr>
              <w:t>34.3.</w:t>
            </w:r>
          </w:p>
        </w:tc>
        <w:tc>
          <w:tcPr>
            <w:tcW w:w="1231" w:type="pct"/>
            <w:gridSpan w:val="2"/>
            <w:shd w:val="clear" w:color="auto" w:fill="auto"/>
            <w:vAlign w:val="center"/>
          </w:tcPr>
          <w:p w14:paraId="6FCB80F1" w14:textId="77777777" w:rsidR="00DB35CE" w:rsidRPr="00DB35CE" w:rsidRDefault="00DB35CE" w:rsidP="00DB35CE">
            <w:pPr>
              <w:spacing w:before="120"/>
              <w:ind w:right="-23"/>
              <w:jc w:val="both"/>
              <w:rPr>
                <w:rFonts w:ascii="Times New Roman" w:eastAsia="Times New Roman" w:hAnsi="Times New Roman" w:cs="Times New Roman"/>
                <w:sz w:val="18"/>
                <w:szCs w:val="18"/>
                <w:lang w:val="sr-Cyrl-CS"/>
              </w:rPr>
            </w:pPr>
            <w:r w:rsidRPr="00DB35CE">
              <w:rPr>
                <w:rFonts w:ascii="Times New Roman" w:eastAsia="Times New Roman" w:hAnsi="Times New Roman" w:cs="Times New Roman"/>
                <w:sz w:val="18"/>
                <w:szCs w:val="18"/>
                <w:lang w:val="sr-Cyrl-CS"/>
              </w:rPr>
              <w:t>Телo за техничко оцењивање спроводи оцењивање перформанси и издаје техничку оцену за област грађевинских производа за коју је именовано.</w:t>
            </w:r>
          </w:p>
          <w:p w14:paraId="243CBAA0" w14:textId="6884D36E" w:rsidR="00175EE5" w:rsidRDefault="00DB35CE" w:rsidP="006C6323">
            <w:pPr>
              <w:pStyle w:val="Style7"/>
              <w:spacing w:before="240" w:after="0" w:line="240" w:lineRule="auto"/>
              <w:ind w:right="-23"/>
              <w:jc w:val="both"/>
              <w:outlineLvl w:val="3"/>
              <w:rPr>
                <w:sz w:val="18"/>
                <w:szCs w:val="18"/>
              </w:rPr>
            </w:pPr>
            <w:r w:rsidRPr="00DB35CE">
              <w:rPr>
                <w:rFonts w:eastAsia="Times New Roman"/>
                <w:sz w:val="18"/>
                <w:szCs w:val="18"/>
              </w:rPr>
              <w:t>Телo за техничко оцењивање је обавезно да испуњава захтеве утврђене прописом донетим на основу овог закона у оквиру обима свог именовања.</w:t>
            </w:r>
          </w:p>
          <w:p w14:paraId="0CDBAC2C" w14:textId="12CC6DF4" w:rsidR="00DB35CE" w:rsidRPr="008B3CF2" w:rsidRDefault="00DB35CE" w:rsidP="008B3CF2">
            <w:pPr>
              <w:spacing w:before="240"/>
              <w:ind w:right="-23"/>
              <w:rPr>
                <w:rFonts w:ascii="Times New Roman" w:hAnsi="Times New Roman" w:cs="Times New Roman"/>
                <w:sz w:val="18"/>
                <w:szCs w:val="18"/>
              </w:rPr>
            </w:pPr>
            <w:r w:rsidRPr="008B3CF2">
              <w:rPr>
                <w:rFonts w:ascii="Times New Roman" w:hAnsi="Times New Roman" w:cs="Times New Roman"/>
                <w:sz w:val="18"/>
                <w:szCs w:val="18"/>
              </w:rPr>
              <w:t>Захтеве за именовање тела за техничко оцењивање утврђује министар надлежан за послове грађевинарства.</w:t>
            </w:r>
          </w:p>
        </w:tc>
        <w:tc>
          <w:tcPr>
            <w:tcW w:w="458" w:type="pct"/>
            <w:shd w:val="clear" w:color="auto" w:fill="auto"/>
            <w:vAlign w:val="center"/>
          </w:tcPr>
          <w:p w14:paraId="6268CE21" w14:textId="77777777" w:rsidR="00175EE5" w:rsidRPr="00487209" w:rsidRDefault="001A4F20"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w:t>
            </w:r>
            <w:r w:rsidR="006315C2" w:rsidRPr="00487209">
              <w:rPr>
                <w:rFonts w:ascii="Times New Roman" w:hAnsi="Times New Roman" w:cs="Times New Roman"/>
                <w:sz w:val="18"/>
                <w:szCs w:val="18"/>
                <w:lang w:val="sr-Cyrl-CS"/>
              </w:rPr>
              <w:t>У</w:t>
            </w:r>
          </w:p>
        </w:tc>
        <w:tc>
          <w:tcPr>
            <w:tcW w:w="598" w:type="pct"/>
            <w:gridSpan w:val="2"/>
            <w:shd w:val="clear" w:color="auto" w:fill="auto"/>
            <w:vAlign w:val="center"/>
          </w:tcPr>
          <w:p w14:paraId="69B8A007" w14:textId="77777777" w:rsidR="00175EE5" w:rsidRPr="00487209" w:rsidRDefault="00175EE5"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6AE016CA" w14:textId="77777777" w:rsidR="00175EE5" w:rsidRPr="00487209" w:rsidRDefault="00175EE5" w:rsidP="006C6323">
            <w:pPr>
              <w:spacing w:before="120" w:after="120"/>
              <w:jc w:val="center"/>
              <w:rPr>
                <w:rFonts w:ascii="Times New Roman" w:hAnsi="Times New Roman" w:cs="Times New Roman"/>
                <w:sz w:val="18"/>
                <w:szCs w:val="18"/>
                <w:lang w:val="sr-Cyrl-CS"/>
              </w:rPr>
            </w:pPr>
          </w:p>
        </w:tc>
      </w:tr>
      <w:tr w:rsidR="00337554" w:rsidRPr="00487209" w14:paraId="2A1AD9D8" w14:textId="77777777" w:rsidTr="007D5144">
        <w:trPr>
          <w:trHeight w:val="1970"/>
          <w:jc w:val="center"/>
        </w:trPr>
        <w:tc>
          <w:tcPr>
            <w:tcW w:w="435" w:type="pct"/>
            <w:shd w:val="clear" w:color="auto" w:fill="auto"/>
            <w:vAlign w:val="center"/>
          </w:tcPr>
          <w:p w14:paraId="27CA7FF3" w14:textId="77777777" w:rsidR="003578BF" w:rsidRPr="00487209" w:rsidRDefault="003578BF"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30.2.</w:t>
            </w:r>
          </w:p>
        </w:tc>
        <w:tc>
          <w:tcPr>
            <w:tcW w:w="1369" w:type="pct"/>
            <w:gridSpan w:val="2"/>
            <w:shd w:val="clear" w:color="auto" w:fill="auto"/>
            <w:vAlign w:val="center"/>
          </w:tcPr>
          <w:p w14:paraId="1E9B67CB" w14:textId="77777777" w:rsidR="003578BF" w:rsidRPr="00487209" w:rsidRDefault="003578BF" w:rsidP="006C6323">
            <w:pPr>
              <w:jc w:val="both"/>
              <w:rPr>
                <w:rFonts w:ascii="Times New Roman" w:hAnsi="Times New Roman" w:cs="Times New Roman"/>
                <w:sz w:val="18"/>
                <w:szCs w:val="18"/>
              </w:rPr>
            </w:pPr>
            <w:r w:rsidRPr="00487209">
              <w:rPr>
                <w:rFonts w:ascii="Times New Roman" w:hAnsi="Times New Roman" w:cs="Times New Roman"/>
                <w:sz w:val="18"/>
                <w:szCs w:val="18"/>
              </w:rPr>
              <w:t>A</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TAB</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shall</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make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publicly</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available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its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organigram</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and</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names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of</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members of its internal decision-making bodies.</w:t>
            </w:r>
          </w:p>
        </w:tc>
        <w:tc>
          <w:tcPr>
            <w:tcW w:w="429" w:type="pct"/>
            <w:shd w:val="clear" w:color="auto" w:fill="auto"/>
            <w:vAlign w:val="center"/>
          </w:tcPr>
          <w:p w14:paraId="4AE99A68" w14:textId="6CE37D40" w:rsidR="00644BD2"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7ED56271" w14:textId="77777777" w:rsidR="003578BF" w:rsidRPr="00487209" w:rsidRDefault="00644BD2" w:rsidP="006C6323">
            <w:pPr>
              <w:spacing w:before="120" w:after="120"/>
              <w:ind w:firstLine="5"/>
              <w:jc w:val="center"/>
              <w:rPr>
                <w:rFonts w:ascii="Times New Roman" w:hAnsi="Times New Roman" w:cs="Times New Roman"/>
                <w:sz w:val="18"/>
                <w:szCs w:val="18"/>
                <w:lang w:val="es-ES"/>
              </w:rPr>
            </w:pPr>
            <w:r w:rsidRPr="00487209">
              <w:rPr>
                <w:rFonts w:ascii="Times New Roman" w:hAnsi="Times New Roman" w:cs="Times New Roman"/>
                <w:sz w:val="18"/>
                <w:szCs w:val="18"/>
                <w:lang w:val="es-ES"/>
              </w:rPr>
              <w:t xml:space="preserve"> </w:t>
            </w:r>
            <w:r w:rsidR="00884269" w:rsidRPr="00487209">
              <w:rPr>
                <w:rFonts w:ascii="Times New Roman" w:hAnsi="Times New Roman" w:cs="Times New Roman"/>
                <w:sz w:val="18"/>
                <w:szCs w:val="18"/>
                <w:lang w:val="es-ES"/>
              </w:rPr>
              <w:t>3</w:t>
            </w:r>
            <w:r w:rsidR="00A11E12" w:rsidRPr="00487209">
              <w:rPr>
                <w:rFonts w:ascii="Times New Roman" w:hAnsi="Times New Roman" w:cs="Times New Roman"/>
                <w:sz w:val="18"/>
                <w:szCs w:val="18"/>
              </w:rPr>
              <w:t>5</w:t>
            </w:r>
            <w:r w:rsidR="00884269" w:rsidRPr="00487209">
              <w:rPr>
                <w:rFonts w:ascii="Times New Roman" w:hAnsi="Times New Roman" w:cs="Times New Roman"/>
                <w:sz w:val="18"/>
                <w:szCs w:val="18"/>
                <w:lang w:val="es-ES"/>
              </w:rPr>
              <w:t>.3.</w:t>
            </w:r>
          </w:p>
        </w:tc>
        <w:tc>
          <w:tcPr>
            <w:tcW w:w="1231" w:type="pct"/>
            <w:gridSpan w:val="2"/>
            <w:shd w:val="clear" w:color="auto" w:fill="auto"/>
            <w:vAlign w:val="center"/>
          </w:tcPr>
          <w:p w14:paraId="5B2E8102" w14:textId="16655CE7" w:rsidR="00A11E12" w:rsidRPr="00487209" w:rsidRDefault="00D12F84" w:rsidP="006C6323">
            <w:pPr>
              <w:pStyle w:val="Style7"/>
              <w:spacing w:before="240" w:after="0" w:line="240" w:lineRule="auto"/>
              <w:ind w:right="-23"/>
              <w:jc w:val="both"/>
              <w:outlineLvl w:val="3"/>
              <w:rPr>
                <w:sz w:val="18"/>
                <w:szCs w:val="18"/>
                <w:lang w:val="es-ES"/>
              </w:rPr>
            </w:pPr>
            <w:r w:rsidRPr="00487209">
              <w:rPr>
                <w:rFonts w:eastAsia="Times New Roman"/>
                <w:sz w:val="18"/>
                <w:szCs w:val="18"/>
                <w:lang w:eastAsia="en-US"/>
              </w:rPr>
              <w:t>Тел</w:t>
            </w:r>
            <w:r w:rsidRPr="00487209">
              <w:rPr>
                <w:rFonts w:eastAsia="Times New Roman"/>
                <w:sz w:val="18"/>
                <w:szCs w:val="18"/>
                <w:lang w:val="en-US" w:eastAsia="en-US"/>
              </w:rPr>
              <w:t>o</w:t>
            </w:r>
            <w:r w:rsidRPr="00487209">
              <w:rPr>
                <w:rFonts w:eastAsia="Times New Roman"/>
                <w:sz w:val="18"/>
                <w:szCs w:val="18"/>
                <w:lang w:eastAsia="en-US"/>
              </w:rPr>
              <w:t xml:space="preserve"> за техничко оцењивање </w:t>
            </w:r>
            <w:r w:rsidR="00A11E12" w:rsidRPr="00487209">
              <w:rPr>
                <w:sz w:val="18"/>
                <w:szCs w:val="18"/>
                <w:lang w:val="en-US"/>
              </w:rPr>
              <w:t>јавно</w:t>
            </w:r>
            <w:r w:rsidR="00A11E12" w:rsidRPr="00487209">
              <w:rPr>
                <w:sz w:val="18"/>
                <w:szCs w:val="18"/>
                <w:lang w:val="es-ES"/>
              </w:rPr>
              <w:t xml:space="preserve"> </w:t>
            </w:r>
            <w:r w:rsidR="00A11E12" w:rsidRPr="00487209">
              <w:rPr>
                <w:sz w:val="18"/>
                <w:szCs w:val="18"/>
                <w:lang w:val="en-US"/>
              </w:rPr>
              <w:t>објављује</w:t>
            </w:r>
            <w:r w:rsidR="00A11E12" w:rsidRPr="00487209">
              <w:rPr>
                <w:sz w:val="18"/>
                <w:szCs w:val="18"/>
                <w:lang w:val="es-ES"/>
              </w:rPr>
              <w:t xml:space="preserve"> </w:t>
            </w:r>
            <w:r w:rsidR="00A11E12" w:rsidRPr="00487209">
              <w:rPr>
                <w:sz w:val="18"/>
                <w:szCs w:val="18"/>
                <w:lang w:val="en-US"/>
              </w:rPr>
              <w:t>своју</w:t>
            </w:r>
            <w:r w:rsidR="00A11E12" w:rsidRPr="00487209">
              <w:rPr>
                <w:sz w:val="18"/>
                <w:szCs w:val="18"/>
                <w:lang w:val="es-ES"/>
              </w:rPr>
              <w:t xml:space="preserve"> </w:t>
            </w:r>
            <w:r w:rsidR="00A11E12" w:rsidRPr="00487209">
              <w:rPr>
                <w:sz w:val="18"/>
                <w:szCs w:val="18"/>
                <w:lang w:val="en-US"/>
              </w:rPr>
              <w:t>организациону</w:t>
            </w:r>
            <w:r w:rsidR="00A11E12" w:rsidRPr="00487209">
              <w:rPr>
                <w:sz w:val="18"/>
                <w:szCs w:val="18"/>
                <w:lang w:val="es-ES"/>
              </w:rPr>
              <w:t xml:space="preserve"> </w:t>
            </w:r>
            <w:r w:rsidR="00A11E12" w:rsidRPr="00487209">
              <w:rPr>
                <w:sz w:val="18"/>
                <w:szCs w:val="18"/>
                <w:lang w:val="en-US"/>
              </w:rPr>
              <w:t>шему</w:t>
            </w:r>
            <w:r w:rsidR="00A11E12" w:rsidRPr="00487209">
              <w:rPr>
                <w:sz w:val="18"/>
                <w:szCs w:val="18"/>
                <w:lang w:val="es-ES"/>
              </w:rPr>
              <w:t xml:space="preserve"> </w:t>
            </w:r>
            <w:r w:rsidR="00A11E12" w:rsidRPr="00487209">
              <w:rPr>
                <w:sz w:val="18"/>
                <w:szCs w:val="18"/>
                <w:lang w:val="en-US"/>
              </w:rPr>
              <w:t>и</w:t>
            </w:r>
            <w:r w:rsidR="00A11E12" w:rsidRPr="00487209">
              <w:rPr>
                <w:sz w:val="18"/>
                <w:szCs w:val="18"/>
                <w:lang w:val="es-ES"/>
              </w:rPr>
              <w:t xml:space="preserve"> </w:t>
            </w:r>
            <w:r w:rsidR="00A11E12" w:rsidRPr="00487209">
              <w:rPr>
                <w:sz w:val="18"/>
                <w:szCs w:val="18"/>
                <w:lang w:val="en-US"/>
              </w:rPr>
              <w:t>имена</w:t>
            </w:r>
            <w:r w:rsidR="00A11E12" w:rsidRPr="00487209">
              <w:rPr>
                <w:sz w:val="18"/>
                <w:szCs w:val="18"/>
                <w:lang w:val="es-ES"/>
              </w:rPr>
              <w:t xml:space="preserve"> </w:t>
            </w:r>
            <w:r w:rsidR="00B56846">
              <w:rPr>
                <w:sz w:val="18"/>
                <w:szCs w:val="18"/>
              </w:rPr>
              <w:t>лица одговорних</w:t>
            </w:r>
            <w:r w:rsidR="00A11E12" w:rsidRPr="00487209">
              <w:rPr>
                <w:sz w:val="18"/>
                <w:szCs w:val="18"/>
                <w:lang w:val="es-ES"/>
              </w:rPr>
              <w:t xml:space="preserve"> </w:t>
            </w:r>
            <w:r w:rsidR="00A11E12" w:rsidRPr="00487209">
              <w:rPr>
                <w:sz w:val="18"/>
                <w:szCs w:val="18"/>
                <w:lang w:val="en-US"/>
              </w:rPr>
              <w:t>за</w:t>
            </w:r>
            <w:r w:rsidR="00A11E12" w:rsidRPr="00487209">
              <w:rPr>
                <w:sz w:val="18"/>
                <w:szCs w:val="18"/>
                <w:lang w:val="es-ES"/>
              </w:rPr>
              <w:t xml:space="preserve"> </w:t>
            </w:r>
            <w:r w:rsidR="00A11E12" w:rsidRPr="00487209">
              <w:rPr>
                <w:sz w:val="18"/>
                <w:szCs w:val="18"/>
                <w:lang w:val="en-US"/>
              </w:rPr>
              <w:t>доношење</w:t>
            </w:r>
            <w:r w:rsidR="00A11E12" w:rsidRPr="00487209">
              <w:rPr>
                <w:sz w:val="18"/>
                <w:szCs w:val="18"/>
                <w:lang w:val="es-ES"/>
              </w:rPr>
              <w:t xml:space="preserve"> </w:t>
            </w:r>
            <w:r w:rsidR="00A11E12" w:rsidRPr="00487209">
              <w:rPr>
                <w:sz w:val="18"/>
                <w:szCs w:val="18"/>
                <w:lang w:val="en-US"/>
              </w:rPr>
              <w:t>одлука</w:t>
            </w:r>
            <w:r w:rsidR="00A11E12" w:rsidRPr="00487209">
              <w:rPr>
                <w:sz w:val="18"/>
                <w:szCs w:val="18"/>
                <w:lang w:val="es-ES"/>
              </w:rPr>
              <w:t>.</w:t>
            </w:r>
          </w:p>
          <w:p w14:paraId="22182297" w14:textId="77777777" w:rsidR="003578BF" w:rsidRPr="00487209" w:rsidRDefault="003578BF" w:rsidP="006C6323">
            <w:pPr>
              <w:jc w:val="center"/>
              <w:rPr>
                <w:rFonts w:ascii="Times New Roman" w:hAnsi="Times New Roman" w:cs="Times New Roman"/>
                <w:sz w:val="18"/>
                <w:szCs w:val="18"/>
                <w:lang w:val="sr-Cyrl-CS"/>
              </w:rPr>
            </w:pPr>
          </w:p>
        </w:tc>
        <w:tc>
          <w:tcPr>
            <w:tcW w:w="458" w:type="pct"/>
            <w:shd w:val="clear" w:color="auto" w:fill="auto"/>
            <w:vAlign w:val="center"/>
          </w:tcPr>
          <w:p w14:paraId="12F3ADCF" w14:textId="77777777" w:rsidR="003578BF" w:rsidRPr="00487209" w:rsidRDefault="00A11E12"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w:t>
            </w:r>
            <w:r w:rsidR="003578BF" w:rsidRPr="00487209">
              <w:rPr>
                <w:rFonts w:ascii="Times New Roman" w:hAnsi="Times New Roman" w:cs="Times New Roman"/>
                <w:sz w:val="18"/>
                <w:szCs w:val="18"/>
                <w:lang w:val="sr-Cyrl-CS"/>
              </w:rPr>
              <w:t>У</w:t>
            </w:r>
          </w:p>
        </w:tc>
        <w:tc>
          <w:tcPr>
            <w:tcW w:w="598" w:type="pct"/>
            <w:gridSpan w:val="2"/>
            <w:shd w:val="clear" w:color="auto" w:fill="auto"/>
            <w:vAlign w:val="center"/>
          </w:tcPr>
          <w:p w14:paraId="295FA575" w14:textId="77777777" w:rsidR="003578BF" w:rsidRPr="00487209" w:rsidRDefault="003578BF"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555B4960" w14:textId="77777777" w:rsidR="003578BF" w:rsidRPr="00487209" w:rsidRDefault="003578BF" w:rsidP="006C6323">
            <w:pPr>
              <w:spacing w:before="120" w:after="120"/>
              <w:jc w:val="center"/>
              <w:rPr>
                <w:rFonts w:ascii="Times New Roman" w:hAnsi="Times New Roman" w:cs="Times New Roman"/>
                <w:sz w:val="18"/>
                <w:szCs w:val="18"/>
                <w:lang w:val="ru-RU"/>
              </w:rPr>
            </w:pPr>
          </w:p>
        </w:tc>
      </w:tr>
      <w:tr w:rsidR="00337554" w:rsidRPr="00487209" w14:paraId="5309CB28" w14:textId="77777777" w:rsidTr="007D5144">
        <w:trPr>
          <w:trHeight w:val="4374"/>
          <w:jc w:val="center"/>
        </w:trPr>
        <w:tc>
          <w:tcPr>
            <w:tcW w:w="435" w:type="pct"/>
            <w:shd w:val="clear" w:color="auto" w:fill="auto"/>
            <w:vAlign w:val="center"/>
          </w:tcPr>
          <w:p w14:paraId="6323F182" w14:textId="77777777" w:rsidR="009561CE" w:rsidRPr="00487209" w:rsidRDefault="009561CE"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30.3.</w:t>
            </w:r>
          </w:p>
        </w:tc>
        <w:tc>
          <w:tcPr>
            <w:tcW w:w="1369" w:type="pct"/>
            <w:gridSpan w:val="2"/>
            <w:shd w:val="clear" w:color="auto" w:fill="auto"/>
            <w:vAlign w:val="center"/>
          </w:tcPr>
          <w:p w14:paraId="74F4F159" w14:textId="77777777" w:rsidR="009561CE" w:rsidRPr="00487209" w:rsidRDefault="009561CE" w:rsidP="006C6323">
            <w:pPr>
              <w:jc w:val="both"/>
              <w:rPr>
                <w:rFonts w:ascii="Times New Roman" w:hAnsi="Times New Roman" w:cs="Times New Roman"/>
                <w:sz w:val="18"/>
                <w:szCs w:val="18"/>
              </w:rPr>
            </w:pPr>
            <w:r w:rsidRPr="00487209">
              <w:rPr>
                <w:rFonts w:ascii="Times New Roman" w:hAnsi="Times New Roman" w:cs="Times New Roman"/>
                <w:sz w:val="18"/>
                <w:szCs w:val="18"/>
              </w:rPr>
              <w:t>Where a TAB no longer complies with the requirements referred to in paragraph 1, the Member State shall withdraw the designation of that TAB for the relevant product area and inform the Commission and the other Member States thereof.</w:t>
            </w:r>
          </w:p>
        </w:tc>
        <w:tc>
          <w:tcPr>
            <w:tcW w:w="429" w:type="pct"/>
            <w:shd w:val="clear" w:color="auto" w:fill="auto"/>
            <w:vAlign w:val="center"/>
          </w:tcPr>
          <w:p w14:paraId="73DBDD76" w14:textId="77777777" w:rsidR="00030F85" w:rsidRPr="00487209" w:rsidRDefault="00030F85" w:rsidP="006C6323">
            <w:pPr>
              <w:spacing w:before="120" w:after="120"/>
              <w:ind w:firstLine="5"/>
              <w:jc w:val="center"/>
              <w:rPr>
                <w:rFonts w:ascii="Times New Roman" w:hAnsi="Times New Roman" w:cs="Times New Roman"/>
                <w:sz w:val="18"/>
                <w:szCs w:val="18"/>
                <w:lang w:val="ru-RU"/>
              </w:rPr>
            </w:pPr>
          </w:p>
          <w:p w14:paraId="190015F5" w14:textId="1107D2B3" w:rsidR="00030F85" w:rsidRDefault="00030F85" w:rsidP="006C6323">
            <w:pPr>
              <w:spacing w:before="120" w:after="120"/>
              <w:ind w:firstLine="5"/>
              <w:jc w:val="center"/>
              <w:rPr>
                <w:rFonts w:ascii="Times New Roman" w:hAnsi="Times New Roman" w:cs="Times New Roman"/>
                <w:sz w:val="18"/>
                <w:szCs w:val="18"/>
                <w:lang w:val="ru-RU"/>
              </w:rPr>
            </w:pPr>
          </w:p>
          <w:p w14:paraId="742ADFB6" w14:textId="77777777" w:rsidR="00B56846" w:rsidRPr="00487209" w:rsidRDefault="00B56846" w:rsidP="006C6323">
            <w:pPr>
              <w:spacing w:before="120" w:after="120"/>
              <w:ind w:firstLine="5"/>
              <w:jc w:val="center"/>
              <w:rPr>
                <w:rFonts w:ascii="Times New Roman" w:hAnsi="Times New Roman" w:cs="Times New Roman"/>
                <w:sz w:val="18"/>
                <w:szCs w:val="18"/>
                <w:lang w:val="ru-RU"/>
              </w:rPr>
            </w:pPr>
          </w:p>
          <w:p w14:paraId="33570A5B" w14:textId="77777777" w:rsidR="00030F85" w:rsidRPr="00487209" w:rsidRDefault="00030F85" w:rsidP="006C6323">
            <w:pPr>
              <w:spacing w:before="120" w:after="120"/>
              <w:ind w:firstLine="5"/>
              <w:jc w:val="center"/>
              <w:rPr>
                <w:rFonts w:ascii="Times New Roman" w:hAnsi="Times New Roman" w:cs="Times New Roman"/>
                <w:sz w:val="18"/>
                <w:szCs w:val="18"/>
                <w:lang w:val="ru-RU"/>
              </w:rPr>
            </w:pPr>
          </w:p>
          <w:p w14:paraId="2D35214C" w14:textId="0075618C" w:rsidR="00644BD2"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6A4B2B16" w14:textId="77777777" w:rsidR="00030F85" w:rsidRPr="00487209" w:rsidRDefault="00644BD2"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030F85" w:rsidRPr="00487209">
              <w:rPr>
                <w:rFonts w:ascii="Times New Roman" w:hAnsi="Times New Roman" w:cs="Times New Roman"/>
                <w:sz w:val="18"/>
                <w:szCs w:val="18"/>
                <w:lang w:val="ru-RU"/>
              </w:rPr>
              <w:t>36.1.</w:t>
            </w:r>
          </w:p>
          <w:p w14:paraId="60C0D9F6" w14:textId="77777777" w:rsidR="00030F85" w:rsidRPr="00487209" w:rsidRDefault="00030F85" w:rsidP="006C6323">
            <w:pPr>
              <w:spacing w:before="120" w:after="120"/>
              <w:ind w:firstLine="5"/>
              <w:jc w:val="center"/>
              <w:rPr>
                <w:rFonts w:ascii="Times New Roman" w:hAnsi="Times New Roman" w:cs="Times New Roman"/>
                <w:sz w:val="18"/>
                <w:szCs w:val="18"/>
                <w:lang w:val="ru-RU"/>
              </w:rPr>
            </w:pPr>
          </w:p>
          <w:p w14:paraId="61768C94" w14:textId="77777777" w:rsidR="00030F85" w:rsidRPr="00487209" w:rsidRDefault="00030F85" w:rsidP="006C6323">
            <w:pPr>
              <w:spacing w:before="120" w:after="120"/>
              <w:ind w:firstLine="5"/>
              <w:jc w:val="center"/>
              <w:rPr>
                <w:rFonts w:ascii="Times New Roman" w:hAnsi="Times New Roman" w:cs="Times New Roman"/>
                <w:sz w:val="18"/>
                <w:szCs w:val="18"/>
                <w:lang w:val="ru-RU"/>
              </w:rPr>
            </w:pPr>
          </w:p>
          <w:p w14:paraId="1BFBFE48" w14:textId="77777777" w:rsidR="00030F85" w:rsidRPr="00487209" w:rsidRDefault="00030F85" w:rsidP="006C6323">
            <w:pPr>
              <w:spacing w:before="120" w:after="120"/>
              <w:ind w:firstLine="5"/>
              <w:jc w:val="center"/>
              <w:rPr>
                <w:rFonts w:ascii="Times New Roman" w:hAnsi="Times New Roman" w:cs="Times New Roman"/>
                <w:sz w:val="18"/>
                <w:szCs w:val="18"/>
                <w:lang w:val="ru-RU"/>
              </w:rPr>
            </w:pPr>
          </w:p>
          <w:p w14:paraId="2D56D4F1" w14:textId="77777777" w:rsidR="00030F85" w:rsidRPr="00487209" w:rsidRDefault="00030F85" w:rsidP="006C6323">
            <w:pPr>
              <w:spacing w:before="120" w:after="120"/>
              <w:ind w:firstLine="5"/>
              <w:jc w:val="center"/>
              <w:rPr>
                <w:rFonts w:ascii="Times New Roman" w:hAnsi="Times New Roman" w:cs="Times New Roman"/>
                <w:sz w:val="18"/>
                <w:szCs w:val="18"/>
                <w:lang w:val="ru-RU"/>
              </w:rPr>
            </w:pPr>
          </w:p>
          <w:p w14:paraId="7733F1A5" w14:textId="77777777" w:rsidR="00030F85" w:rsidRPr="00487209" w:rsidRDefault="00030F85" w:rsidP="006C6323">
            <w:pPr>
              <w:spacing w:before="120" w:after="120"/>
              <w:ind w:firstLine="5"/>
              <w:jc w:val="center"/>
              <w:rPr>
                <w:rFonts w:ascii="Times New Roman" w:hAnsi="Times New Roman" w:cs="Times New Roman"/>
                <w:sz w:val="18"/>
                <w:szCs w:val="18"/>
                <w:lang w:val="ru-RU"/>
              </w:rPr>
            </w:pPr>
          </w:p>
          <w:p w14:paraId="7D428A31" w14:textId="77777777" w:rsidR="00030F85" w:rsidRPr="00487209" w:rsidRDefault="00030F85" w:rsidP="006C6323">
            <w:pPr>
              <w:spacing w:before="120" w:after="120"/>
              <w:ind w:firstLine="5"/>
              <w:jc w:val="center"/>
              <w:rPr>
                <w:rFonts w:ascii="Times New Roman" w:hAnsi="Times New Roman" w:cs="Times New Roman"/>
                <w:sz w:val="18"/>
                <w:szCs w:val="18"/>
                <w:lang w:val="ru-RU"/>
              </w:rPr>
            </w:pPr>
          </w:p>
          <w:p w14:paraId="7CBC695E" w14:textId="77777777" w:rsidR="009561CE" w:rsidRPr="00487209" w:rsidRDefault="009561CE" w:rsidP="006C6323">
            <w:pPr>
              <w:spacing w:before="120" w:after="120"/>
              <w:ind w:firstLine="5"/>
              <w:jc w:val="center"/>
              <w:rPr>
                <w:rFonts w:ascii="Times New Roman" w:hAnsi="Times New Roman" w:cs="Times New Roman"/>
                <w:sz w:val="18"/>
                <w:szCs w:val="18"/>
                <w:lang w:val="es-ES"/>
              </w:rPr>
            </w:pPr>
          </w:p>
        </w:tc>
        <w:tc>
          <w:tcPr>
            <w:tcW w:w="1231" w:type="pct"/>
            <w:gridSpan w:val="2"/>
            <w:shd w:val="clear" w:color="auto" w:fill="auto"/>
            <w:vAlign w:val="center"/>
          </w:tcPr>
          <w:p w14:paraId="305EC646" w14:textId="7EE85A26" w:rsidR="00030F85" w:rsidRPr="00487209" w:rsidRDefault="00B56846" w:rsidP="00BD1E56">
            <w:pPr>
              <w:spacing w:before="120"/>
              <w:ind w:right="-23"/>
              <w:jc w:val="both"/>
              <w:rPr>
                <w:rFonts w:ascii="Times New Roman" w:eastAsia="Batang" w:hAnsi="Times New Roman" w:cs="Times New Roman"/>
                <w:iCs/>
                <w:sz w:val="18"/>
                <w:szCs w:val="18"/>
                <w:lang w:val="sr-Cyrl-CS" w:eastAsia="ko-KR"/>
              </w:rPr>
            </w:pPr>
            <w:r w:rsidRPr="00B56846">
              <w:rPr>
                <w:rFonts w:ascii="Times New Roman" w:eastAsia="Times New Roman" w:hAnsi="Times New Roman" w:cs="Times New Roman"/>
                <w:sz w:val="18"/>
                <w:szCs w:val="18"/>
                <w:lang w:val="sr-Cyrl-CS"/>
              </w:rPr>
              <w:t>Телo за техничко оцењивање је дужно да једном годишње од дана правноснажности решења из члана 34. став 1. овог закона, као и на писани захтев министарства надлежног за послове грађевинарства, извештава министарство о спровођењу оцењивања и издавања техничких оцена за област грађевинских производа за које је именовано. Уз извештај се достављају и докази потребни за проверу и надзор над испуњавањем прописаних захтева за обављање послова за које је донето решење из члана 34. став 1. овог закона.</w:t>
            </w:r>
          </w:p>
        </w:tc>
        <w:tc>
          <w:tcPr>
            <w:tcW w:w="458" w:type="pct"/>
            <w:shd w:val="clear" w:color="auto" w:fill="auto"/>
            <w:vAlign w:val="center"/>
          </w:tcPr>
          <w:p w14:paraId="3EE93A54" w14:textId="77777777" w:rsidR="009561CE" w:rsidRPr="00487209" w:rsidRDefault="001B2BF9"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w:t>
            </w:r>
            <w:r w:rsidR="003E3FB1" w:rsidRPr="00487209">
              <w:rPr>
                <w:rFonts w:ascii="Times New Roman" w:hAnsi="Times New Roman" w:cs="Times New Roman"/>
                <w:sz w:val="18"/>
                <w:szCs w:val="18"/>
                <w:lang w:val="sr-Cyrl-CS"/>
              </w:rPr>
              <w:t>У</w:t>
            </w:r>
          </w:p>
        </w:tc>
        <w:tc>
          <w:tcPr>
            <w:tcW w:w="598" w:type="pct"/>
            <w:gridSpan w:val="2"/>
            <w:shd w:val="clear" w:color="auto" w:fill="auto"/>
            <w:vAlign w:val="center"/>
          </w:tcPr>
          <w:p w14:paraId="16727D04" w14:textId="49A44250" w:rsidR="009561CE" w:rsidRPr="00487209" w:rsidRDefault="00043DF8" w:rsidP="00DE5458">
            <w:pPr>
              <w:spacing w:before="120" w:after="120"/>
              <w:jc w:val="both"/>
              <w:rPr>
                <w:rFonts w:ascii="Times New Roman" w:hAnsi="Times New Roman" w:cs="Times New Roman"/>
                <w:sz w:val="18"/>
                <w:szCs w:val="18"/>
                <w:lang w:val="ru-RU"/>
              </w:rPr>
            </w:pPr>
            <w:r>
              <w:rPr>
                <w:rFonts w:ascii="Times New Roman" w:hAnsi="Times New Roman" w:cs="Times New Roman"/>
                <w:sz w:val="18"/>
                <w:szCs w:val="18"/>
                <w:lang w:val="ru-RU"/>
              </w:rPr>
              <w:t>Члан 36. став</w:t>
            </w:r>
            <w:r w:rsidR="001B2BF9" w:rsidRPr="00487209">
              <w:rPr>
                <w:rFonts w:ascii="Times New Roman" w:hAnsi="Times New Roman" w:cs="Times New Roman"/>
                <w:sz w:val="18"/>
                <w:szCs w:val="18"/>
                <w:lang w:val="ru-RU"/>
              </w:rPr>
              <w:t xml:space="preserve"> 1.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Pr>
                <w:rFonts w:ascii="Times New Roman" w:hAnsi="Times New Roman" w:cs="Times New Roman"/>
                <w:sz w:val="18"/>
                <w:szCs w:val="18"/>
                <w:lang w:val="ru-RU"/>
              </w:rPr>
              <w:t xml:space="preserve"> је делимично усклађен са чланом</w:t>
            </w:r>
            <w:r w:rsidR="001B2BF9" w:rsidRPr="00487209">
              <w:rPr>
                <w:rFonts w:ascii="Times New Roman" w:hAnsi="Times New Roman" w:cs="Times New Roman"/>
                <w:sz w:val="18"/>
                <w:szCs w:val="18"/>
                <w:lang w:val="ru-RU"/>
              </w:rPr>
              <w:t xml:space="preserve"> </w:t>
            </w:r>
            <w:r w:rsidR="001B2BF9" w:rsidRPr="00487209">
              <w:rPr>
                <w:rFonts w:ascii="Times New Roman" w:hAnsi="Times New Roman" w:cs="Times New Roman"/>
                <w:sz w:val="18"/>
                <w:szCs w:val="18"/>
                <w:lang w:val="sr-Cyrl-CS"/>
              </w:rPr>
              <w:t>30.3.</w:t>
            </w:r>
            <w:r w:rsidR="001B2BF9" w:rsidRPr="00487209">
              <w:rPr>
                <w:rFonts w:ascii="Times New Roman" w:hAnsi="Times New Roman" w:cs="Times New Roman"/>
                <w:sz w:val="18"/>
                <w:szCs w:val="18"/>
                <w:lang w:val="ru-RU"/>
              </w:rPr>
              <w:t xml:space="preserve"> </w:t>
            </w:r>
            <w:r w:rsidR="001B2BF9" w:rsidRPr="00487209">
              <w:rPr>
                <w:rFonts w:ascii="Times New Roman" w:hAnsi="Times New Roman" w:cs="Times New Roman"/>
                <w:sz w:val="18"/>
                <w:szCs w:val="18"/>
                <w:lang w:val="sr-Cyrl-CS"/>
              </w:rPr>
              <w:t>Уредбе 305/2011 (ЕУ), у делу који се односи на начин п</w:t>
            </w:r>
            <w:r>
              <w:rPr>
                <w:rFonts w:ascii="Times New Roman" w:hAnsi="Times New Roman" w:cs="Times New Roman"/>
                <w:sz w:val="18"/>
                <w:szCs w:val="18"/>
                <w:lang w:val="sr-Cyrl-CS"/>
              </w:rPr>
              <w:t xml:space="preserve">ријављивања </w:t>
            </w:r>
            <w:r w:rsidR="001B2BF9" w:rsidRPr="00487209">
              <w:rPr>
                <w:rFonts w:ascii="Times New Roman" w:hAnsi="Times New Roman" w:cs="Times New Roman"/>
                <w:sz w:val="18"/>
                <w:szCs w:val="18"/>
                <w:lang w:val="sr-Cyrl-CS"/>
              </w:rPr>
              <w:t xml:space="preserve">Европској комисији ТАВ-ова који престану да испуњавају услове </w:t>
            </w:r>
            <w:r w:rsidR="003353E0" w:rsidRPr="00487209">
              <w:rPr>
                <w:rFonts w:ascii="Times New Roman" w:hAnsi="Times New Roman" w:cs="Times New Roman"/>
                <w:sz w:val="18"/>
                <w:szCs w:val="18"/>
                <w:lang w:val="sr-Cyrl-CS"/>
              </w:rPr>
              <w:t>да обављају послове техничког оцењивања</w:t>
            </w:r>
            <w:r w:rsidR="001B2BF9" w:rsidRPr="00487209">
              <w:rPr>
                <w:rFonts w:ascii="Times New Roman" w:hAnsi="Times New Roman" w:cs="Times New Roman"/>
                <w:sz w:val="18"/>
                <w:szCs w:val="18"/>
                <w:lang w:val="sr-Cyrl-CS"/>
              </w:rPr>
              <w:t xml:space="preserve">. </w:t>
            </w:r>
          </w:p>
        </w:tc>
        <w:tc>
          <w:tcPr>
            <w:tcW w:w="480" w:type="pct"/>
            <w:shd w:val="clear" w:color="auto" w:fill="auto"/>
            <w:vAlign w:val="center"/>
          </w:tcPr>
          <w:p w14:paraId="4132C058" w14:textId="77777777" w:rsidR="009561CE" w:rsidRPr="00487209" w:rsidRDefault="009561CE" w:rsidP="006C6323">
            <w:pPr>
              <w:spacing w:before="120" w:after="120"/>
              <w:jc w:val="center"/>
              <w:rPr>
                <w:rFonts w:ascii="Times New Roman" w:hAnsi="Times New Roman" w:cs="Times New Roman"/>
                <w:sz w:val="18"/>
                <w:szCs w:val="18"/>
                <w:lang w:val="sr-Cyrl-CS"/>
              </w:rPr>
            </w:pPr>
          </w:p>
        </w:tc>
      </w:tr>
      <w:tr w:rsidR="00337554" w:rsidRPr="00487209" w14:paraId="59F87FF8" w14:textId="77777777" w:rsidTr="007D5144">
        <w:trPr>
          <w:trHeight w:val="346"/>
          <w:jc w:val="center"/>
        </w:trPr>
        <w:tc>
          <w:tcPr>
            <w:tcW w:w="435" w:type="pct"/>
            <w:shd w:val="clear" w:color="auto" w:fill="auto"/>
            <w:vAlign w:val="center"/>
          </w:tcPr>
          <w:p w14:paraId="39C3998B" w14:textId="77777777" w:rsidR="00922E8D" w:rsidRPr="00487209" w:rsidRDefault="00922E8D"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31.1.</w:t>
            </w:r>
          </w:p>
        </w:tc>
        <w:tc>
          <w:tcPr>
            <w:tcW w:w="1369" w:type="pct"/>
            <w:gridSpan w:val="2"/>
            <w:shd w:val="clear" w:color="auto" w:fill="auto"/>
            <w:vAlign w:val="center"/>
          </w:tcPr>
          <w:p w14:paraId="1FE6456F" w14:textId="77777777" w:rsidR="00922E8D" w:rsidRPr="00487209" w:rsidRDefault="00922E8D" w:rsidP="006C6323">
            <w:pPr>
              <w:jc w:val="both"/>
              <w:rPr>
                <w:rFonts w:ascii="Times New Roman" w:hAnsi="Times New Roman" w:cs="Times New Roman"/>
                <w:sz w:val="18"/>
                <w:szCs w:val="18"/>
              </w:rPr>
            </w:pPr>
            <w:r w:rsidRPr="00487209">
              <w:rPr>
                <w:rFonts w:ascii="Times New Roman" w:hAnsi="Times New Roman" w:cs="Times New Roman"/>
                <w:sz w:val="18"/>
                <w:szCs w:val="18"/>
              </w:rPr>
              <w:t>The TABs shall establish an organisation for technical assessment.</w:t>
            </w:r>
          </w:p>
        </w:tc>
        <w:tc>
          <w:tcPr>
            <w:tcW w:w="429" w:type="pct"/>
            <w:shd w:val="clear" w:color="auto" w:fill="auto"/>
            <w:vAlign w:val="center"/>
          </w:tcPr>
          <w:p w14:paraId="6002884B" w14:textId="77777777" w:rsidR="00922E8D" w:rsidRPr="00487209" w:rsidRDefault="00922E8D"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5C337E56" w14:textId="77777777" w:rsidR="00922E8D" w:rsidRPr="00487209" w:rsidRDefault="00922E8D" w:rsidP="006C6323">
            <w:pPr>
              <w:jc w:val="center"/>
              <w:rPr>
                <w:rFonts w:ascii="Times New Roman" w:hAnsi="Times New Roman" w:cs="Times New Roman"/>
                <w:sz w:val="18"/>
                <w:szCs w:val="18"/>
                <w:lang w:val="sr-Cyrl-CS"/>
              </w:rPr>
            </w:pPr>
          </w:p>
        </w:tc>
        <w:tc>
          <w:tcPr>
            <w:tcW w:w="458" w:type="pct"/>
            <w:shd w:val="clear" w:color="auto" w:fill="auto"/>
            <w:vAlign w:val="center"/>
          </w:tcPr>
          <w:p w14:paraId="3E8281F5" w14:textId="77777777" w:rsidR="00922E8D" w:rsidRPr="00487209" w:rsidRDefault="00922E8D"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НУ</w:t>
            </w:r>
          </w:p>
        </w:tc>
        <w:tc>
          <w:tcPr>
            <w:tcW w:w="598" w:type="pct"/>
            <w:gridSpan w:val="2"/>
            <w:shd w:val="clear" w:color="auto" w:fill="auto"/>
            <w:vAlign w:val="center"/>
          </w:tcPr>
          <w:p w14:paraId="2FC0703E" w14:textId="3F4DF2DF" w:rsidR="00922E8D" w:rsidRPr="00487209" w:rsidRDefault="00922E8D"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која се може упоредити са ч</w:t>
            </w:r>
            <w:r w:rsidR="00295C9D">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31.1. </w:t>
            </w:r>
            <w:r w:rsidRPr="00487209">
              <w:rPr>
                <w:rFonts w:ascii="Times New Roman" w:hAnsi="Times New Roman" w:cs="Times New Roman"/>
                <w:sz w:val="18"/>
                <w:szCs w:val="18"/>
                <w:lang w:val="sr-Cyrl-CS"/>
              </w:rPr>
              <w:t>Уредбе 305/2011 (ЕУ), због статуса нечланице. Усклађивање ће бити могуће након приступања ЕУ.</w:t>
            </w:r>
          </w:p>
        </w:tc>
        <w:tc>
          <w:tcPr>
            <w:tcW w:w="480" w:type="pct"/>
            <w:shd w:val="clear" w:color="auto" w:fill="auto"/>
            <w:vAlign w:val="center"/>
          </w:tcPr>
          <w:p w14:paraId="049EC502" w14:textId="77777777" w:rsidR="00922E8D" w:rsidRPr="00487209" w:rsidRDefault="00922E8D" w:rsidP="006C6323">
            <w:pPr>
              <w:spacing w:before="120" w:after="120"/>
              <w:jc w:val="center"/>
              <w:rPr>
                <w:rFonts w:ascii="Times New Roman" w:hAnsi="Times New Roman" w:cs="Times New Roman"/>
                <w:sz w:val="18"/>
                <w:szCs w:val="18"/>
                <w:lang w:val="ru-RU"/>
              </w:rPr>
            </w:pPr>
          </w:p>
        </w:tc>
      </w:tr>
      <w:tr w:rsidR="00337554" w:rsidRPr="00487209" w14:paraId="24CBD0D5" w14:textId="77777777" w:rsidTr="007D5144">
        <w:trPr>
          <w:trHeight w:val="1970"/>
          <w:jc w:val="center"/>
        </w:trPr>
        <w:tc>
          <w:tcPr>
            <w:tcW w:w="435" w:type="pct"/>
            <w:shd w:val="clear" w:color="auto" w:fill="auto"/>
            <w:vAlign w:val="center"/>
          </w:tcPr>
          <w:p w14:paraId="2D52274F" w14:textId="77777777" w:rsidR="00BA7E1E" w:rsidRPr="00487209" w:rsidRDefault="00BA7E1E"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31.2.</w:t>
            </w:r>
          </w:p>
        </w:tc>
        <w:tc>
          <w:tcPr>
            <w:tcW w:w="1369" w:type="pct"/>
            <w:gridSpan w:val="2"/>
            <w:shd w:val="clear" w:color="auto" w:fill="auto"/>
            <w:vAlign w:val="center"/>
          </w:tcPr>
          <w:p w14:paraId="43BACFD9" w14:textId="77777777" w:rsidR="00BA7E1E" w:rsidRPr="00487209" w:rsidRDefault="00BA7E1E" w:rsidP="006C6323">
            <w:pPr>
              <w:jc w:val="both"/>
              <w:rPr>
                <w:rFonts w:ascii="Times New Roman" w:hAnsi="Times New Roman" w:cs="Times New Roman"/>
                <w:sz w:val="18"/>
                <w:szCs w:val="18"/>
              </w:rPr>
            </w:pPr>
            <w:r w:rsidRPr="00487209">
              <w:rPr>
                <w:rFonts w:ascii="Times New Roman" w:hAnsi="Times New Roman" w:cs="Times New Roman"/>
                <w:sz w:val="18"/>
                <w:szCs w:val="18"/>
              </w:rPr>
              <w:t> The organisation of TABs shall be considered a body pursuing an aim of general European interest within the meaning of Article 162 of Commission Regulation (EC, Euratom) No 2342/2002 of 23 December 2002 laying down detailed rules for the implementation of Council Regulation (EC, Euratom) No 1605/2002 on the Financial Regulation applicable to the general budget of the European Communities</w:t>
            </w:r>
          </w:p>
        </w:tc>
        <w:tc>
          <w:tcPr>
            <w:tcW w:w="429" w:type="pct"/>
            <w:shd w:val="clear" w:color="auto" w:fill="auto"/>
            <w:vAlign w:val="center"/>
          </w:tcPr>
          <w:p w14:paraId="70C4A2FA" w14:textId="77777777" w:rsidR="00BA7E1E" w:rsidRPr="00487209" w:rsidRDefault="00BA7E1E"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42AD4748" w14:textId="77777777" w:rsidR="00BA7E1E" w:rsidRPr="00487209" w:rsidRDefault="00BA7E1E" w:rsidP="006C6323">
            <w:pPr>
              <w:jc w:val="center"/>
              <w:rPr>
                <w:rFonts w:ascii="Times New Roman" w:hAnsi="Times New Roman" w:cs="Times New Roman"/>
                <w:sz w:val="18"/>
                <w:szCs w:val="18"/>
                <w:lang w:val="sr-Cyrl-CS"/>
              </w:rPr>
            </w:pPr>
          </w:p>
        </w:tc>
        <w:tc>
          <w:tcPr>
            <w:tcW w:w="458" w:type="pct"/>
            <w:shd w:val="clear" w:color="auto" w:fill="auto"/>
            <w:vAlign w:val="center"/>
          </w:tcPr>
          <w:p w14:paraId="0C9475BE" w14:textId="77777777" w:rsidR="00BA7E1E" w:rsidRPr="00487209" w:rsidRDefault="00BA7E1E"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НУ</w:t>
            </w:r>
          </w:p>
        </w:tc>
        <w:tc>
          <w:tcPr>
            <w:tcW w:w="598" w:type="pct"/>
            <w:gridSpan w:val="2"/>
            <w:shd w:val="clear" w:color="auto" w:fill="auto"/>
            <w:vAlign w:val="center"/>
          </w:tcPr>
          <w:p w14:paraId="3675B2AC" w14:textId="246A6FF8" w:rsidR="00BA7E1E" w:rsidRPr="00487209" w:rsidRDefault="00BA7E1E" w:rsidP="00295C9D">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која се може упоредити са ч</w:t>
            </w:r>
            <w:r w:rsidRPr="00487209">
              <w:rPr>
                <w:rFonts w:ascii="Times New Roman" w:hAnsi="Times New Roman" w:cs="Times New Roman"/>
                <w:sz w:val="18"/>
                <w:szCs w:val="18"/>
                <w:lang w:val="ru-RU"/>
              </w:rPr>
              <w:t>л</w:t>
            </w:r>
            <w:r w:rsidR="00295C9D">
              <w:rPr>
                <w:rFonts w:ascii="Times New Roman" w:hAnsi="Times New Roman" w:cs="Times New Roman"/>
                <w:sz w:val="18"/>
                <w:szCs w:val="18"/>
                <w:lang w:val="ru-RU"/>
              </w:rPr>
              <w:t xml:space="preserve">аном </w:t>
            </w:r>
            <w:r w:rsidRPr="00487209">
              <w:rPr>
                <w:rFonts w:ascii="Times New Roman" w:hAnsi="Times New Roman" w:cs="Times New Roman"/>
                <w:sz w:val="18"/>
                <w:szCs w:val="18"/>
                <w:lang w:val="ru-RU"/>
              </w:rPr>
              <w:t xml:space="preserve">31.2. </w:t>
            </w:r>
            <w:r w:rsidRPr="00487209">
              <w:rPr>
                <w:rFonts w:ascii="Times New Roman" w:hAnsi="Times New Roman" w:cs="Times New Roman"/>
                <w:sz w:val="18"/>
                <w:szCs w:val="18"/>
                <w:lang w:val="sr-Cyrl-CS"/>
              </w:rPr>
              <w:t>Уредбе 305/2011 (ЕУ), због статуса нечланице. Усклађивање ће бити могуће након приступања ЕУ.</w:t>
            </w:r>
          </w:p>
        </w:tc>
        <w:tc>
          <w:tcPr>
            <w:tcW w:w="480" w:type="pct"/>
            <w:shd w:val="clear" w:color="auto" w:fill="auto"/>
            <w:vAlign w:val="center"/>
          </w:tcPr>
          <w:p w14:paraId="5C54303F" w14:textId="77777777" w:rsidR="00BA7E1E" w:rsidRPr="00487209" w:rsidRDefault="00BA7E1E" w:rsidP="006C6323">
            <w:pPr>
              <w:spacing w:before="120" w:after="120"/>
              <w:jc w:val="center"/>
              <w:rPr>
                <w:rFonts w:ascii="Times New Roman" w:hAnsi="Times New Roman" w:cs="Times New Roman"/>
                <w:sz w:val="18"/>
                <w:szCs w:val="18"/>
                <w:lang w:val="ru-RU"/>
              </w:rPr>
            </w:pPr>
          </w:p>
        </w:tc>
      </w:tr>
      <w:tr w:rsidR="00337554" w:rsidRPr="00487209" w14:paraId="7B6EF1C2" w14:textId="77777777" w:rsidTr="007D5144">
        <w:trPr>
          <w:trHeight w:val="1970"/>
          <w:jc w:val="center"/>
        </w:trPr>
        <w:tc>
          <w:tcPr>
            <w:tcW w:w="435" w:type="pct"/>
            <w:shd w:val="clear" w:color="auto" w:fill="auto"/>
            <w:vAlign w:val="center"/>
          </w:tcPr>
          <w:p w14:paraId="3A173D17" w14:textId="77777777" w:rsidR="005A2FF5" w:rsidRPr="00487209" w:rsidRDefault="005A2FF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31.3.</w:t>
            </w:r>
          </w:p>
        </w:tc>
        <w:tc>
          <w:tcPr>
            <w:tcW w:w="1369" w:type="pct"/>
            <w:gridSpan w:val="2"/>
            <w:shd w:val="clear" w:color="auto" w:fill="auto"/>
            <w:vAlign w:val="center"/>
          </w:tcPr>
          <w:p w14:paraId="288F80A9" w14:textId="77777777" w:rsidR="005A2FF5" w:rsidRPr="00487209" w:rsidRDefault="005A2FF5" w:rsidP="006C6323">
            <w:pPr>
              <w:jc w:val="both"/>
              <w:rPr>
                <w:rFonts w:ascii="Times New Roman" w:hAnsi="Times New Roman" w:cs="Times New Roman"/>
                <w:sz w:val="18"/>
                <w:szCs w:val="18"/>
              </w:rPr>
            </w:pPr>
            <w:r w:rsidRPr="00487209">
              <w:rPr>
                <w:rFonts w:ascii="Times New Roman" w:hAnsi="Times New Roman" w:cs="Times New Roman"/>
                <w:sz w:val="18"/>
                <w:szCs w:val="18"/>
              </w:rPr>
              <w:t>The common cooperation objectives and the administrative and financial conditions relating to the grants awarded to the organisation of TABs may be defined in a framework partnership agreement signed by the Commission and that organisation, in accordance with Council Regulation (EC, Euratom) No 1605/2002 of 25 June 2002 on the Financial Regulation applicable to the general budget of the European Communities (the Financial Regulation) and Regulation (EC, Euratom) No 2342/2002. The European Parliament and the Council shall be informed of the conclusion of any such agreement.</w:t>
            </w:r>
          </w:p>
        </w:tc>
        <w:tc>
          <w:tcPr>
            <w:tcW w:w="429" w:type="pct"/>
            <w:shd w:val="clear" w:color="auto" w:fill="auto"/>
            <w:vAlign w:val="center"/>
          </w:tcPr>
          <w:p w14:paraId="24479D0D" w14:textId="77777777" w:rsidR="005A2FF5" w:rsidRPr="00487209" w:rsidRDefault="005A2FF5"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6A60C467" w14:textId="77777777" w:rsidR="005A2FF5" w:rsidRPr="00487209" w:rsidRDefault="005A2FF5" w:rsidP="006C6323">
            <w:pPr>
              <w:jc w:val="center"/>
              <w:rPr>
                <w:rFonts w:ascii="Times New Roman" w:hAnsi="Times New Roman" w:cs="Times New Roman"/>
                <w:sz w:val="18"/>
                <w:szCs w:val="18"/>
                <w:lang w:val="sr-Cyrl-CS"/>
              </w:rPr>
            </w:pPr>
          </w:p>
        </w:tc>
        <w:tc>
          <w:tcPr>
            <w:tcW w:w="458" w:type="pct"/>
            <w:shd w:val="clear" w:color="auto" w:fill="auto"/>
            <w:vAlign w:val="center"/>
          </w:tcPr>
          <w:p w14:paraId="1D5B849A" w14:textId="77777777" w:rsidR="005A2FF5" w:rsidRPr="00487209" w:rsidRDefault="005A2FF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5AFAD1F9" w14:textId="6891FAA6" w:rsidR="005A2FF5" w:rsidRPr="00487209" w:rsidRDefault="00295C9D" w:rsidP="006C6323">
            <w:pPr>
              <w:spacing w:before="120" w:after="120"/>
              <w:jc w:val="both"/>
              <w:rPr>
                <w:rFonts w:ascii="Times New Roman" w:hAnsi="Times New Roman" w:cs="Times New Roman"/>
                <w:sz w:val="18"/>
                <w:szCs w:val="18"/>
              </w:rPr>
            </w:pPr>
            <w:r>
              <w:rPr>
                <w:rFonts w:ascii="Times New Roman" w:hAnsi="Times New Roman" w:cs="Times New Roman"/>
                <w:sz w:val="18"/>
                <w:szCs w:val="18"/>
                <w:lang w:val="ru-RU"/>
              </w:rPr>
              <w:t>Члан</w:t>
            </w:r>
            <w:r w:rsidR="005A2FF5" w:rsidRPr="00487209">
              <w:rPr>
                <w:rFonts w:ascii="Times New Roman" w:hAnsi="Times New Roman" w:cs="Times New Roman"/>
                <w:sz w:val="18"/>
                <w:szCs w:val="18"/>
                <w:lang w:val="ru-RU"/>
              </w:rPr>
              <w:t xml:space="preserve"> </w:t>
            </w:r>
            <w:r w:rsidR="005A2FF5" w:rsidRPr="00487209">
              <w:rPr>
                <w:rFonts w:ascii="Times New Roman" w:hAnsi="Times New Roman" w:cs="Times New Roman"/>
                <w:sz w:val="18"/>
                <w:szCs w:val="18"/>
                <w:lang w:val="sr-Cyrl-CS"/>
              </w:rPr>
              <w:t>31</w:t>
            </w:r>
            <w:r w:rsidR="005A2FF5" w:rsidRPr="00487209">
              <w:rPr>
                <w:rFonts w:ascii="Times New Roman" w:hAnsi="Times New Roman" w:cs="Times New Roman"/>
                <w:sz w:val="18"/>
                <w:szCs w:val="18"/>
              </w:rPr>
              <w:t>.</w:t>
            </w:r>
            <w:r w:rsidR="005A2FF5" w:rsidRPr="00487209">
              <w:rPr>
                <w:rFonts w:ascii="Times New Roman" w:hAnsi="Times New Roman" w:cs="Times New Roman"/>
                <w:sz w:val="18"/>
                <w:szCs w:val="18"/>
                <w:lang w:val="sr-Cyrl-CS"/>
              </w:rPr>
              <w:t>3</w:t>
            </w:r>
            <w:r w:rsidR="005A2FF5" w:rsidRPr="00487209">
              <w:rPr>
                <w:rFonts w:ascii="Times New Roman" w:hAnsi="Times New Roman" w:cs="Times New Roman"/>
                <w:sz w:val="18"/>
                <w:szCs w:val="18"/>
              </w:rPr>
              <w:t xml:space="preserve">. </w:t>
            </w:r>
            <w:r w:rsidR="005A2FF5" w:rsidRPr="00487209">
              <w:rPr>
                <w:rFonts w:ascii="Times New Roman" w:hAnsi="Times New Roman" w:cs="Times New Roman"/>
                <w:sz w:val="18"/>
                <w:szCs w:val="18"/>
                <w:lang w:val="sr-Cyrl-CS"/>
              </w:rPr>
              <w:t>Уредбе 305/2011 (ЕУ) није пренет, јер се односи на обавезу Европске комисије</w:t>
            </w:r>
            <w:r w:rsidR="005A2FF5" w:rsidRPr="00487209">
              <w:rPr>
                <w:rFonts w:ascii="Times New Roman" w:hAnsi="Times New Roman" w:cs="Times New Roman"/>
                <w:bCs/>
                <w:sz w:val="18"/>
                <w:szCs w:val="18"/>
                <w:lang w:val="sr-Cyrl-CS"/>
              </w:rPr>
              <w:t>.</w:t>
            </w:r>
          </w:p>
        </w:tc>
        <w:tc>
          <w:tcPr>
            <w:tcW w:w="480" w:type="pct"/>
            <w:shd w:val="clear" w:color="auto" w:fill="auto"/>
            <w:vAlign w:val="center"/>
          </w:tcPr>
          <w:p w14:paraId="635628FA" w14:textId="77777777" w:rsidR="005A2FF5" w:rsidRPr="00487209" w:rsidRDefault="005A2FF5" w:rsidP="006C6323">
            <w:pPr>
              <w:spacing w:before="120" w:after="120"/>
              <w:jc w:val="center"/>
              <w:rPr>
                <w:rFonts w:ascii="Times New Roman" w:hAnsi="Times New Roman" w:cs="Times New Roman"/>
                <w:sz w:val="18"/>
                <w:szCs w:val="18"/>
              </w:rPr>
            </w:pPr>
          </w:p>
        </w:tc>
      </w:tr>
      <w:tr w:rsidR="00337554" w:rsidRPr="00487209" w14:paraId="0FF54237" w14:textId="77777777" w:rsidTr="007D5144">
        <w:trPr>
          <w:trHeight w:val="1970"/>
          <w:jc w:val="center"/>
        </w:trPr>
        <w:tc>
          <w:tcPr>
            <w:tcW w:w="435" w:type="pct"/>
            <w:shd w:val="clear" w:color="auto" w:fill="auto"/>
            <w:vAlign w:val="center"/>
          </w:tcPr>
          <w:p w14:paraId="6A3D91BD" w14:textId="77777777" w:rsidR="00175EE5" w:rsidRPr="00487209" w:rsidRDefault="00175EE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31.4.(a)</w:t>
            </w:r>
          </w:p>
        </w:tc>
        <w:tc>
          <w:tcPr>
            <w:tcW w:w="1369" w:type="pct"/>
            <w:gridSpan w:val="2"/>
            <w:shd w:val="clear" w:color="auto" w:fill="auto"/>
            <w:vAlign w:val="center"/>
          </w:tcPr>
          <w:p w14:paraId="570D0003" w14:textId="77777777" w:rsidR="00175EE5" w:rsidRPr="00487209" w:rsidRDefault="00175EE5"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organisation of TABs shall at least carry out the following tasks:</w:t>
            </w:r>
          </w:p>
          <w:p w14:paraId="28C652B3" w14:textId="77777777" w:rsidR="00175EE5" w:rsidRPr="00487209" w:rsidRDefault="00175EE5"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organise the coordination of the TABs and, if necessary, ensure cooperation and consultation with other stakeholders;</w:t>
            </w:r>
          </w:p>
          <w:p w14:paraId="5B5F6E2C" w14:textId="77777777" w:rsidR="00175EE5" w:rsidRPr="00487209" w:rsidRDefault="00175EE5" w:rsidP="006C6323">
            <w:pPr>
              <w:jc w:val="both"/>
              <w:rPr>
                <w:rFonts w:ascii="Times New Roman" w:hAnsi="Times New Roman" w:cs="Times New Roman"/>
                <w:sz w:val="18"/>
                <w:szCs w:val="18"/>
                <w:lang w:val="sr-Cyrl-CS"/>
              </w:rPr>
            </w:pPr>
          </w:p>
        </w:tc>
        <w:tc>
          <w:tcPr>
            <w:tcW w:w="429" w:type="pct"/>
            <w:shd w:val="clear" w:color="auto" w:fill="auto"/>
            <w:vAlign w:val="center"/>
          </w:tcPr>
          <w:p w14:paraId="77128352" w14:textId="77777777" w:rsidR="00175EE5" w:rsidRPr="00487209" w:rsidRDefault="00175EE5"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1C44CBDD" w14:textId="77777777" w:rsidR="00175EE5" w:rsidRPr="00487209" w:rsidRDefault="00175EE5" w:rsidP="006C6323">
            <w:pPr>
              <w:jc w:val="center"/>
              <w:rPr>
                <w:rFonts w:ascii="Times New Roman" w:hAnsi="Times New Roman" w:cs="Times New Roman"/>
                <w:sz w:val="18"/>
                <w:szCs w:val="18"/>
                <w:lang w:val="sr-Cyrl-CS"/>
              </w:rPr>
            </w:pPr>
          </w:p>
        </w:tc>
        <w:tc>
          <w:tcPr>
            <w:tcW w:w="458" w:type="pct"/>
            <w:shd w:val="clear" w:color="auto" w:fill="auto"/>
            <w:vAlign w:val="center"/>
          </w:tcPr>
          <w:p w14:paraId="164DA67E" w14:textId="77777777" w:rsidR="00175EE5" w:rsidRPr="00487209" w:rsidRDefault="0049305F"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3BF8F502" w14:textId="70694F96" w:rsidR="00175EE5" w:rsidRPr="00487209" w:rsidRDefault="0050273D"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која се може упоредити са ч</w:t>
            </w:r>
            <w:r w:rsidR="00295C9D">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lang w:val="sr-Cyrl-CS"/>
              </w:rPr>
              <w:t>31.4.(</w:t>
            </w:r>
            <w:r w:rsidRPr="00487209">
              <w:rPr>
                <w:rFonts w:ascii="Times New Roman" w:hAnsi="Times New Roman" w:cs="Times New Roman"/>
                <w:sz w:val="18"/>
                <w:szCs w:val="18"/>
              </w:rPr>
              <w:t>a</w:t>
            </w:r>
            <w:r w:rsidRPr="00487209">
              <w:rPr>
                <w:rFonts w:ascii="Times New Roman" w:hAnsi="Times New Roman" w:cs="Times New Roman"/>
                <w:sz w:val="18"/>
                <w:szCs w:val="18"/>
                <w:lang w:val="sr-Cyrl-CS"/>
              </w:rPr>
              <w:t xml:space="preserve">) Уредбе 305/2011 </w:t>
            </w:r>
            <w:r w:rsidRPr="00487209">
              <w:rPr>
                <w:rFonts w:ascii="Times New Roman" w:hAnsi="Times New Roman" w:cs="Times New Roman"/>
                <w:sz w:val="18"/>
                <w:szCs w:val="18"/>
                <w:lang w:val="sr-Cyrl-CS"/>
              </w:rPr>
              <w:lastRenderedPageBreak/>
              <w:t>(ЕУ)</w:t>
            </w:r>
            <w:r w:rsidR="00365D74" w:rsidRPr="00487209">
              <w:rPr>
                <w:rFonts w:ascii="Times New Roman" w:hAnsi="Times New Roman" w:cs="Times New Roman"/>
                <w:sz w:val="18"/>
                <w:szCs w:val="18"/>
                <w:lang w:val="sr-Cyrl-CS"/>
              </w:rPr>
              <w:t>, због статуса нечланице</w:t>
            </w:r>
            <w:r w:rsidRPr="00487209">
              <w:rPr>
                <w:rFonts w:ascii="Times New Roman" w:hAnsi="Times New Roman" w:cs="Times New Roman"/>
                <w:sz w:val="18"/>
                <w:szCs w:val="18"/>
                <w:lang w:val="sr-Cyrl-CS"/>
              </w:rPr>
              <w:t>.</w:t>
            </w:r>
            <w:r w:rsidR="00365D74" w:rsidRPr="00487209">
              <w:rPr>
                <w:rFonts w:ascii="Times New Roman" w:hAnsi="Times New Roman" w:cs="Times New Roman"/>
                <w:sz w:val="18"/>
                <w:szCs w:val="18"/>
                <w:lang w:val="sr-Cyrl-CS"/>
              </w:rPr>
              <w:t xml:space="preserve"> Усклађивање ће бити могуће након приступања</w:t>
            </w:r>
            <w:r w:rsidR="00CF46C2" w:rsidRPr="00487209">
              <w:rPr>
                <w:rFonts w:ascii="Times New Roman" w:hAnsi="Times New Roman" w:cs="Times New Roman"/>
                <w:sz w:val="18"/>
                <w:szCs w:val="18"/>
                <w:lang w:val="sr-Cyrl-CS"/>
              </w:rPr>
              <w:t xml:space="preserve"> ЕУ</w:t>
            </w:r>
            <w:r w:rsidR="00365D74" w:rsidRPr="00487209">
              <w:rPr>
                <w:rFonts w:ascii="Times New Roman" w:hAnsi="Times New Roman" w:cs="Times New Roman"/>
                <w:sz w:val="18"/>
                <w:szCs w:val="18"/>
                <w:lang w:val="sr-Cyrl-CS"/>
              </w:rPr>
              <w:t>.</w:t>
            </w:r>
          </w:p>
        </w:tc>
        <w:tc>
          <w:tcPr>
            <w:tcW w:w="480" w:type="pct"/>
            <w:shd w:val="clear" w:color="auto" w:fill="auto"/>
            <w:vAlign w:val="center"/>
          </w:tcPr>
          <w:p w14:paraId="58DC2145" w14:textId="77777777" w:rsidR="00175EE5" w:rsidRPr="00487209" w:rsidRDefault="00175EE5" w:rsidP="006C6323">
            <w:pPr>
              <w:spacing w:before="120" w:after="120"/>
              <w:jc w:val="center"/>
              <w:rPr>
                <w:rFonts w:ascii="Times New Roman" w:hAnsi="Times New Roman" w:cs="Times New Roman"/>
                <w:sz w:val="18"/>
                <w:szCs w:val="18"/>
                <w:lang w:val="sr-Cyrl-CS"/>
              </w:rPr>
            </w:pPr>
          </w:p>
        </w:tc>
      </w:tr>
      <w:tr w:rsidR="00337554" w:rsidRPr="00487209" w14:paraId="2DF7A69E" w14:textId="77777777" w:rsidTr="007D5144">
        <w:trPr>
          <w:trHeight w:val="1113"/>
          <w:jc w:val="center"/>
        </w:trPr>
        <w:tc>
          <w:tcPr>
            <w:tcW w:w="435" w:type="pct"/>
            <w:shd w:val="clear" w:color="auto" w:fill="auto"/>
            <w:vAlign w:val="center"/>
          </w:tcPr>
          <w:p w14:paraId="4EF9EBE8" w14:textId="77777777" w:rsidR="003477ED" w:rsidRPr="00487209" w:rsidRDefault="003477ED" w:rsidP="006C6323">
            <w:pPr>
              <w:jc w:val="center"/>
              <w:rPr>
                <w:rFonts w:ascii="Times New Roman" w:hAnsi="Times New Roman" w:cs="Times New Roman"/>
                <w:sz w:val="18"/>
                <w:szCs w:val="18"/>
              </w:rPr>
            </w:pPr>
            <w:r w:rsidRPr="00487209">
              <w:rPr>
                <w:rFonts w:ascii="Times New Roman" w:hAnsi="Times New Roman" w:cs="Times New Roman"/>
                <w:sz w:val="18"/>
                <w:szCs w:val="18"/>
              </w:rPr>
              <w:lastRenderedPageBreak/>
              <w:t>31.4.(b)</w:t>
            </w:r>
          </w:p>
        </w:tc>
        <w:tc>
          <w:tcPr>
            <w:tcW w:w="1369" w:type="pct"/>
            <w:gridSpan w:val="2"/>
            <w:shd w:val="clear" w:color="auto" w:fill="auto"/>
            <w:vAlign w:val="center"/>
          </w:tcPr>
          <w:p w14:paraId="64DBF866" w14:textId="77777777" w:rsidR="003477ED" w:rsidRPr="00487209" w:rsidRDefault="003477ED" w:rsidP="006C6323">
            <w:pPr>
              <w:jc w:val="both"/>
              <w:rPr>
                <w:rFonts w:ascii="Times New Roman" w:hAnsi="Times New Roman" w:cs="Times New Roman"/>
                <w:sz w:val="18"/>
                <w:szCs w:val="18"/>
              </w:rPr>
            </w:pPr>
            <w:r w:rsidRPr="00487209">
              <w:rPr>
                <w:rFonts w:ascii="Times New Roman" w:hAnsi="Times New Roman" w:cs="Times New Roman"/>
                <w:sz w:val="18"/>
                <w:szCs w:val="18"/>
              </w:rPr>
              <w:t>ensure that examples of best practice are shared between TABs to promote greater efficiency and provide a better service to industry;</w:t>
            </w:r>
          </w:p>
        </w:tc>
        <w:tc>
          <w:tcPr>
            <w:tcW w:w="429" w:type="pct"/>
            <w:shd w:val="clear" w:color="auto" w:fill="auto"/>
            <w:vAlign w:val="center"/>
          </w:tcPr>
          <w:p w14:paraId="65D54814" w14:textId="77777777" w:rsidR="003477ED" w:rsidRPr="00487209" w:rsidRDefault="003477ED"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423B1E1A" w14:textId="77777777" w:rsidR="003477ED" w:rsidRPr="00487209" w:rsidRDefault="003477ED" w:rsidP="006C6323">
            <w:pPr>
              <w:jc w:val="center"/>
              <w:rPr>
                <w:rFonts w:ascii="Times New Roman" w:hAnsi="Times New Roman" w:cs="Times New Roman"/>
                <w:sz w:val="18"/>
                <w:szCs w:val="18"/>
                <w:lang w:val="sr-Cyrl-CS"/>
              </w:rPr>
            </w:pPr>
          </w:p>
        </w:tc>
        <w:tc>
          <w:tcPr>
            <w:tcW w:w="458" w:type="pct"/>
            <w:shd w:val="clear" w:color="auto" w:fill="auto"/>
            <w:vAlign w:val="center"/>
          </w:tcPr>
          <w:p w14:paraId="70FEA86E" w14:textId="77777777" w:rsidR="003477ED" w:rsidRPr="00487209" w:rsidRDefault="003477ED"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74906DC2" w14:textId="73AA7FA1" w:rsidR="003477ED" w:rsidRPr="00487209" w:rsidRDefault="003477ED"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која се може упоредити са ч</w:t>
            </w:r>
            <w:r w:rsidR="00295C9D">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lang w:val="sr-Cyrl-CS"/>
              </w:rPr>
              <w:t>31.4.(</w:t>
            </w:r>
            <w:r w:rsidRPr="00487209">
              <w:rPr>
                <w:rFonts w:ascii="Times New Roman" w:hAnsi="Times New Roman" w:cs="Times New Roman"/>
                <w:sz w:val="18"/>
                <w:szCs w:val="18"/>
              </w:rPr>
              <w:t>b</w:t>
            </w:r>
            <w:r w:rsidRPr="00487209">
              <w:rPr>
                <w:rFonts w:ascii="Times New Roman" w:hAnsi="Times New Roman" w:cs="Times New Roman"/>
                <w:sz w:val="18"/>
                <w:szCs w:val="18"/>
                <w:lang w:val="sr-Cyrl-CS"/>
              </w:rPr>
              <w:t>) Уредбе 305/2011 (ЕУ)</w:t>
            </w:r>
            <w:r w:rsidR="00CF46C2" w:rsidRPr="00487209">
              <w:rPr>
                <w:rFonts w:ascii="Times New Roman" w:hAnsi="Times New Roman" w:cs="Times New Roman"/>
                <w:sz w:val="18"/>
                <w:szCs w:val="18"/>
                <w:lang w:val="sr-Cyrl-CS"/>
              </w:rPr>
              <w:t>, због статуса нечланице. Усклађивање ће бити могуће након приступања ЕУ</w:t>
            </w:r>
            <w:r w:rsidRPr="00487209">
              <w:rPr>
                <w:rFonts w:ascii="Times New Roman" w:hAnsi="Times New Roman" w:cs="Times New Roman"/>
                <w:sz w:val="18"/>
                <w:szCs w:val="18"/>
                <w:lang w:val="sr-Cyrl-CS"/>
              </w:rPr>
              <w:t>.</w:t>
            </w:r>
          </w:p>
        </w:tc>
        <w:tc>
          <w:tcPr>
            <w:tcW w:w="480" w:type="pct"/>
            <w:shd w:val="clear" w:color="auto" w:fill="auto"/>
            <w:vAlign w:val="center"/>
          </w:tcPr>
          <w:p w14:paraId="63CF9799" w14:textId="77777777" w:rsidR="003477ED" w:rsidRPr="00487209" w:rsidRDefault="003477ED" w:rsidP="006C6323">
            <w:pPr>
              <w:spacing w:before="120" w:after="120"/>
              <w:jc w:val="center"/>
              <w:rPr>
                <w:rFonts w:ascii="Times New Roman" w:hAnsi="Times New Roman" w:cs="Times New Roman"/>
                <w:sz w:val="18"/>
                <w:szCs w:val="18"/>
                <w:lang w:val="sr-Cyrl-CS"/>
              </w:rPr>
            </w:pPr>
          </w:p>
        </w:tc>
      </w:tr>
      <w:tr w:rsidR="00337554" w:rsidRPr="00487209" w14:paraId="27B42EE6" w14:textId="77777777" w:rsidTr="007D5144">
        <w:trPr>
          <w:trHeight w:val="1970"/>
          <w:jc w:val="center"/>
        </w:trPr>
        <w:tc>
          <w:tcPr>
            <w:tcW w:w="435" w:type="pct"/>
            <w:shd w:val="clear" w:color="auto" w:fill="auto"/>
            <w:vAlign w:val="center"/>
          </w:tcPr>
          <w:p w14:paraId="10BFD3AB" w14:textId="77777777" w:rsidR="003477ED" w:rsidRPr="00487209" w:rsidRDefault="003477ED" w:rsidP="006C6323">
            <w:pPr>
              <w:jc w:val="center"/>
              <w:rPr>
                <w:rFonts w:ascii="Times New Roman" w:hAnsi="Times New Roman" w:cs="Times New Roman"/>
                <w:sz w:val="18"/>
                <w:szCs w:val="18"/>
              </w:rPr>
            </w:pPr>
            <w:r w:rsidRPr="00487209">
              <w:rPr>
                <w:rFonts w:ascii="Times New Roman" w:hAnsi="Times New Roman" w:cs="Times New Roman"/>
                <w:sz w:val="18"/>
                <w:szCs w:val="18"/>
              </w:rPr>
              <w:t>31.4.(c)</w:t>
            </w:r>
          </w:p>
        </w:tc>
        <w:tc>
          <w:tcPr>
            <w:tcW w:w="1369" w:type="pct"/>
            <w:gridSpan w:val="2"/>
            <w:shd w:val="clear" w:color="auto" w:fill="auto"/>
            <w:vAlign w:val="center"/>
          </w:tcPr>
          <w:p w14:paraId="2A27F98D" w14:textId="77777777" w:rsidR="003477ED" w:rsidRPr="00487209" w:rsidRDefault="003477ED" w:rsidP="006C6323">
            <w:pPr>
              <w:jc w:val="both"/>
              <w:rPr>
                <w:rFonts w:ascii="Times New Roman" w:hAnsi="Times New Roman" w:cs="Times New Roman"/>
                <w:sz w:val="18"/>
                <w:szCs w:val="18"/>
              </w:rPr>
            </w:pPr>
            <w:r w:rsidRPr="00487209">
              <w:rPr>
                <w:rFonts w:ascii="Times New Roman" w:hAnsi="Times New Roman" w:cs="Times New Roman"/>
                <w:sz w:val="18"/>
                <w:szCs w:val="18"/>
              </w:rPr>
              <w:t>coordinate the application of the procedures set out in Article 21 and in Annex II, as well as provide the support needed to that end;</w:t>
            </w:r>
          </w:p>
        </w:tc>
        <w:tc>
          <w:tcPr>
            <w:tcW w:w="429" w:type="pct"/>
            <w:shd w:val="clear" w:color="auto" w:fill="auto"/>
            <w:vAlign w:val="center"/>
          </w:tcPr>
          <w:p w14:paraId="5A9D5310" w14:textId="77777777" w:rsidR="003477ED" w:rsidRPr="00487209" w:rsidRDefault="003477ED"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60887988" w14:textId="77777777" w:rsidR="003477ED" w:rsidRPr="00487209" w:rsidRDefault="003477ED" w:rsidP="006C6323">
            <w:pPr>
              <w:jc w:val="center"/>
              <w:rPr>
                <w:rFonts w:ascii="Times New Roman" w:hAnsi="Times New Roman" w:cs="Times New Roman"/>
                <w:sz w:val="18"/>
                <w:szCs w:val="18"/>
                <w:lang w:val="sr-Cyrl-CS"/>
              </w:rPr>
            </w:pPr>
          </w:p>
        </w:tc>
        <w:tc>
          <w:tcPr>
            <w:tcW w:w="458" w:type="pct"/>
            <w:shd w:val="clear" w:color="auto" w:fill="auto"/>
            <w:vAlign w:val="center"/>
          </w:tcPr>
          <w:p w14:paraId="6EAB45BF" w14:textId="77777777" w:rsidR="003477ED" w:rsidRPr="00487209" w:rsidRDefault="003477ED"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3B9FAD71" w14:textId="1B2A8360" w:rsidR="003477ED" w:rsidRPr="00487209" w:rsidRDefault="003477ED"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која се може упоредити са ч</w:t>
            </w:r>
            <w:r w:rsidR="00295C9D">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lang w:val="sr-Cyrl-CS"/>
              </w:rPr>
              <w:t>31.4.(с) Уредбе 305/2011 (ЕУ)</w:t>
            </w:r>
            <w:r w:rsidR="00CF46C2" w:rsidRPr="00487209">
              <w:rPr>
                <w:rFonts w:ascii="Times New Roman" w:hAnsi="Times New Roman" w:cs="Times New Roman"/>
                <w:sz w:val="18"/>
                <w:szCs w:val="18"/>
                <w:lang w:val="sr-Cyrl-CS"/>
              </w:rPr>
              <w:t xml:space="preserve">, због статуса нечланице. Усклађивање ће бити могуће </w:t>
            </w:r>
            <w:r w:rsidR="00CF46C2" w:rsidRPr="00487209">
              <w:rPr>
                <w:rFonts w:ascii="Times New Roman" w:hAnsi="Times New Roman" w:cs="Times New Roman"/>
                <w:sz w:val="18"/>
                <w:szCs w:val="18"/>
                <w:lang w:val="sr-Cyrl-CS"/>
              </w:rPr>
              <w:lastRenderedPageBreak/>
              <w:t>након приступања ЕУ</w:t>
            </w:r>
            <w:r w:rsidRPr="00487209">
              <w:rPr>
                <w:rFonts w:ascii="Times New Roman" w:hAnsi="Times New Roman" w:cs="Times New Roman"/>
                <w:sz w:val="18"/>
                <w:szCs w:val="18"/>
                <w:lang w:val="sr-Cyrl-CS"/>
              </w:rPr>
              <w:t>.</w:t>
            </w:r>
          </w:p>
        </w:tc>
        <w:tc>
          <w:tcPr>
            <w:tcW w:w="480" w:type="pct"/>
            <w:shd w:val="clear" w:color="auto" w:fill="auto"/>
            <w:vAlign w:val="center"/>
          </w:tcPr>
          <w:p w14:paraId="77CDA808" w14:textId="77777777" w:rsidR="003477ED" w:rsidRPr="00487209" w:rsidRDefault="003477ED" w:rsidP="006C6323">
            <w:pPr>
              <w:spacing w:before="120" w:after="120"/>
              <w:jc w:val="center"/>
              <w:rPr>
                <w:rFonts w:ascii="Times New Roman" w:hAnsi="Times New Roman" w:cs="Times New Roman"/>
                <w:sz w:val="18"/>
                <w:szCs w:val="18"/>
                <w:lang w:val="sr-Cyrl-CS"/>
              </w:rPr>
            </w:pPr>
          </w:p>
        </w:tc>
      </w:tr>
      <w:tr w:rsidR="00337554" w:rsidRPr="00487209" w14:paraId="5E752F02" w14:textId="77777777" w:rsidTr="007D5144">
        <w:trPr>
          <w:trHeight w:val="1970"/>
          <w:jc w:val="center"/>
        </w:trPr>
        <w:tc>
          <w:tcPr>
            <w:tcW w:w="435" w:type="pct"/>
            <w:shd w:val="clear" w:color="auto" w:fill="auto"/>
            <w:vAlign w:val="center"/>
          </w:tcPr>
          <w:p w14:paraId="4677E7EC" w14:textId="77777777" w:rsidR="003477ED" w:rsidRPr="00487209" w:rsidRDefault="003477ED" w:rsidP="006C6323">
            <w:pPr>
              <w:jc w:val="center"/>
              <w:rPr>
                <w:rFonts w:ascii="Times New Roman" w:hAnsi="Times New Roman" w:cs="Times New Roman"/>
                <w:sz w:val="18"/>
                <w:szCs w:val="18"/>
              </w:rPr>
            </w:pPr>
            <w:r w:rsidRPr="00487209">
              <w:rPr>
                <w:rFonts w:ascii="Times New Roman" w:hAnsi="Times New Roman" w:cs="Times New Roman"/>
                <w:sz w:val="18"/>
                <w:szCs w:val="18"/>
              </w:rPr>
              <w:lastRenderedPageBreak/>
              <w:t>31.4.(d)</w:t>
            </w:r>
          </w:p>
        </w:tc>
        <w:tc>
          <w:tcPr>
            <w:tcW w:w="1369" w:type="pct"/>
            <w:gridSpan w:val="2"/>
            <w:shd w:val="clear" w:color="auto" w:fill="auto"/>
            <w:vAlign w:val="center"/>
          </w:tcPr>
          <w:p w14:paraId="010935AF" w14:textId="77777777" w:rsidR="003477ED" w:rsidRPr="00487209" w:rsidRDefault="003477ED" w:rsidP="006C6323">
            <w:pPr>
              <w:jc w:val="both"/>
              <w:rPr>
                <w:rFonts w:ascii="Times New Roman" w:hAnsi="Times New Roman" w:cs="Times New Roman"/>
                <w:sz w:val="18"/>
                <w:szCs w:val="18"/>
              </w:rPr>
            </w:pPr>
            <w:r w:rsidRPr="00487209">
              <w:rPr>
                <w:rFonts w:ascii="Times New Roman" w:hAnsi="Times New Roman" w:cs="Times New Roman"/>
                <w:sz w:val="18"/>
                <w:szCs w:val="18"/>
              </w:rPr>
              <w:t>develop and adopt European Assessment Documents;</w:t>
            </w:r>
          </w:p>
        </w:tc>
        <w:tc>
          <w:tcPr>
            <w:tcW w:w="429" w:type="pct"/>
            <w:shd w:val="clear" w:color="auto" w:fill="auto"/>
            <w:vAlign w:val="center"/>
          </w:tcPr>
          <w:p w14:paraId="595D3218" w14:textId="77777777" w:rsidR="003477ED" w:rsidRPr="00487209" w:rsidRDefault="003477ED"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6757B369" w14:textId="77777777" w:rsidR="003477ED" w:rsidRPr="00487209" w:rsidRDefault="003477ED" w:rsidP="006C6323">
            <w:pPr>
              <w:jc w:val="center"/>
              <w:rPr>
                <w:rFonts w:ascii="Times New Roman" w:hAnsi="Times New Roman" w:cs="Times New Roman"/>
                <w:sz w:val="18"/>
                <w:szCs w:val="18"/>
                <w:lang w:val="sr-Cyrl-CS"/>
              </w:rPr>
            </w:pPr>
          </w:p>
        </w:tc>
        <w:tc>
          <w:tcPr>
            <w:tcW w:w="458" w:type="pct"/>
            <w:shd w:val="clear" w:color="auto" w:fill="auto"/>
            <w:vAlign w:val="center"/>
          </w:tcPr>
          <w:p w14:paraId="2A8AAFA4" w14:textId="77777777" w:rsidR="003477ED" w:rsidRPr="00487209" w:rsidRDefault="003477ED"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25810105" w14:textId="6334274E" w:rsidR="003477ED" w:rsidRPr="00487209" w:rsidRDefault="003477ED"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која се може упоредити са ч</w:t>
            </w:r>
            <w:r w:rsidR="00295C9D">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lang w:val="sr-Cyrl-CS"/>
              </w:rPr>
              <w:t>31.4.(</w:t>
            </w:r>
            <w:r w:rsidRPr="00487209">
              <w:rPr>
                <w:rFonts w:ascii="Times New Roman" w:hAnsi="Times New Roman" w:cs="Times New Roman"/>
                <w:sz w:val="18"/>
                <w:szCs w:val="18"/>
              </w:rPr>
              <w:t>d</w:t>
            </w:r>
            <w:r w:rsidRPr="00487209">
              <w:rPr>
                <w:rFonts w:ascii="Times New Roman" w:hAnsi="Times New Roman" w:cs="Times New Roman"/>
                <w:sz w:val="18"/>
                <w:szCs w:val="18"/>
                <w:lang w:val="sr-Cyrl-CS"/>
              </w:rPr>
              <w:t>) Уредбе 305/2011 (ЕУ)</w:t>
            </w:r>
            <w:r w:rsidR="00CF46C2" w:rsidRPr="00487209">
              <w:rPr>
                <w:rFonts w:ascii="Times New Roman" w:hAnsi="Times New Roman" w:cs="Times New Roman"/>
                <w:sz w:val="18"/>
                <w:szCs w:val="18"/>
                <w:lang w:val="sr-Cyrl-CS"/>
              </w:rPr>
              <w:t>, због статуса нечланице. Усклађивање ће бити могуће након приступања ЕУ</w:t>
            </w:r>
            <w:r w:rsidRPr="00487209">
              <w:rPr>
                <w:rFonts w:ascii="Times New Roman" w:hAnsi="Times New Roman" w:cs="Times New Roman"/>
                <w:sz w:val="18"/>
                <w:szCs w:val="18"/>
                <w:lang w:val="sr-Cyrl-CS"/>
              </w:rPr>
              <w:t>.</w:t>
            </w:r>
          </w:p>
        </w:tc>
        <w:tc>
          <w:tcPr>
            <w:tcW w:w="480" w:type="pct"/>
            <w:shd w:val="clear" w:color="auto" w:fill="auto"/>
            <w:vAlign w:val="center"/>
          </w:tcPr>
          <w:p w14:paraId="6110D982" w14:textId="77777777" w:rsidR="003477ED" w:rsidRPr="00487209" w:rsidRDefault="003477ED" w:rsidP="006C6323">
            <w:pPr>
              <w:spacing w:before="120" w:after="120"/>
              <w:jc w:val="center"/>
              <w:rPr>
                <w:rFonts w:ascii="Times New Roman" w:hAnsi="Times New Roman" w:cs="Times New Roman"/>
                <w:sz w:val="18"/>
                <w:szCs w:val="18"/>
                <w:lang w:val="sr-Cyrl-CS"/>
              </w:rPr>
            </w:pPr>
          </w:p>
        </w:tc>
      </w:tr>
      <w:tr w:rsidR="00337554" w:rsidRPr="00487209" w14:paraId="2817AFA5" w14:textId="77777777" w:rsidTr="007D5144">
        <w:trPr>
          <w:trHeight w:val="1970"/>
          <w:jc w:val="center"/>
        </w:trPr>
        <w:tc>
          <w:tcPr>
            <w:tcW w:w="435" w:type="pct"/>
            <w:shd w:val="clear" w:color="auto" w:fill="auto"/>
            <w:vAlign w:val="center"/>
          </w:tcPr>
          <w:p w14:paraId="50995750" w14:textId="77777777" w:rsidR="003477ED" w:rsidRPr="00487209" w:rsidRDefault="003477ED"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31.4.(e)</w:t>
            </w:r>
          </w:p>
        </w:tc>
        <w:tc>
          <w:tcPr>
            <w:tcW w:w="1369" w:type="pct"/>
            <w:gridSpan w:val="2"/>
            <w:shd w:val="clear" w:color="auto" w:fill="auto"/>
            <w:vAlign w:val="center"/>
          </w:tcPr>
          <w:p w14:paraId="25B76E02" w14:textId="77777777" w:rsidR="003477ED" w:rsidRPr="00487209" w:rsidRDefault="003477ED" w:rsidP="006C6323">
            <w:pPr>
              <w:jc w:val="both"/>
              <w:rPr>
                <w:rFonts w:ascii="Times New Roman" w:hAnsi="Times New Roman" w:cs="Times New Roman"/>
                <w:sz w:val="18"/>
                <w:szCs w:val="18"/>
              </w:rPr>
            </w:pPr>
            <w:r w:rsidRPr="00487209">
              <w:rPr>
                <w:rFonts w:ascii="Times New Roman" w:hAnsi="Times New Roman" w:cs="Times New Roman"/>
                <w:sz w:val="18"/>
                <w:szCs w:val="18"/>
              </w:rPr>
              <w:t>inform the Commission of any question related to the preparation of European Assessment Documents and of any aspects related to the interpretation of the procedures set out in Article 21 and in Annex II and suggest improvements to the Commission based on experience gained;</w:t>
            </w:r>
          </w:p>
        </w:tc>
        <w:tc>
          <w:tcPr>
            <w:tcW w:w="429" w:type="pct"/>
            <w:shd w:val="clear" w:color="auto" w:fill="auto"/>
            <w:vAlign w:val="center"/>
          </w:tcPr>
          <w:p w14:paraId="09040352" w14:textId="77777777" w:rsidR="003477ED" w:rsidRPr="00487209" w:rsidRDefault="003477ED"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7A0003ED" w14:textId="77777777" w:rsidR="003477ED" w:rsidRPr="00487209" w:rsidRDefault="003477ED" w:rsidP="006C6323">
            <w:pPr>
              <w:jc w:val="center"/>
              <w:rPr>
                <w:rFonts w:ascii="Times New Roman" w:hAnsi="Times New Roman" w:cs="Times New Roman"/>
                <w:sz w:val="18"/>
                <w:szCs w:val="18"/>
                <w:lang w:val="sr-Cyrl-CS"/>
              </w:rPr>
            </w:pPr>
          </w:p>
        </w:tc>
        <w:tc>
          <w:tcPr>
            <w:tcW w:w="458" w:type="pct"/>
            <w:shd w:val="clear" w:color="auto" w:fill="auto"/>
            <w:vAlign w:val="center"/>
          </w:tcPr>
          <w:p w14:paraId="6DA3A291" w14:textId="77777777" w:rsidR="003477ED" w:rsidRPr="00487209" w:rsidRDefault="003477ED"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39A07E1A" w14:textId="3A7EFCC9" w:rsidR="003477ED" w:rsidRPr="00487209" w:rsidRDefault="003477ED"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која се може упоредити са ч</w:t>
            </w:r>
            <w:r w:rsidR="00295C9D">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lang w:val="sr-Cyrl-CS"/>
              </w:rPr>
              <w:t>31.4.(е) Уредбе 305/2011 (ЕУ)</w:t>
            </w:r>
            <w:r w:rsidR="00CF46C2" w:rsidRPr="00487209">
              <w:rPr>
                <w:rFonts w:ascii="Times New Roman" w:hAnsi="Times New Roman" w:cs="Times New Roman"/>
                <w:sz w:val="18"/>
                <w:szCs w:val="18"/>
                <w:lang w:val="sr-Cyrl-CS"/>
              </w:rPr>
              <w:t xml:space="preserve">, због статуса нечланице. Усклађивање ће бити могуће </w:t>
            </w:r>
            <w:r w:rsidR="00CF46C2" w:rsidRPr="00487209">
              <w:rPr>
                <w:rFonts w:ascii="Times New Roman" w:hAnsi="Times New Roman" w:cs="Times New Roman"/>
                <w:sz w:val="18"/>
                <w:szCs w:val="18"/>
                <w:lang w:val="sr-Cyrl-CS"/>
              </w:rPr>
              <w:lastRenderedPageBreak/>
              <w:t>након приступања ЕУ</w:t>
            </w:r>
            <w:r w:rsidRPr="00487209">
              <w:rPr>
                <w:rFonts w:ascii="Times New Roman" w:hAnsi="Times New Roman" w:cs="Times New Roman"/>
                <w:sz w:val="18"/>
                <w:szCs w:val="18"/>
                <w:lang w:val="sr-Cyrl-CS"/>
              </w:rPr>
              <w:t>.</w:t>
            </w:r>
          </w:p>
        </w:tc>
        <w:tc>
          <w:tcPr>
            <w:tcW w:w="480" w:type="pct"/>
            <w:shd w:val="clear" w:color="auto" w:fill="auto"/>
            <w:vAlign w:val="center"/>
          </w:tcPr>
          <w:p w14:paraId="5D1274CC" w14:textId="77777777" w:rsidR="003477ED" w:rsidRPr="00487209" w:rsidRDefault="003477ED" w:rsidP="006C6323">
            <w:pPr>
              <w:spacing w:before="120" w:after="120"/>
              <w:jc w:val="center"/>
              <w:rPr>
                <w:rFonts w:ascii="Times New Roman" w:hAnsi="Times New Roman" w:cs="Times New Roman"/>
                <w:sz w:val="18"/>
                <w:szCs w:val="18"/>
                <w:lang w:val="sr-Cyrl-CS"/>
              </w:rPr>
            </w:pPr>
          </w:p>
        </w:tc>
      </w:tr>
      <w:tr w:rsidR="00337554" w:rsidRPr="00487209" w14:paraId="404C08BB" w14:textId="77777777" w:rsidTr="007D5144">
        <w:trPr>
          <w:trHeight w:val="1970"/>
          <w:jc w:val="center"/>
        </w:trPr>
        <w:tc>
          <w:tcPr>
            <w:tcW w:w="435" w:type="pct"/>
            <w:shd w:val="clear" w:color="auto" w:fill="auto"/>
            <w:vAlign w:val="center"/>
          </w:tcPr>
          <w:p w14:paraId="2FBA183F" w14:textId="77777777" w:rsidR="003477ED" w:rsidRPr="00487209" w:rsidRDefault="003477ED"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31.4.(f)</w:t>
            </w:r>
          </w:p>
        </w:tc>
        <w:tc>
          <w:tcPr>
            <w:tcW w:w="1369" w:type="pct"/>
            <w:gridSpan w:val="2"/>
            <w:shd w:val="clear" w:color="auto" w:fill="auto"/>
            <w:vAlign w:val="center"/>
          </w:tcPr>
          <w:p w14:paraId="1140F16C" w14:textId="77777777" w:rsidR="003477ED" w:rsidRPr="00487209" w:rsidRDefault="003477ED" w:rsidP="006C6323">
            <w:pPr>
              <w:jc w:val="both"/>
              <w:rPr>
                <w:rFonts w:ascii="Times New Roman" w:hAnsi="Times New Roman" w:cs="Times New Roman"/>
                <w:sz w:val="18"/>
                <w:szCs w:val="18"/>
              </w:rPr>
            </w:pPr>
            <w:r w:rsidRPr="00487209">
              <w:rPr>
                <w:rFonts w:ascii="Times New Roman" w:hAnsi="Times New Roman" w:cs="Times New Roman"/>
                <w:sz w:val="18"/>
                <w:szCs w:val="18"/>
              </w:rPr>
              <w:t>communicate any observations concerning a TAB not fulfilling its tasks in accordance with the procedures set out in Article 21 and in Annex II to the Commission and the Member State which designated the TAB;</w:t>
            </w:r>
          </w:p>
        </w:tc>
        <w:tc>
          <w:tcPr>
            <w:tcW w:w="429" w:type="pct"/>
            <w:shd w:val="clear" w:color="auto" w:fill="auto"/>
            <w:vAlign w:val="center"/>
          </w:tcPr>
          <w:p w14:paraId="037A691F" w14:textId="77777777" w:rsidR="003477ED" w:rsidRPr="00487209" w:rsidRDefault="003477ED"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0A1F762C" w14:textId="77777777" w:rsidR="003477ED" w:rsidRPr="00487209" w:rsidRDefault="003477ED" w:rsidP="006C6323">
            <w:pPr>
              <w:jc w:val="center"/>
              <w:rPr>
                <w:rFonts w:ascii="Times New Roman" w:hAnsi="Times New Roman" w:cs="Times New Roman"/>
                <w:sz w:val="18"/>
                <w:szCs w:val="18"/>
                <w:lang w:val="sr-Cyrl-CS"/>
              </w:rPr>
            </w:pPr>
          </w:p>
        </w:tc>
        <w:tc>
          <w:tcPr>
            <w:tcW w:w="458" w:type="pct"/>
            <w:shd w:val="clear" w:color="auto" w:fill="auto"/>
            <w:vAlign w:val="center"/>
          </w:tcPr>
          <w:p w14:paraId="74053A64" w14:textId="77777777" w:rsidR="003477ED" w:rsidRPr="00487209" w:rsidRDefault="003477ED"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079E0851" w14:textId="7778DD5F" w:rsidR="003477ED" w:rsidRPr="00487209" w:rsidRDefault="003477ED"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која се може упоредити са ч</w:t>
            </w:r>
            <w:r w:rsidR="00295C9D">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lang w:val="sr-Cyrl-CS"/>
              </w:rPr>
              <w:t>31.4.(</w:t>
            </w:r>
            <w:r w:rsidRPr="00487209">
              <w:rPr>
                <w:rFonts w:ascii="Times New Roman" w:hAnsi="Times New Roman" w:cs="Times New Roman"/>
                <w:sz w:val="18"/>
                <w:szCs w:val="18"/>
              </w:rPr>
              <w:t>f</w:t>
            </w:r>
            <w:r w:rsidRPr="00487209">
              <w:rPr>
                <w:rFonts w:ascii="Times New Roman" w:hAnsi="Times New Roman" w:cs="Times New Roman"/>
                <w:sz w:val="18"/>
                <w:szCs w:val="18"/>
                <w:lang w:val="sr-Cyrl-CS"/>
              </w:rPr>
              <w:t>) Уредбе 305/2011 (ЕУ)</w:t>
            </w:r>
            <w:r w:rsidR="00CF46C2" w:rsidRPr="00487209">
              <w:rPr>
                <w:rFonts w:ascii="Times New Roman" w:hAnsi="Times New Roman" w:cs="Times New Roman"/>
                <w:sz w:val="18"/>
                <w:szCs w:val="18"/>
                <w:lang w:val="sr-Cyrl-CS"/>
              </w:rPr>
              <w:t>, због статуса нечланице. Усклађивање ће бити могуће након приступања ЕУ</w:t>
            </w:r>
            <w:r w:rsidRPr="00487209">
              <w:rPr>
                <w:rFonts w:ascii="Times New Roman" w:hAnsi="Times New Roman" w:cs="Times New Roman"/>
                <w:sz w:val="18"/>
                <w:szCs w:val="18"/>
                <w:lang w:val="sr-Cyrl-CS"/>
              </w:rPr>
              <w:t>.</w:t>
            </w:r>
          </w:p>
        </w:tc>
        <w:tc>
          <w:tcPr>
            <w:tcW w:w="480" w:type="pct"/>
            <w:shd w:val="clear" w:color="auto" w:fill="auto"/>
            <w:vAlign w:val="center"/>
          </w:tcPr>
          <w:p w14:paraId="54B1B3D0" w14:textId="77777777" w:rsidR="003477ED" w:rsidRPr="00487209" w:rsidRDefault="003477ED" w:rsidP="006C6323">
            <w:pPr>
              <w:spacing w:before="120" w:after="120"/>
              <w:jc w:val="center"/>
              <w:rPr>
                <w:rFonts w:ascii="Times New Roman" w:hAnsi="Times New Roman" w:cs="Times New Roman"/>
                <w:sz w:val="18"/>
                <w:szCs w:val="18"/>
                <w:lang w:val="sr-Cyrl-CS"/>
              </w:rPr>
            </w:pPr>
          </w:p>
        </w:tc>
      </w:tr>
      <w:tr w:rsidR="00337554" w:rsidRPr="00487209" w14:paraId="0C06EA32" w14:textId="77777777" w:rsidTr="007D5144">
        <w:trPr>
          <w:trHeight w:val="1970"/>
          <w:jc w:val="center"/>
        </w:trPr>
        <w:tc>
          <w:tcPr>
            <w:tcW w:w="435" w:type="pct"/>
            <w:shd w:val="clear" w:color="auto" w:fill="auto"/>
            <w:vAlign w:val="center"/>
          </w:tcPr>
          <w:p w14:paraId="3FF7C36D" w14:textId="77777777" w:rsidR="003477ED" w:rsidRPr="00487209" w:rsidRDefault="003477ED"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31.4.(g)</w:t>
            </w:r>
          </w:p>
        </w:tc>
        <w:tc>
          <w:tcPr>
            <w:tcW w:w="1369" w:type="pct"/>
            <w:gridSpan w:val="2"/>
            <w:shd w:val="clear" w:color="auto" w:fill="auto"/>
            <w:vAlign w:val="center"/>
          </w:tcPr>
          <w:p w14:paraId="1F11101B" w14:textId="77777777" w:rsidR="003477ED" w:rsidRPr="00487209" w:rsidRDefault="003477ED" w:rsidP="006C6323">
            <w:pPr>
              <w:jc w:val="both"/>
              <w:rPr>
                <w:rFonts w:ascii="Times New Roman" w:hAnsi="Times New Roman" w:cs="Times New Roman"/>
                <w:sz w:val="18"/>
                <w:szCs w:val="18"/>
              </w:rPr>
            </w:pPr>
            <w:r w:rsidRPr="00487209">
              <w:rPr>
                <w:rFonts w:ascii="Times New Roman" w:hAnsi="Times New Roman" w:cs="Times New Roman"/>
                <w:sz w:val="18"/>
                <w:szCs w:val="18"/>
              </w:rPr>
              <w:t>ensure that adopted European Assessment Documents and references to European Technical Assessments are kept publicly available.</w:t>
            </w:r>
          </w:p>
          <w:p w14:paraId="6CA397AD" w14:textId="77777777" w:rsidR="003477ED" w:rsidRPr="00487209" w:rsidRDefault="003477ED" w:rsidP="006C6323">
            <w:pPr>
              <w:jc w:val="both"/>
              <w:rPr>
                <w:rFonts w:ascii="Times New Roman" w:hAnsi="Times New Roman" w:cs="Times New Roman"/>
                <w:sz w:val="18"/>
                <w:szCs w:val="18"/>
              </w:rPr>
            </w:pPr>
            <w:r w:rsidRPr="00487209">
              <w:rPr>
                <w:rFonts w:ascii="Times New Roman" w:hAnsi="Times New Roman" w:cs="Times New Roman"/>
                <w:sz w:val="18"/>
                <w:szCs w:val="18"/>
              </w:rPr>
              <w:t>The organisation of TABs shall have a Secretariat in order to carry out these tasks.</w:t>
            </w:r>
          </w:p>
        </w:tc>
        <w:tc>
          <w:tcPr>
            <w:tcW w:w="429" w:type="pct"/>
            <w:shd w:val="clear" w:color="auto" w:fill="auto"/>
            <w:vAlign w:val="center"/>
          </w:tcPr>
          <w:p w14:paraId="5AFEA6B5" w14:textId="77777777" w:rsidR="003477ED" w:rsidRPr="00487209" w:rsidRDefault="003477ED"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764E4617" w14:textId="77777777" w:rsidR="003477ED" w:rsidRPr="00487209" w:rsidRDefault="003477ED" w:rsidP="006C6323">
            <w:pPr>
              <w:jc w:val="center"/>
              <w:rPr>
                <w:rFonts w:ascii="Times New Roman" w:hAnsi="Times New Roman" w:cs="Times New Roman"/>
                <w:sz w:val="18"/>
                <w:szCs w:val="18"/>
                <w:lang w:val="sr-Cyrl-CS"/>
              </w:rPr>
            </w:pPr>
          </w:p>
        </w:tc>
        <w:tc>
          <w:tcPr>
            <w:tcW w:w="458" w:type="pct"/>
            <w:shd w:val="clear" w:color="auto" w:fill="auto"/>
            <w:vAlign w:val="center"/>
          </w:tcPr>
          <w:p w14:paraId="33E3E67A" w14:textId="77777777" w:rsidR="003477ED" w:rsidRPr="00487209" w:rsidRDefault="003477ED"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490DB58E" w14:textId="025C4A4B" w:rsidR="003477ED" w:rsidRPr="00487209" w:rsidRDefault="003477ED"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која се може упоредити са ч</w:t>
            </w:r>
            <w:r w:rsidR="00295C9D">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lang w:val="sr-Cyrl-CS"/>
              </w:rPr>
              <w:t>31.4.(</w:t>
            </w:r>
            <w:r w:rsidRPr="00487209">
              <w:rPr>
                <w:rFonts w:ascii="Times New Roman" w:hAnsi="Times New Roman" w:cs="Times New Roman"/>
                <w:sz w:val="18"/>
                <w:szCs w:val="18"/>
              </w:rPr>
              <w:t>g</w:t>
            </w:r>
            <w:r w:rsidRPr="00487209">
              <w:rPr>
                <w:rFonts w:ascii="Times New Roman" w:hAnsi="Times New Roman" w:cs="Times New Roman"/>
                <w:sz w:val="18"/>
                <w:szCs w:val="18"/>
                <w:lang w:val="sr-Cyrl-CS"/>
              </w:rPr>
              <w:t>) Уредбе 305/2011 (ЕУ)</w:t>
            </w:r>
            <w:r w:rsidR="00CF46C2" w:rsidRPr="00487209">
              <w:rPr>
                <w:rFonts w:ascii="Times New Roman" w:hAnsi="Times New Roman" w:cs="Times New Roman"/>
                <w:sz w:val="18"/>
                <w:szCs w:val="18"/>
                <w:lang w:val="sr-Cyrl-CS"/>
              </w:rPr>
              <w:t xml:space="preserve">, због статуса нечланице. Усклађивање ће бити могуће </w:t>
            </w:r>
            <w:r w:rsidR="00CF46C2" w:rsidRPr="00487209">
              <w:rPr>
                <w:rFonts w:ascii="Times New Roman" w:hAnsi="Times New Roman" w:cs="Times New Roman"/>
                <w:sz w:val="18"/>
                <w:szCs w:val="18"/>
                <w:lang w:val="sr-Cyrl-CS"/>
              </w:rPr>
              <w:lastRenderedPageBreak/>
              <w:t>након приступања ЕУ</w:t>
            </w:r>
            <w:r w:rsidRPr="00487209">
              <w:rPr>
                <w:rFonts w:ascii="Times New Roman" w:hAnsi="Times New Roman" w:cs="Times New Roman"/>
                <w:sz w:val="18"/>
                <w:szCs w:val="18"/>
                <w:lang w:val="sr-Cyrl-CS"/>
              </w:rPr>
              <w:t>.</w:t>
            </w:r>
          </w:p>
        </w:tc>
        <w:tc>
          <w:tcPr>
            <w:tcW w:w="480" w:type="pct"/>
            <w:shd w:val="clear" w:color="auto" w:fill="auto"/>
            <w:vAlign w:val="center"/>
          </w:tcPr>
          <w:p w14:paraId="2DFADD42" w14:textId="77777777" w:rsidR="003477ED" w:rsidRPr="00487209" w:rsidRDefault="003477ED" w:rsidP="006C6323">
            <w:pPr>
              <w:spacing w:before="120" w:after="120"/>
              <w:jc w:val="center"/>
              <w:rPr>
                <w:rFonts w:ascii="Times New Roman" w:hAnsi="Times New Roman" w:cs="Times New Roman"/>
                <w:sz w:val="18"/>
                <w:szCs w:val="18"/>
                <w:lang w:val="sr-Cyrl-CS"/>
              </w:rPr>
            </w:pPr>
          </w:p>
        </w:tc>
      </w:tr>
      <w:tr w:rsidR="00337554" w:rsidRPr="00487209" w14:paraId="11CB6A93" w14:textId="77777777" w:rsidTr="007D5144">
        <w:trPr>
          <w:trHeight w:val="1970"/>
          <w:jc w:val="center"/>
        </w:trPr>
        <w:tc>
          <w:tcPr>
            <w:tcW w:w="435" w:type="pct"/>
            <w:shd w:val="clear" w:color="auto" w:fill="auto"/>
            <w:vAlign w:val="center"/>
          </w:tcPr>
          <w:p w14:paraId="00534301" w14:textId="77777777" w:rsidR="007726A2" w:rsidRPr="00487209" w:rsidRDefault="007726A2"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31.5.</w:t>
            </w:r>
          </w:p>
        </w:tc>
        <w:tc>
          <w:tcPr>
            <w:tcW w:w="1369" w:type="pct"/>
            <w:gridSpan w:val="2"/>
            <w:shd w:val="clear" w:color="auto" w:fill="auto"/>
            <w:vAlign w:val="center"/>
          </w:tcPr>
          <w:p w14:paraId="153E31BE" w14:textId="77777777" w:rsidR="007726A2" w:rsidRPr="00487209" w:rsidRDefault="007726A2" w:rsidP="006C6323">
            <w:pPr>
              <w:jc w:val="both"/>
              <w:rPr>
                <w:rFonts w:ascii="Times New Roman" w:hAnsi="Times New Roman" w:cs="Times New Roman"/>
                <w:sz w:val="18"/>
                <w:szCs w:val="18"/>
              </w:rPr>
            </w:pPr>
            <w:r w:rsidRPr="00487209">
              <w:rPr>
                <w:rFonts w:ascii="Times New Roman" w:hAnsi="Times New Roman" w:cs="Times New Roman"/>
                <w:sz w:val="18"/>
                <w:szCs w:val="18"/>
              </w:rPr>
              <w:t>Member States shall ensure that the TABs contribute with financial and human resources to the organisation of TABs.</w:t>
            </w:r>
          </w:p>
        </w:tc>
        <w:tc>
          <w:tcPr>
            <w:tcW w:w="429" w:type="pct"/>
            <w:shd w:val="clear" w:color="auto" w:fill="auto"/>
            <w:vAlign w:val="center"/>
          </w:tcPr>
          <w:p w14:paraId="0E06F83B" w14:textId="77777777" w:rsidR="007726A2" w:rsidRPr="00487209" w:rsidRDefault="007726A2"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3C6DA5BD" w14:textId="77777777" w:rsidR="007726A2" w:rsidRPr="00487209" w:rsidRDefault="007726A2" w:rsidP="006C6323">
            <w:pPr>
              <w:jc w:val="center"/>
              <w:rPr>
                <w:rFonts w:ascii="Times New Roman" w:hAnsi="Times New Roman" w:cs="Times New Roman"/>
                <w:sz w:val="18"/>
                <w:szCs w:val="18"/>
                <w:lang w:val="sr-Cyrl-CS"/>
              </w:rPr>
            </w:pPr>
          </w:p>
        </w:tc>
        <w:tc>
          <w:tcPr>
            <w:tcW w:w="458" w:type="pct"/>
            <w:shd w:val="clear" w:color="auto" w:fill="auto"/>
            <w:vAlign w:val="center"/>
          </w:tcPr>
          <w:p w14:paraId="557C196F" w14:textId="77777777" w:rsidR="007726A2" w:rsidRPr="00487209" w:rsidRDefault="007726A2"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НУ</w:t>
            </w:r>
          </w:p>
        </w:tc>
        <w:tc>
          <w:tcPr>
            <w:tcW w:w="598" w:type="pct"/>
            <w:gridSpan w:val="2"/>
            <w:shd w:val="clear" w:color="auto" w:fill="auto"/>
            <w:vAlign w:val="center"/>
          </w:tcPr>
          <w:p w14:paraId="14E89836" w14:textId="3E664549" w:rsidR="007726A2" w:rsidRPr="00487209" w:rsidRDefault="007726A2"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која се може упоредити са ч</w:t>
            </w:r>
            <w:r w:rsidR="00295C9D">
              <w:rPr>
                <w:rFonts w:ascii="Times New Roman" w:hAnsi="Times New Roman" w:cs="Times New Roman"/>
                <w:sz w:val="18"/>
                <w:szCs w:val="18"/>
                <w:lang w:val="ru-RU"/>
              </w:rPr>
              <w:t xml:space="preserve">ланом </w:t>
            </w:r>
            <w:r w:rsidRPr="00487209">
              <w:rPr>
                <w:rFonts w:ascii="Times New Roman" w:hAnsi="Times New Roman" w:cs="Times New Roman"/>
                <w:sz w:val="18"/>
                <w:szCs w:val="18"/>
                <w:lang w:val="ru-RU"/>
              </w:rPr>
              <w:t xml:space="preserve">31.5. </w:t>
            </w:r>
            <w:r w:rsidRPr="00487209">
              <w:rPr>
                <w:rFonts w:ascii="Times New Roman" w:hAnsi="Times New Roman" w:cs="Times New Roman"/>
                <w:sz w:val="18"/>
                <w:szCs w:val="18"/>
                <w:lang w:val="sr-Cyrl-CS"/>
              </w:rPr>
              <w:t>Уредбе 305/2011 (ЕУ)</w:t>
            </w:r>
            <w:r w:rsidR="00B15EE6" w:rsidRPr="00487209">
              <w:rPr>
                <w:rFonts w:ascii="Times New Roman" w:hAnsi="Times New Roman" w:cs="Times New Roman"/>
                <w:sz w:val="18"/>
                <w:szCs w:val="18"/>
                <w:lang w:val="sr-Cyrl-CS"/>
              </w:rPr>
              <w:t>, због статуса нечланице. Усклађивање ће бити могуће након приступања ЕУ</w:t>
            </w:r>
            <w:r w:rsidRPr="00487209">
              <w:rPr>
                <w:rFonts w:ascii="Times New Roman" w:hAnsi="Times New Roman" w:cs="Times New Roman"/>
                <w:sz w:val="18"/>
                <w:szCs w:val="18"/>
                <w:lang w:val="sr-Cyrl-CS"/>
              </w:rPr>
              <w:t>.</w:t>
            </w:r>
          </w:p>
        </w:tc>
        <w:tc>
          <w:tcPr>
            <w:tcW w:w="480" w:type="pct"/>
            <w:shd w:val="clear" w:color="auto" w:fill="auto"/>
            <w:vAlign w:val="center"/>
          </w:tcPr>
          <w:p w14:paraId="3A23FDC6" w14:textId="77777777" w:rsidR="007726A2" w:rsidRPr="00487209" w:rsidRDefault="007726A2" w:rsidP="006C6323">
            <w:pPr>
              <w:spacing w:before="120" w:after="120"/>
              <w:jc w:val="center"/>
              <w:rPr>
                <w:rFonts w:ascii="Times New Roman" w:hAnsi="Times New Roman" w:cs="Times New Roman"/>
                <w:sz w:val="18"/>
                <w:szCs w:val="18"/>
                <w:lang w:val="ru-RU"/>
              </w:rPr>
            </w:pPr>
          </w:p>
        </w:tc>
      </w:tr>
      <w:tr w:rsidR="00337554" w:rsidRPr="00487209" w14:paraId="50E8B1D8" w14:textId="77777777" w:rsidTr="007D5144">
        <w:trPr>
          <w:trHeight w:val="1970"/>
          <w:jc w:val="center"/>
        </w:trPr>
        <w:tc>
          <w:tcPr>
            <w:tcW w:w="435" w:type="pct"/>
            <w:shd w:val="clear" w:color="auto" w:fill="auto"/>
            <w:vAlign w:val="center"/>
          </w:tcPr>
          <w:p w14:paraId="43C4547B" w14:textId="77777777" w:rsidR="007726A2" w:rsidRPr="00487209" w:rsidRDefault="007726A2"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32.1.</w:t>
            </w:r>
          </w:p>
        </w:tc>
        <w:tc>
          <w:tcPr>
            <w:tcW w:w="1369" w:type="pct"/>
            <w:gridSpan w:val="2"/>
            <w:shd w:val="clear" w:color="auto" w:fill="auto"/>
            <w:vAlign w:val="center"/>
          </w:tcPr>
          <w:p w14:paraId="5DE9CCAC" w14:textId="77777777" w:rsidR="007726A2" w:rsidRPr="00487209" w:rsidRDefault="007726A2" w:rsidP="006C6323">
            <w:pPr>
              <w:jc w:val="both"/>
              <w:rPr>
                <w:rFonts w:ascii="Times New Roman" w:hAnsi="Times New Roman" w:cs="Times New Roman"/>
                <w:sz w:val="18"/>
                <w:szCs w:val="18"/>
              </w:rPr>
            </w:pPr>
            <w:r w:rsidRPr="00487209">
              <w:rPr>
                <w:rFonts w:ascii="Times New Roman" w:hAnsi="Times New Roman" w:cs="Times New Roman"/>
                <w:sz w:val="18"/>
                <w:szCs w:val="18"/>
              </w:rPr>
              <w:t>Union financing may be granted to the organisation of TABs for the implementation of the tasks referred to in Article 31(4).</w:t>
            </w:r>
          </w:p>
        </w:tc>
        <w:tc>
          <w:tcPr>
            <w:tcW w:w="429" w:type="pct"/>
            <w:shd w:val="clear" w:color="auto" w:fill="auto"/>
            <w:vAlign w:val="center"/>
          </w:tcPr>
          <w:p w14:paraId="6D5DC217" w14:textId="77777777" w:rsidR="007726A2" w:rsidRPr="00487209" w:rsidRDefault="007726A2"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40EBE3DE" w14:textId="77777777" w:rsidR="007726A2" w:rsidRPr="00487209" w:rsidRDefault="007726A2" w:rsidP="006C6323">
            <w:pPr>
              <w:jc w:val="center"/>
              <w:rPr>
                <w:rFonts w:ascii="Times New Roman" w:hAnsi="Times New Roman" w:cs="Times New Roman"/>
                <w:sz w:val="18"/>
                <w:szCs w:val="18"/>
                <w:lang w:val="sr-Cyrl-CS"/>
              </w:rPr>
            </w:pPr>
          </w:p>
        </w:tc>
        <w:tc>
          <w:tcPr>
            <w:tcW w:w="458" w:type="pct"/>
            <w:shd w:val="clear" w:color="auto" w:fill="auto"/>
            <w:vAlign w:val="center"/>
          </w:tcPr>
          <w:p w14:paraId="34918AB3" w14:textId="77777777" w:rsidR="007726A2" w:rsidRPr="00487209" w:rsidRDefault="007726A2"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4E82C0B4" w14:textId="4E25A651" w:rsidR="007726A2" w:rsidRPr="00487209" w:rsidRDefault="00295C9D"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Чланом</w:t>
            </w:r>
            <w:r w:rsidR="007726A2" w:rsidRPr="00487209">
              <w:rPr>
                <w:rFonts w:ascii="Times New Roman" w:hAnsi="Times New Roman" w:cs="Times New Roman"/>
                <w:sz w:val="18"/>
                <w:szCs w:val="18"/>
                <w:lang w:val="ru-RU"/>
              </w:rPr>
              <w:t xml:space="preserve"> 32.1.</w:t>
            </w:r>
            <w:r w:rsidR="007726A2" w:rsidRPr="00487209">
              <w:rPr>
                <w:rFonts w:ascii="Times New Roman" w:hAnsi="Times New Roman" w:cs="Times New Roman"/>
                <w:sz w:val="18"/>
                <w:szCs w:val="18"/>
                <w:lang w:val="sr-Cyrl-CS"/>
              </w:rPr>
              <w:t xml:space="preserve"> Уредбе 305/2011 (ЕУ) није пренет, пошто се односи на одобравање финансијских средстава организацији ТАВ-ова</w:t>
            </w:r>
            <w:r w:rsidR="007726A2" w:rsidRPr="00487209">
              <w:rPr>
                <w:rFonts w:ascii="Times New Roman" w:hAnsi="Times New Roman" w:cs="Times New Roman"/>
                <w:bCs/>
                <w:sz w:val="18"/>
                <w:szCs w:val="18"/>
                <w:lang w:val="sr-Cyrl-CS"/>
              </w:rPr>
              <w:t>.</w:t>
            </w:r>
          </w:p>
        </w:tc>
        <w:tc>
          <w:tcPr>
            <w:tcW w:w="480" w:type="pct"/>
            <w:shd w:val="clear" w:color="auto" w:fill="auto"/>
            <w:vAlign w:val="center"/>
          </w:tcPr>
          <w:p w14:paraId="0927A4C4" w14:textId="77777777" w:rsidR="007726A2" w:rsidRPr="00487209" w:rsidRDefault="007726A2" w:rsidP="006C6323">
            <w:pPr>
              <w:spacing w:before="120" w:after="120"/>
              <w:jc w:val="center"/>
              <w:rPr>
                <w:rFonts w:ascii="Times New Roman" w:hAnsi="Times New Roman" w:cs="Times New Roman"/>
                <w:sz w:val="18"/>
                <w:szCs w:val="18"/>
                <w:lang w:val="sr-Cyrl-CS"/>
              </w:rPr>
            </w:pPr>
          </w:p>
        </w:tc>
      </w:tr>
      <w:tr w:rsidR="00337554" w:rsidRPr="00487209" w14:paraId="4F8E27CE" w14:textId="77777777" w:rsidTr="007D5144">
        <w:trPr>
          <w:trHeight w:val="1970"/>
          <w:jc w:val="center"/>
        </w:trPr>
        <w:tc>
          <w:tcPr>
            <w:tcW w:w="435" w:type="pct"/>
            <w:shd w:val="clear" w:color="auto" w:fill="auto"/>
            <w:vAlign w:val="center"/>
          </w:tcPr>
          <w:p w14:paraId="09FB7F9E" w14:textId="77777777" w:rsidR="00E66A3C" w:rsidRPr="00487209" w:rsidRDefault="00E66A3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32.2.</w:t>
            </w:r>
          </w:p>
        </w:tc>
        <w:tc>
          <w:tcPr>
            <w:tcW w:w="1369" w:type="pct"/>
            <w:gridSpan w:val="2"/>
            <w:shd w:val="clear" w:color="auto" w:fill="auto"/>
            <w:vAlign w:val="center"/>
          </w:tcPr>
          <w:p w14:paraId="105B8334" w14:textId="77777777" w:rsidR="00E66A3C" w:rsidRPr="00487209" w:rsidRDefault="00E66A3C" w:rsidP="006C6323">
            <w:pPr>
              <w:jc w:val="both"/>
              <w:rPr>
                <w:rFonts w:ascii="Times New Roman" w:hAnsi="Times New Roman" w:cs="Times New Roman"/>
                <w:sz w:val="18"/>
                <w:szCs w:val="18"/>
              </w:rPr>
            </w:pPr>
            <w:r w:rsidRPr="00487209">
              <w:rPr>
                <w:rFonts w:ascii="Times New Roman" w:hAnsi="Times New Roman" w:cs="Times New Roman"/>
                <w:sz w:val="18"/>
                <w:szCs w:val="18"/>
              </w:rPr>
              <w:t>The appropriations allocated to the tasks set out in Article 31(4) shall be determined each year by the budgetary authority within the limits of the financial framework in force.</w:t>
            </w:r>
          </w:p>
        </w:tc>
        <w:tc>
          <w:tcPr>
            <w:tcW w:w="429" w:type="pct"/>
            <w:shd w:val="clear" w:color="auto" w:fill="auto"/>
            <w:vAlign w:val="center"/>
          </w:tcPr>
          <w:p w14:paraId="21C51B37" w14:textId="77777777" w:rsidR="00E66A3C" w:rsidRPr="00487209" w:rsidRDefault="00E66A3C"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21B1BEBC" w14:textId="77777777" w:rsidR="00E66A3C" w:rsidRPr="00487209" w:rsidRDefault="00E66A3C" w:rsidP="006C6323">
            <w:pPr>
              <w:jc w:val="center"/>
              <w:rPr>
                <w:rFonts w:ascii="Times New Roman" w:hAnsi="Times New Roman" w:cs="Times New Roman"/>
                <w:sz w:val="18"/>
                <w:szCs w:val="18"/>
                <w:lang w:val="sr-Cyrl-CS"/>
              </w:rPr>
            </w:pPr>
          </w:p>
        </w:tc>
        <w:tc>
          <w:tcPr>
            <w:tcW w:w="458" w:type="pct"/>
            <w:shd w:val="clear" w:color="auto" w:fill="auto"/>
            <w:vAlign w:val="center"/>
          </w:tcPr>
          <w:p w14:paraId="3AEEFD27" w14:textId="77777777" w:rsidR="00E66A3C" w:rsidRPr="00487209" w:rsidRDefault="00E66A3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7D728640" w14:textId="4AB19814" w:rsidR="00E66A3C" w:rsidRPr="00487209" w:rsidRDefault="00295C9D"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E66A3C" w:rsidRPr="00487209">
              <w:rPr>
                <w:rFonts w:ascii="Times New Roman" w:hAnsi="Times New Roman" w:cs="Times New Roman"/>
                <w:sz w:val="18"/>
                <w:szCs w:val="18"/>
                <w:lang w:val="ru-RU"/>
              </w:rPr>
              <w:t xml:space="preserve"> 32.1.</w:t>
            </w:r>
            <w:r w:rsidR="00E66A3C" w:rsidRPr="00487209">
              <w:rPr>
                <w:rFonts w:ascii="Times New Roman" w:hAnsi="Times New Roman" w:cs="Times New Roman"/>
                <w:sz w:val="18"/>
                <w:szCs w:val="18"/>
                <w:lang w:val="sr-Cyrl-CS"/>
              </w:rPr>
              <w:t xml:space="preserve"> Уредбе 305/2011 (ЕУ) није пренет, пошто се односи на обавезе буџетских органа ЕУ</w:t>
            </w:r>
            <w:r w:rsidR="00E66A3C" w:rsidRPr="00487209">
              <w:rPr>
                <w:rFonts w:ascii="Times New Roman" w:hAnsi="Times New Roman" w:cs="Times New Roman"/>
                <w:bCs/>
                <w:sz w:val="18"/>
                <w:szCs w:val="18"/>
                <w:lang w:val="sr-Cyrl-CS"/>
              </w:rPr>
              <w:t>.</w:t>
            </w:r>
          </w:p>
        </w:tc>
        <w:tc>
          <w:tcPr>
            <w:tcW w:w="480" w:type="pct"/>
            <w:shd w:val="clear" w:color="auto" w:fill="auto"/>
            <w:vAlign w:val="center"/>
          </w:tcPr>
          <w:p w14:paraId="2D953139" w14:textId="77777777" w:rsidR="00E66A3C" w:rsidRPr="00487209" w:rsidRDefault="00E66A3C" w:rsidP="006C6323">
            <w:pPr>
              <w:spacing w:before="120" w:after="120"/>
              <w:jc w:val="center"/>
              <w:rPr>
                <w:rFonts w:ascii="Times New Roman" w:hAnsi="Times New Roman" w:cs="Times New Roman"/>
                <w:sz w:val="18"/>
                <w:szCs w:val="18"/>
                <w:lang w:val="sr-Cyrl-CS"/>
              </w:rPr>
            </w:pPr>
          </w:p>
        </w:tc>
      </w:tr>
      <w:tr w:rsidR="00337554" w:rsidRPr="00487209" w14:paraId="4F7982CA" w14:textId="77777777" w:rsidTr="007D5144">
        <w:trPr>
          <w:trHeight w:val="1970"/>
          <w:jc w:val="center"/>
        </w:trPr>
        <w:tc>
          <w:tcPr>
            <w:tcW w:w="435" w:type="pct"/>
            <w:shd w:val="clear" w:color="auto" w:fill="auto"/>
            <w:vAlign w:val="center"/>
          </w:tcPr>
          <w:p w14:paraId="1B99EA59" w14:textId="77777777" w:rsidR="00354892" w:rsidRPr="00487209" w:rsidRDefault="00354892"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33.1.</w:t>
            </w:r>
          </w:p>
        </w:tc>
        <w:tc>
          <w:tcPr>
            <w:tcW w:w="1369" w:type="pct"/>
            <w:gridSpan w:val="2"/>
            <w:shd w:val="clear" w:color="auto" w:fill="auto"/>
            <w:vAlign w:val="center"/>
          </w:tcPr>
          <w:p w14:paraId="7AC00A02" w14:textId="77777777" w:rsidR="00354892" w:rsidRPr="00487209" w:rsidRDefault="00354892" w:rsidP="006C6323">
            <w:pPr>
              <w:jc w:val="both"/>
              <w:rPr>
                <w:rFonts w:ascii="Times New Roman" w:hAnsi="Times New Roman" w:cs="Times New Roman"/>
                <w:sz w:val="18"/>
                <w:szCs w:val="18"/>
              </w:rPr>
            </w:pPr>
            <w:r w:rsidRPr="00487209">
              <w:rPr>
                <w:rFonts w:ascii="Times New Roman" w:hAnsi="Times New Roman" w:cs="Times New Roman"/>
                <w:sz w:val="18"/>
                <w:szCs w:val="18"/>
              </w:rPr>
              <w:t>Union financing shall be provided, without a call for proposals, to the organisation of TABs to carry out the tasks referred to in Article 31(4) for which grants can be awarded in accordance with the Financial Regulation.</w:t>
            </w:r>
          </w:p>
        </w:tc>
        <w:tc>
          <w:tcPr>
            <w:tcW w:w="429" w:type="pct"/>
            <w:shd w:val="clear" w:color="auto" w:fill="auto"/>
            <w:vAlign w:val="center"/>
          </w:tcPr>
          <w:p w14:paraId="344CD8FA" w14:textId="77777777" w:rsidR="00354892" w:rsidRPr="00487209" w:rsidRDefault="00354892"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032CB82E" w14:textId="77777777" w:rsidR="00354892" w:rsidRPr="00487209" w:rsidRDefault="00354892" w:rsidP="006C6323">
            <w:pPr>
              <w:jc w:val="center"/>
              <w:rPr>
                <w:rFonts w:ascii="Times New Roman" w:hAnsi="Times New Roman" w:cs="Times New Roman"/>
                <w:sz w:val="18"/>
                <w:szCs w:val="18"/>
                <w:lang w:val="sr-Cyrl-CS"/>
              </w:rPr>
            </w:pPr>
          </w:p>
        </w:tc>
        <w:tc>
          <w:tcPr>
            <w:tcW w:w="458" w:type="pct"/>
            <w:shd w:val="clear" w:color="auto" w:fill="auto"/>
            <w:vAlign w:val="center"/>
          </w:tcPr>
          <w:p w14:paraId="65A26984" w14:textId="77777777" w:rsidR="00354892" w:rsidRPr="00487209" w:rsidRDefault="00354892"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22B6DEA0" w14:textId="6DCF8719" w:rsidR="00354892" w:rsidRPr="00487209" w:rsidRDefault="00295C9D"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354892" w:rsidRPr="00487209">
              <w:rPr>
                <w:rFonts w:ascii="Times New Roman" w:hAnsi="Times New Roman" w:cs="Times New Roman"/>
                <w:sz w:val="18"/>
                <w:szCs w:val="18"/>
                <w:lang w:val="ru-RU"/>
              </w:rPr>
              <w:t xml:space="preserve"> 33.1.</w:t>
            </w:r>
            <w:r w:rsidR="00354892" w:rsidRPr="00487209">
              <w:rPr>
                <w:rFonts w:ascii="Times New Roman" w:hAnsi="Times New Roman" w:cs="Times New Roman"/>
                <w:sz w:val="18"/>
                <w:szCs w:val="18"/>
                <w:lang w:val="sr-Cyrl-CS"/>
              </w:rPr>
              <w:t xml:space="preserve"> Уредбе 305/2011 (ЕУ) није пренет, пошто се односи на одобравање финансијских средстава организацији ТАВ-ова</w:t>
            </w:r>
            <w:r w:rsidR="00354892" w:rsidRPr="00487209">
              <w:rPr>
                <w:rFonts w:ascii="Times New Roman" w:hAnsi="Times New Roman" w:cs="Times New Roman"/>
                <w:bCs/>
                <w:sz w:val="18"/>
                <w:szCs w:val="18"/>
                <w:lang w:val="sr-Cyrl-CS"/>
              </w:rPr>
              <w:t>.</w:t>
            </w:r>
          </w:p>
        </w:tc>
        <w:tc>
          <w:tcPr>
            <w:tcW w:w="480" w:type="pct"/>
            <w:shd w:val="clear" w:color="auto" w:fill="auto"/>
            <w:vAlign w:val="center"/>
          </w:tcPr>
          <w:p w14:paraId="5C87594B" w14:textId="77777777" w:rsidR="00354892" w:rsidRPr="00487209" w:rsidRDefault="00354892" w:rsidP="006C6323">
            <w:pPr>
              <w:spacing w:before="120" w:after="120"/>
              <w:jc w:val="center"/>
              <w:rPr>
                <w:rFonts w:ascii="Times New Roman" w:hAnsi="Times New Roman" w:cs="Times New Roman"/>
                <w:sz w:val="18"/>
                <w:szCs w:val="18"/>
              </w:rPr>
            </w:pPr>
          </w:p>
        </w:tc>
      </w:tr>
      <w:tr w:rsidR="00337554" w:rsidRPr="00487209" w14:paraId="76D5225E" w14:textId="77777777" w:rsidTr="007D5144">
        <w:trPr>
          <w:trHeight w:val="1970"/>
          <w:jc w:val="center"/>
        </w:trPr>
        <w:tc>
          <w:tcPr>
            <w:tcW w:w="435" w:type="pct"/>
            <w:shd w:val="clear" w:color="auto" w:fill="auto"/>
            <w:vAlign w:val="center"/>
          </w:tcPr>
          <w:p w14:paraId="039B527B" w14:textId="77777777" w:rsidR="00007B10" w:rsidRPr="00487209" w:rsidRDefault="00007B10"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33.2.</w:t>
            </w:r>
          </w:p>
        </w:tc>
        <w:tc>
          <w:tcPr>
            <w:tcW w:w="1369" w:type="pct"/>
            <w:gridSpan w:val="2"/>
            <w:shd w:val="clear" w:color="auto" w:fill="auto"/>
            <w:vAlign w:val="center"/>
          </w:tcPr>
          <w:p w14:paraId="78B7FD04" w14:textId="77777777" w:rsidR="00007B10" w:rsidRPr="00487209" w:rsidRDefault="00007B10" w:rsidP="006C6323">
            <w:pPr>
              <w:jc w:val="both"/>
              <w:rPr>
                <w:rFonts w:ascii="Times New Roman" w:hAnsi="Times New Roman" w:cs="Times New Roman"/>
                <w:sz w:val="18"/>
                <w:szCs w:val="18"/>
              </w:rPr>
            </w:pPr>
            <w:r w:rsidRPr="00487209">
              <w:rPr>
                <w:rFonts w:ascii="Times New Roman" w:hAnsi="Times New Roman" w:cs="Times New Roman"/>
                <w:sz w:val="18"/>
                <w:szCs w:val="18"/>
              </w:rPr>
              <w:t>The activities of the Secretariat of the organisation of TABs, referred to in Article 31(4), may be financed on the basis of operating grants. In the event of renewal, the operating grants shall not be decreased automatically.</w:t>
            </w:r>
          </w:p>
        </w:tc>
        <w:tc>
          <w:tcPr>
            <w:tcW w:w="429" w:type="pct"/>
            <w:shd w:val="clear" w:color="auto" w:fill="auto"/>
            <w:vAlign w:val="center"/>
          </w:tcPr>
          <w:p w14:paraId="45727578" w14:textId="77777777" w:rsidR="00007B10" w:rsidRPr="00487209" w:rsidRDefault="00007B10"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53114F8A" w14:textId="77777777" w:rsidR="00007B10" w:rsidRPr="00487209" w:rsidRDefault="00007B10" w:rsidP="006C6323">
            <w:pPr>
              <w:jc w:val="center"/>
              <w:rPr>
                <w:rFonts w:ascii="Times New Roman" w:hAnsi="Times New Roman" w:cs="Times New Roman"/>
                <w:sz w:val="18"/>
                <w:szCs w:val="18"/>
                <w:lang w:val="sr-Cyrl-CS"/>
              </w:rPr>
            </w:pPr>
          </w:p>
        </w:tc>
        <w:tc>
          <w:tcPr>
            <w:tcW w:w="458" w:type="pct"/>
            <w:shd w:val="clear" w:color="auto" w:fill="auto"/>
            <w:vAlign w:val="center"/>
          </w:tcPr>
          <w:p w14:paraId="5A253DE5" w14:textId="77777777" w:rsidR="00007B10" w:rsidRPr="00487209" w:rsidRDefault="00007B10"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61C44F15" w14:textId="571494DC" w:rsidR="00007B10" w:rsidRPr="00487209" w:rsidRDefault="00295C9D"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007B10" w:rsidRPr="00487209">
              <w:rPr>
                <w:rFonts w:ascii="Times New Roman" w:hAnsi="Times New Roman" w:cs="Times New Roman"/>
                <w:sz w:val="18"/>
                <w:szCs w:val="18"/>
                <w:lang w:val="ru-RU"/>
              </w:rPr>
              <w:t xml:space="preserve"> 33.2.</w:t>
            </w:r>
            <w:r w:rsidR="00007B10" w:rsidRPr="00487209">
              <w:rPr>
                <w:rFonts w:ascii="Times New Roman" w:hAnsi="Times New Roman" w:cs="Times New Roman"/>
                <w:sz w:val="18"/>
                <w:szCs w:val="18"/>
                <w:lang w:val="sr-Cyrl-CS"/>
              </w:rPr>
              <w:t xml:space="preserve"> Уредбе 305/2011 (ЕУ) није пренет, пошто се односи на одобравање финансијских средстава организацији ТАВ-ова</w:t>
            </w:r>
            <w:r w:rsidR="00007B10" w:rsidRPr="00487209">
              <w:rPr>
                <w:rFonts w:ascii="Times New Roman" w:hAnsi="Times New Roman" w:cs="Times New Roman"/>
                <w:bCs/>
                <w:sz w:val="18"/>
                <w:szCs w:val="18"/>
                <w:lang w:val="sr-Cyrl-CS"/>
              </w:rPr>
              <w:t>.</w:t>
            </w:r>
          </w:p>
        </w:tc>
        <w:tc>
          <w:tcPr>
            <w:tcW w:w="480" w:type="pct"/>
            <w:shd w:val="clear" w:color="auto" w:fill="auto"/>
            <w:vAlign w:val="center"/>
          </w:tcPr>
          <w:p w14:paraId="431AD11D" w14:textId="77777777" w:rsidR="00007B10" w:rsidRPr="00487209" w:rsidRDefault="00007B10" w:rsidP="006C6323">
            <w:pPr>
              <w:spacing w:before="120" w:after="120"/>
              <w:jc w:val="center"/>
              <w:rPr>
                <w:rFonts w:ascii="Times New Roman" w:hAnsi="Times New Roman" w:cs="Times New Roman"/>
                <w:sz w:val="18"/>
                <w:szCs w:val="18"/>
              </w:rPr>
            </w:pPr>
          </w:p>
        </w:tc>
      </w:tr>
      <w:tr w:rsidR="00337554" w:rsidRPr="00487209" w14:paraId="56DE76A1" w14:textId="77777777" w:rsidTr="007D5144">
        <w:trPr>
          <w:trHeight w:val="1970"/>
          <w:jc w:val="center"/>
        </w:trPr>
        <w:tc>
          <w:tcPr>
            <w:tcW w:w="435" w:type="pct"/>
            <w:shd w:val="clear" w:color="auto" w:fill="auto"/>
            <w:vAlign w:val="center"/>
          </w:tcPr>
          <w:p w14:paraId="6994725F" w14:textId="77777777" w:rsidR="00007B10" w:rsidRPr="00487209" w:rsidRDefault="00007B10"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33.3.</w:t>
            </w:r>
          </w:p>
        </w:tc>
        <w:tc>
          <w:tcPr>
            <w:tcW w:w="1369" w:type="pct"/>
            <w:gridSpan w:val="2"/>
            <w:shd w:val="clear" w:color="auto" w:fill="auto"/>
            <w:vAlign w:val="center"/>
          </w:tcPr>
          <w:p w14:paraId="7EF49B06" w14:textId="77777777" w:rsidR="00007B10" w:rsidRPr="00487209" w:rsidRDefault="00007B10" w:rsidP="006C6323">
            <w:pPr>
              <w:jc w:val="both"/>
              <w:rPr>
                <w:rFonts w:ascii="Times New Roman" w:hAnsi="Times New Roman" w:cs="Times New Roman"/>
                <w:sz w:val="18"/>
                <w:szCs w:val="18"/>
              </w:rPr>
            </w:pPr>
            <w:r w:rsidRPr="00487209">
              <w:rPr>
                <w:rFonts w:ascii="Times New Roman" w:hAnsi="Times New Roman" w:cs="Times New Roman"/>
                <w:sz w:val="18"/>
                <w:szCs w:val="18"/>
              </w:rPr>
              <w:t>Grant agreements may authorise flat-rate cover of the beneficiary’s overheads up to a maximum of 10 % of total eligible direct costs for actions, except where the beneficiary’s indirect costs are covered by an operating grant financed from the general budget of the Union.</w:t>
            </w:r>
          </w:p>
        </w:tc>
        <w:tc>
          <w:tcPr>
            <w:tcW w:w="429" w:type="pct"/>
            <w:shd w:val="clear" w:color="auto" w:fill="auto"/>
            <w:vAlign w:val="center"/>
          </w:tcPr>
          <w:p w14:paraId="08EC2055" w14:textId="77777777" w:rsidR="00007B10" w:rsidRPr="00487209" w:rsidRDefault="00007B10"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65A106C3" w14:textId="77777777" w:rsidR="00007B10" w:rsidRPr="00487209" w:rsidRDefault="00007B10" w:rsidP="006C6323">
            <w:pPr>
              <w:jc w:val="center"/>
              <w:rPr>
                <w:rFonts w:ascii="Times New Roman" w:hAnsi="Times New Roman" w:cs="Times New Roman"/>
                <w:sz w:val="18"/>
                <w:szCs w:val="18"/>
                <w:lang w:val="sr-Cyrl-CS"/>
              </w:rPr>
            </w:pPr>
          </w:p>
        </w:tc>
        <w:tc>
          <w:tcPr>
            <w:tcW w:w="458" w:type="pct"/>
            <w:shd w:val="clear" w:color="auto" w:fill="auto"/>
            <w:vAlign w:val="center"/>
          </w:tcPr>
          <w:p w14:paraId="6D8D5548" w14:textId="77777777" w:rsidR="00007B10" w:rsidRPr="00487209" w:rsidRDefault="00007B10"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620DA151" w14:textId="54228C03" w:rsidR="00007B10" w:rsidRPr="00487209" w:rsidRDefault="00295C9D"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007B10" w:rsidRPr="00487209">
              <w:rPr>
                <w:rFonts w:ascii="Times New Roman" w:hAnsi="Times New Roman" w:cs="Times New Roman"/>
                <w:sz w:val="18"/>
                <w:szCs w:val="18"/>
                <w:lang w:val="ru-RU"/>
              </w:rPr>
              <w:t xml:space="preserve"> 33.3.</w:t>
            </w:r>
            <w:r w:rsidR="00007B10" w:rsidRPr="00487209">
              <w:rPr>
                <w:rFonts w:ascii="Times New Roman" w:hAnsi="Times New Roman" w:cs="Times New Roman"/>
                <w:sz w:val="18"/>
                <w:szCs w:val="18"/>
                <w:lang w:val="sr-Cyrl-CS"/>
              </w:rPr>
              <w:t xml:space="preserve"> Уредбе 305/2011 (ЕУ) није пренет, пошто се односи на одобравање финансијских средстава организацији ТАВ-ова</w:t>
            </w:r>
            <w:r w:rsidR="00007B10" w:rsidRPr="00487209">
              <w:rPr>
                <w:rFonts w:ascii="Times New Roman" w:hAnsi="Times New Roman" w:cs="Times New Roman"/>
                <w:bCs/>
                <w:sz w:val="18"/>
                <w:szCs w:val="18"/>
                <w:lang w:val="sr-Cyrl-CS"/>
              </w:rPr>
              <w:t>.</w:t>
            </w:r>
          </w:p>
        </w:tc>
        <w:tc>
          <w:tcPr>
            <w:tcW w:w="480" w:type="pct"/>
            <w:shd w:val="clear" w:color="auto" w:fill="auto"/>
            <w:vAlign w:val="center"/>
          </w:tcPr>
          <w:p w14:paraId="3FF28B80" w14:textId="77777777" w:rsidR="00007B10" w:rsidRPr="00487209" w:rsidRDefault="00007B10" w:rsidP="006C6323">
            <w:pPr>
              <w:spacing w:before="120" w:after="120"/>
              <w:jc w:val="center"/>
              <w:rPr>
                <w:rFonts w:ascii="Times New Roman" w:hAnsi="Times New Roman" w:cs="Times New Roman"/>
                <w:sz w:val="18"/>
                <w:szCs w:val="18"/>
              </w:rPr>
            </w:pPr>
          </w:p>
        </w:tc>
      </w:tr>
      <w:tr w:rsidR="00337554" w:rsidRPr="00487209" w14:paraId="3622F498" w14:textId="77777777" w:rsidTr="007D5144">
        <w:trPr>
          <w:trHeight w:val="1480"/>
          <w:jc w:val="center"/>
        </w:trPr>
        <w:tc>
          <w:tcPr>
            <w:tcW w:w="435" w:type="pct"/>
            <w:shd w:val="clear" w:color="auto" w:fill="auto"/>
            <w:vAlign w:val="center"/>
          </w:tcPr>
          <w:p w14:paraId="2F79E31E" w14:textId="77777777" w:rsidR="00ED4F4D" w:rsidRPr="00487209" w:rsidRDefault="00ED4F4D"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34.1.</w:t>
            </w:r>
          </w:p>
        </w:tc>
        <w:tc>
          <w:tcPr>
            <w:tcW w:w="1369" w:type="pct"/>
            <w:gridSpan w:val="2"/>
            <w:shd w:val="clear" w:color="auto" w:fill="auto"/>
            <w:vAlign w:val="center"/>
          </w:tcPr>
          <w:p w14:paraId="720ACD90" w14:textId="77777777" w:rsidR="00ED4F4D" w:rsidRPr="00487209" w:rsidRDefault="00ED4F4D" w:rsidP="006C6323">
            <w:pPr>
              <w:rPr>
                <w:rFonts w:ascii="Times New Roman" w:hAnsi="Times New Roman" w:cs="Times New Roman"/>
                <w:sz w:val="18"/>
                <w:szCs w:val="18"/>
              </w:rPr>
            </w:pPr>
            <w:r w:rsidRPr="00487209">
              <w:rPr>
                <w:rFonts w:ascii="Times New Roman" w:hAnsi="Times New Roman" w:cs="Times New Roman"/>
                <w:sz w:val="18"/>
                <w:szCs w:val="18"/>
              </w:rPr>
              <w:t>The appropriations determined by the budgetary authority for the financing of tasks set out in Article 31(4) may also cover administrative expenses relating to preparation, monitoring, inspection, auditing and evaluation which are directly necessary for the achievement of the objectives of this Regulation, and in particular studies, meetings, information and publication activities, expenses relating to informatics networks for the exchange of information and any other expenditure on administrative and technical assistance which the Commission may use for activities related to the development and adoption of European Assessment Documents and the issuing of European Technical Assessments.</w:t>
            </w:r>
          </w:p>
        </w:tc>
        <w:tc>
          <w:tcPr>
            <w:tcW w:w="429" w:type="pct"/>
            <w:shd w:val="clear" w:color="auto" w:fill="auto"/>
            <w:vAlign w:val="center"/>
          </w:tcPr>
          <w:p w14:paraId="237CFB16" w14:textId="77777777" w:rsidR="00ED4F4D" w:rsidRPr="00487209" w:rsidRDefault="00ED4F4D"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0CB93284" w14:textId="77777777" w:rsidR="00ED4F4D" w:rsidRPr="00487209" w:rsidRDefault="00ED4F4D" w:rsidP="006C6323">
            <w:pPr>
              <w:jc w:val="center"/>
              <w:rPr>
                <w:rFonts w:ascii="Times New Roman" w:hAnsi="Times New Roman" w:cs="Times New Roman"/>
                <w:sz w:val="18"/>
                <w:szCs w:val="18"/>
                <w:lang w:val="sr-Cyrl-CS"/>
              </w:rPr>
            </w:pPr>
          </w:p>
        </w:tc>
        <w:tc>
          <w:tcPr>
            <w:tcW w:w="458" w:type="pct"/>
            <w:shd w:val="clear" w:color="auto" w:fill="auto"/>
            <w:vAlign w:val="center"/>
          </w:tcPr>
          <w:p w14:paraId="37D3BC48" w14:textId="77777777" w:rsidR="00ED4F4D" w:rsidRPr="00487209" w:rsidRDefault="00ED4F4D"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50EAF730" w14:textId="30D8CC18" w:rsidR="00ED4F4D" w:rsidRPr="00487209" w:rsidRDefault="00295C9D"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Члан </w:t>
            </w:r>
            <w:r w:rsidR="00ED4F4D" w:rsidRPr="00487209">
              <w:rPr>
                <w:rFonts w:ascii="Times New Roman" w:hAnsi="Times New Roman" w:cs="Times New Roman"/>
                <w:sz w:val="18"/>
                <w:szCs w:val="18"/>
                <w:lang w:val="ru-RU"/>
              </w:rPr>
              <w:t>34.1.</w:t>
            </w:r>
            <w:r w:rsidR="00ED4F4D" w:rsidRPr="00487209">
              <w:rPr>
                <w:rFonts w:ascii="Times New Roman" w:hAnsi="Times New Roman" w:cs="Times New Roman"/>
                <w:sz w:val="18"/>
                <w:szCs w:val="18"/>
                <w:lang w:val="sr-Cyrl-CS"/>
              </w:rPr>
              <w:t xml:space="preserve"> Уредбе 305/2011 (ЕУ) није пренет, пошто се односи на обавезе буџетских органа ЕУ</w:t>
            </w:r>
            <w:r w:rsidR="00ED4F4D" w:rsidRPr="00487209">
              <w:rPr>
                <w:rFonts w:ascii="Times New Roman" w:hAnsi="Times New Roman" w:cs="Times New Roman"/>
                <w:bCs/>
                <w:sz w:val="18"/>
                <w:szCs w:val="18"/>
                <w:lang w:val="sr-Cyrl-CS"/>
              </w:rPr>
              <w:t>.</w:t>
            </w:r>
          </w:p>
        </w:tc>
        <w:tc>
          <w:tcPr>
            <w:tcW w:w="480" w:type="pct"/>
            <w:shd w:val="clear" w:color="auto" w:fill="auto"/>
            <w:vAlign w:val="center"/>
          </w:tcPr>
          <w:p w14:paraId="6119CEE4" w14:textId="77777777" w:rsidR="00ED4F4D" w:rsidRPr="00487209" w:rsidRDefault="00ED4F4D" w:rsidP="006C6323">
            <w:pPr>
              <w:spacing w:before="120" w:after="120"/>
              <w:jc w:val="center"/>
              <w:rPr>
                <w:rFonts w:ascii="Times New Roman" w:hAnsi="Times New Roman" w:cs="Times New Roman"/>
                <w:sz w:val="18"/>
                <w:szCs w:val="18"/>
              </w:rPr>
            </w:pPr>
          </w:p>
        </w:tc>
      </w:tr>
      <w:tr w:rsidR="00337554" w:rsidRPr="00487209" w14:paraId="54963723" w14:textId="77777777" w:rsidTr="007D5144">
        <w:trPr>
          <w:trHeight w:val="1970"/>
          <w:jc w:val="center"/>
        </w:trPr>
        <w:tc>
          <w:tcPr>
            <w:tcW w:w="435" w:type="pct"/>
            <w:shd w:val="clear" w:color="auto" w:fill="auto"/>
            <w:vAlign w:val="center"/>
          </w:tcPr>
          <w:p w14:paraId="760E370B" w14:textId="77777777" w:rsidR="00ED4F4D" w:rsidRPr="00487209" w:rsidRDefault="00ED4F4D"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34.2.</w:t>
            </w:r>
          </w:p>
        </w:tc>
        <w:tc>
          <w:tcPr>
            <w:tcW w:w="1369" w:type="pct"/>
            <w:gridSpan w:val="2"/>
            <w:shd w:val="clear" w:color="auto" w:fill="auto"/>
            <w:vAlign w:val="center"/>
          </w:tcPr>
          <w:p w14:paraId="1A629A4F" w14:textId="77777777" w:rsidR="00ED4F4D" w:rsidRPr="00487209" w:rsidRDefault="00ED4F4D" w:rsidP="006C6323">
            <w:pPr>
              <w:jc w:val="both"/>
              <w:rPr>
                <w:rFonts w:ascii="Times New Roman" w:hAnsi="Times New Roman" w:cs="Times New Roman"/>
                <w:sz w:val="18"/>
                <w:szCs w:val="18"/>
              </w:rPr>
            </w:pPr>
            <w:r w:rsidRPr="00487209">
              <w:rPr>
                <w:rFonts w:ascii="Times New Roman" w:hAnsi="Times New Roman" w:cs="Times New Roman"/>
                <w:sz w:val="18"/>
                <w:szCs w:val="18"/>
              </w:rPr>
              <w:t>The Commission shall evaluate the relevance of the tasks set out in Article 31(4) that receive Union financing in the light of the requirements of Union policies and legislation, and inform the European Parliament and the Council of the outcome of that evaluation by 1 January 2017 and every 4 years thereafter.</w:t>
            </w:r>
          </w:p>
        </w:tc>
        <w:tc>
          <w:tcPr>
            <w:tcW w:w="429" w:type="pct"/>
            <w:shd w:val="clear" w:color="auto" w:fill="auto"/>
            <w:vAlign w:val="center"/>
          </w:tcPr>
          <w:p w14:paraId="53C67F2C" w14:textId="77777777" w:rsidR="00ED4F4D" w:rsidRPr="00487209" w:rsidRDefault="00ED4F4D"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010996DA" w14:textId="77777777" w:rsidR="00ED4F4D" w:rsidRPr="00487209" w:rsidRDefault="00ED4F4D" w:rsidP="006C6323">
            <w:pPr>
              <w:jc w:val="center"/>
              <w:rPr>
                <w:rFonts w:ascii="Times New Roman" w:hAnsi="Times New Roman" w:cs="Times New Roman"/>
                <w:sz w:val="18"/>
                <w:szCs w:val="18"/>
                <w:lang w:val="sr-Cyrl-CS"/>
              </w:rPr>
            </w:pPr>
          </w:p>
        </w:tc>
        <w:tc>
          <w:tcPr>
            <w:tcW w:w="458" w:type="pct"/>
            <w:shd w:val="clear" w:color="auto" w:fill="auto"/>
            <w:vAlign w:val="center"/>
          </w:tcPr>
          <w:p w14:paraId="67ECD0D5" w14:textId="77777777" w:rsidR="00ED4F4D" w:rsidRPr="00487209" w:rsidRDefault="00ED4F4D"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03145898" w14:textId="71F06321" w:rsidR="00ED4F4D" w:rsidRPr="00487209" w:rsidRDefault="00295C9D"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ED4F4D" w:rsidRPr="00487209">
              <w:rPr>
                <w:rFonts w:ascii="Times New Roman" w:hAnsi="Times New Roman" w:cs="Times New Roman"/>
                <w:sz w:val="18"/>
                <w:szCs w:val="18"/>
                <w:lang w:val="ru-RU"/>
              </w:rPr>
              <w:t xml:space="preserve"> 34.2.</w:t>
            </w:r>
            <w:r w:rsidR="00ED4F4D" w:rsidRPr="00487209">
              <w:rPr>
                <w:rFonts w:ascii="Times New Roman" w:hAnsi="Times New Roman" w:cs="Times New Roman"/>
                <w:sz w:val="18"/>
                <w:szCs w:val="18"/>
                <w:lang w:val="sr-Cyrl-CS"/>
              </w:rPr>
              <w:t xml:space="preserve"> Уредбе 305/2011 (ЕУ) није пренет, пошто се односи на обавезе Европске комисије</w:t>
            </w:r>
            <w:r w:rsidR="00ED4F4D" w:rsidRPr="00487209">
              <w:rPr>
                <w:rFonts w:ascii="Times New Roman" w:hAnsi="Times New Roman" w:cs="Times New Roman"/>
                <w:bCs/>
                <w:sz w:val="18"/>
                <w:szCs w:val="18"/>
                <w:lang w:val="sr-Cyrl-CS"/>
              </w:rPr>
              <w:t>.</w:t>
            </w:r>
          </w:p>
        </w:tc>
        <w:tc>
          <w:tcPr>
            <w:tcW w:w="480" w:type="pct"/>
            <w:shd w:val="clear" w:color="auto" w:fill="auto"/>
            <w:vAlign w:val="center"/>
          </w:tcPr>
          <w:p w14:paraId="3E977CA9" w14:textId="77777777" w:rsidR="00ED4F4D" w:rsidRPr="00487209" w:rsidRDefault="00ED4F4D" w:rsidP="006C6323">
            <w:pPr>
              <w:spacing w:before="120" w:after="120"/>
              <w:jc w:val="center"/>
              <w:rPr>
                <w:rFonts w:ascii="Times New Roman" w:hAnsi="Times New Roman" w:cs="Times New Roman"/>
                <w:sz w:val="18"/>
                <w:szCs w:val="18"/>
              </w:rPr>
            </w:pPr>
          </w:p>
        </w:tc>
      </w:tr>
      <w:tr w:rsidR="00337554" w:rsidRPr="00487209" w14:paraId="6AEF7794" w14:textId="77777777" w:rsidTr="007D5144">
        <w:trPr>
          <w:trHeight w:val="1970"/>
          <w:jc w:val="center"/>
        </w:trPr>
        <w:tc>
          <w:tcPr>
            <w:tcW w:w="435" w:type="pct"/>
            <w:shd w:val="clear" w:color="auto" w:fill="auto"/>
            <w:vAlign w:val="center"/>
          </w:tcPr>
          <w:p w14:paraId="21CE1F18" w14:textId="77777777" w:rsidR="00175EE5" w:rsidRPr="00487209" w:rsidRDefault="00175EE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35.1.</w:t>
            </w:r>
          </w:p>
        </w:tc>
        <w:tc>
          <w:tcPr>
            <w:tcW w:w="1369" w:type="pct"/>
            <w:gridSpan w:val="2"/>
            <w:shd w:val="clear" w:color="auto" w:fill="auto"/>
            <w:vAlign w:val="center"/>
          </w:tcPr>
          <w:p w14:paraId="7B8BAC57" w14:textId="77777777" w:rsidR="00175EE5" w:rsidRPr="00487209" w:rsidRDefault="00175EE5" w:rsidP="006C6323">
            <w:pPr>
              <w:jc w:val="both"/>
              <w:rPr>
                <w:rFonts w:ascii="Times New Roman" w:hAnsi="Times New Roman" w:cs="Times New Roman"/>
                <w:sz w:val="18"/>
                <w:szCs w:val="18"/>
              </w:rPr>
            </w:pPr>
            <w:r w:rsidRPr="00487209">
              <w:rPr>
                <w:rFonts w:ascii="Times New Roman" w:hAnsi="Times New Roman" w:cs="Times New Roman"/>
                <w:sz w:val="18"/>
                <w:szCs w:val="18"/>
              </w:rPr>
              <w:t xml:space="preserve">The Commission shall ensure that when the activities financed under this Regulation are implemented, the Union’s financial interests are protected by the application of preventive measures against fraud, corruption and other illegal activities, by effective checks and by the recovery of amounts unduly paid and, if irregularities are detected, by effective, proportionate and dissuasive penalties, in accordance with Council Regulation (EC, Euratom) No 2988/95 of 18 December 1995 on the protection of the European Communities’ financial interests, Council Regulation (Euratom, EC) No 2185/96 of 11 November 1996 concerning on-the-spot </w:t>
            </w:r>
            <w:r w:rsidRPr="00487209">
              <w:rPr>
                <w:rFonts w:ascii="Times New Roman" w:hAnsi="Times New Roman" w:cs="Times New Roman"/>
                <w:sz w:val="18"/>
                <w:szCs w:val="18"/>
              </w:rPr>
              <w:lastRenderedPageBreak/>
              <w:t>checks and inspections carried out by the Commission in order to protect the European Communities’ financial interests against fraud and other irregularities and Regulation (EC) No 1073/1999 of the European Parliament and of the Council of 25 May 1999 concerning investigations conducted by the European Anti-Fraud Office (OLAF)</w:t>
            </w:r>
          </w:p>
        </w:tc>
        <w:tc>
          <w:tcPr>
            <w:tcW w:w="429" w:type="pct"/>
            <w:shd w:val="clear" w:color="auto" w:fill="auto"/>
            <w:vAlign w:val="center"/>
          </w:tcPr>
          <w:p w14:paraId="385F7087" w14:textId="77777777" w:rsidR="00175EE5" w:rsidRPr="00487209" w:rsidRDefault="00175EE5"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406CCCAD" w14:textId="77777777" w:rsidR="00175EE5" w:rsidRPr="00487209" w:rsidRDefault="00175EE5" w:rsidP="006C6323">
            <w:pPr>
              <w:jc w:val="center"/>
              <w:rPr>
                <w:rFonts w:ascii="Times New Roman" w:hAnsi="Times New Roman" w:cs="Times New Roman"/>
                <w:sz w:val="18"/>
                <w:szCs w:val="18"/>
                <w:lang w:val="sr-Cyrl-CS"/>
              </w:rPr>
            </w:pPr>
          </w:p>
        </w:tc>
        <w:tc>
          <w:tcPr>
            <w:tcW w:w="458" w:type="pct"/>
            <w:shd w:val="clear" w:color="auto" w:fill="auto"/>
            <w:vAlign w:val="center"/>
          </w:tcPr>
          <w:p w14:paraId="28F4D653" w14:textId="77777777" w:rsidR="00175EE5" w:rsidRPr="00487209" w:rsidRDefault="00175EE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53CF00F2" w14:textId="3C84C5E0" w:rsidR="00175EE5" w:rsidRPr="00487209" w:rsidRDefault="00295C9D"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Члан </w:t>
            </w:r>
            <w:r w:rsidR="001930A5" w:rsidRPr="00487209">
              <w:rPr>
                <w:rFonts w:ascii="Times New Roman" w:hAnsi="Times New Roman" w:cs="Times New Roman"/>
                <w:sz w:val="18"/>
                <w:szCs w:val="18"/>
                <w:lang w:val="ru-RU"/>
              </w:rPr>
              <w:t>35.1.</w:t>
            </w:r>
            <w:r w:rsidR="001930A5" w:rsidRPr="00487209">
              <w:rPr>
                <w:rFonts w:ascii="Times New Roman" w:hAnsi="Times New Roman" w:cs="Times New Roman"/>
                <w:sz w:val="18"/>
                <w:szCs w:val="18"/>
                <w:lang w:val="sr-Cyrl-CS"/>
              </w:rPr>
              <w:t xml:space="preserve"> Уредбе 305/2011 (ЕУ) није пренет, пошто се односи на обавезу Европске комисије</w:t>
            </w:r>
            <w:r w:rsidR="001930A5" w:rsidRPr="00487209">
              <w:rPr>
                <w:rFonts w:ascii="Times New Roman" w:hAnsi="Times New Roman" w:cs="Times New Roman"/>
                <w:bCs/>
                <w:sz w:val="18"/>
                <w:szCs w:val="18"/>
                <w:lang w:val="sr-Cyrl-CS"/>
              </w:rPr>
              <w:t>.</w:t>
            </w:r>
          </w:p>
        </w:tc>
        <w:tc>
          <w:tcPr>
            <w:tcW w:w="480" w:type="pct"/>
            <w:shd w:val="clear" w:color="auto" w:fill="auto"/>
            <w:vAlign w:val="center"/>
          </w:tcPr>
          <w:p w14:paraId="4764391A" w14:textId="77777777" w:rsidR="00175EE5" w:rsidRPr="00487209" w:rsidRDefault="00175EE5" w:rsidP="006C6323">
            <w:pPr>
              <w:spacing w:before="120" w:after="120"/>
              <w:jc w:val="center"/>
              <w:rPr>
                <w:rFonts w:ascii="Times New Roman" w:hAnsi="Times New Roman" w:cs="Times New Roman"/>
                <w:sz w:val="18"/>
                <w:szCs w:val="18"/>
                <w:lang w:val="ru-RU"/>
              </w:rPr>
            </w:pPr>
          </w:p>
        </w:tc>
      </w:tr>
      <w:tr w:rsidR="00337554" w:rsidRPr="00487209" w14:paraId="6BA8C0BA" w14:textId="77777777" w:rsidTr="007D5144">
        <w:trPr>
          <w:trHeight w:val="1970"/>
          <w:jc w:val="center"/>
        </w:trPr>
        <w:tc>
          <w:tcPr>
            <w:tcW w:w="435" w:type="pct"/>
            <w:shd w:val="clear" w:color="auto" w:fill="auto"/>
            <w:vAlign w:val="center"/>
          </w:tcPr>
          <w:p w14:paraId="7FCB607F" w14:textId="77777777" w:rsidR="00175EE5" w:rsidRPr="00487209" w:rsidRDefault="00175EE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35.2.</w:t>
            </w:r>
          </w:p>
        </w:tc>
        <w:tc>
          <w:tcPr>
            <w:tcW w:w="1369" w:type="pct"/>
            <w:gridSpan w:val="2"/>
            <w:shd w:val="clear" w:color="auto" w:fill="auto"/>
            <w:vAlign w:val="center"/>
          </w:tcPr>
          <w:p w14:paraId="3841F288" w14:textId="77777777" w:rsidR="00175EE5" w:rsidRPr="00487209" w:rsidRDefault="00175EE5" w:rsidP="006C6323">
            <w:pPr>
              <w:jc w:val="both"/>
              <w:rPr>
                <w:rFonts w:ascii="Times New Roman" w:hAnsi="Times New Roman" w:cs="Times New Roman"/>
                <w:sz w:val="18"/>
                <w:szCs w:val="18"/>
              </w:rPr>
            </w:pPr>
            <w:r w:rsidRPr="00487209">
              <w:rPr>
                <w:rFonts w:ascii="Times New Roman" w:hAnsi="Times New Roman" w:cs="Times New Roman"/>
                <w:sz w:val="18"/>
                <w:szCs w:val="18"/>
              </w:rPr>
              <w:t>For the activities financed under this Regulation, the notion of irregularity referred to in Article 1(2) of Regulation (EC, Euratom) No 2988/95 shall mean any infringement of a provision of Union law or any breach of a contractual obligation resulting from an act or omission by an economic operator which has, or would have, the effect of prejudicing the general budget of the Union or budgets managed by it by an unjustified item of expenditure.</w:t>
            </w:r>
          </w:p>
        </w:tc>
        <w:tc>
          <w:tcPr>
            <w:tcW w:w="429" w:type="pct"/>
            <w:shd w:val="clear" w:color="auto" w:fill="auto"/>
            <w:vAlign w:val="center"/>
          </w:tcPr>
          <w:p w14:paraId="550211C3" w14:textId="77777777" w:rsidR="00175EE5" w:rsidRPr="00487209" w:rsidRDefault="00175EE5"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4B70552F" w14:textId="77777777" w:rsidR="00175EE5" w:rsidRPr="00487209" w:rsidRDefault="00175EE5" w:rsidP="006C6323">
            <w:pPr>
              <w:jc w:val="center"/>
              <w:rPr>
                <w:rFonts w:ascii="Times New Roman" w:hAnsi="Times New Roman" w:cs="Times New Roman"/>
                <w:sz w:val="18"/>
                <w:szCs w:val="18"/>
                <w:lang w:val="sr-Cyrl-CS"/>
              </w:rPr>
            </w:pPr>
          </w:p>
        </w:tc>
        <w:tc>
          <w:tcPr>
            <w:tcW w:w="458" w:type="pct"/>
            <w:shd w:val="clear" w:color="auto" w:fill="auto"/>
            <w:vAlign w:val="center"/>
          </w:tcPr>
          <w:p w14:paraId="2F80C2C5" w14:textId="77777777" w:rsidR="00175EE5" w:rsidRPr="00487209" w:rsidRDefault="00175EE5"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rPr>
              <w:t>НП</w:t>
            </w:r>
          </w:p>
        </w:tc>
        <w:tc>
          <w:tcPr>
            <w:tcW w:w="598" w:type="pct"/>
            <w:gridSpan w:val="2"/>
            <w:shd w:val="clear" w:color="auto" w:fill="auto"/>
            <w:vAlign w:val="center"/>
          </w:tcPr>
          <w:p w14:paraId="79BCB91C" w14:textId="435B9ECD" w:rsidR="00175EE5" w:rsidRPr="00487209" w:rsidRDefault="00295C9D"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930A5" w:rsidRPr="00487209">
              <w:rPr>
                <w:rFonts w:ascii="Times New Roman" w:hAnsi="Times New Roman" w:cs="Times New Roman"/>
                <w:sz w:val="18"/>
                <w:szCs w:val="18"/>
                <w:lang w:val="ru-RU"/>
              </w:rPr>
              <w:t xml:space="preserve"> 35.1.</w:t>
            </w:r>
            <w:r w:rsidR="001930A5" w:rsidRPr="00487209">
              <w:rPr>
                <w:rFonts w:ascii="Times New Roman" w:hAnsi="Times New Roman" w:cs="Times New Roman"/>
                <w:sz w:val="18"/>
                <w:szCs w:val="18"/>
                <w:lang w:val="sr-Cyrl-CS"/>
              </w:rPr>
              <w:t xml:space="preserve"> Уредбе 305/2011 (ЕУ) није пренет, пошто се односи на обавезе корисника буџета ЕУ</w:t>
            </w:r>
            <w:r w:rsidR="001930A5" w:rsidRPr="00487209">
              <w:rPr>
                <w:rFonts w:ascii="Times New Roman" w:hAnsi="Times New Roman" w:cs="Times New Roman"/>
                <w:bCs/>
                <w:sz w:val="18"/>
                <w:szCs w:val="18"/>
                <w:lang w:val="sr-Cyrl-CS"/>
              </w:rPr>
              <w:t>.</w:t>
            </w:r>
          </w:p>
        </w:tc>
        <w:tc>
          <w:tcPr>
            <w:tcW w:w="480" w:type="pct"/>
            <w:shd w:val="clear" w:color="auto" w:fill="auto"/>
            <w:vAlign w:val="center"/>
          </w:tcPr>
          <w:p w14:paraId="58165431" w14:textId="77777777" w:rsidR="00175EE5" w:rsidRPr="00487209" w:rsidRDefault="00175EE5" w:rsidP="006C6323">
            <w:pPr>
              <w:spacing w:before="120" w:after="120"/>
              <w:jc w:val="center"/>
              <w:rPr>
                <w:rFonts w:ascii="Times New Roman" w:hAnsi="Times New Roman" w:cs="Times New Roman"/>
                <w:sz w:val="18"/>
                <w:szCs w:val="18"/>
                <w:lang w:val="sr-Cyrl-CS"/>
              </w:rPr>
            </w:pPr>
          </w:p>
        </w:tc>
      </w:tr>
      <w:tr w:rsidR="00337554" w:rsidRPr="00487209" w14:paraId="0A49BAF5" w14:textId="77777777" w:rsidTr="007D5144">
        <w:trPr>
          <w:trHeight w:val="1970"/>
          <w:jc w:val="center"/>
        </w:trPr>
        <w:tc>
          <w:tcPr>
            <w:tcW w:w="435" w:type="pct"/>
            <w:shd w:val="clear" w:color="auto" w:fill="auto"/>
            <w:vAlign w:val="center"/>
          </w:tcPr>
          <w:p w14:paraId="43F6931C" w14:textId="77777777" w:rsidR="00175EE5" w:rsidRPr="00487209" w:rsidRDefault="00175EE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35.3.</w:t>
            </w:r>
          </w:p>
        </w:tc>
        <w:tc>
          <w:tcPr>
            <w:tcW w:w="1369" w:type="pct"/>
            <w:gridSpan w:val="2"/>
            <w:shd w:val="clear" w:color="auto" w:fill="auto"/>
            <w:vAlign w:val="center"/>
          </w:tcPr>
          <w:p w14:paraId="6576769B" w14:textId="77777777" w:rsidR="00175EE5" w:rsidRPr="00487209" w:rsidRDefault="00175EE5" w:rsidP="006C6323">
            <w:pPr>
              <w:jc w:val="both"/>
              <w:rPr>
                <w:rFonts w:ascii="Times New Roman" w:hAnsi="Times New Roman" w:cs="Times New Roman"/>
                <w:sz w:val="18"/>
                <w:szCs w:val="18"/>
              </w:rPr>
            </w:pPr>
            <w:r w:rsidRPr="00487209">
              <w:rPr>
                <w:rFonts w:ascii="Times New Roman" w:hAnsi="Times New Roman" w:cs="Times New Roman"/>
                <w:sz w:val="18"/>
                <w:szCs w:val="18"/>
              </w:rPr>
              <w:t>Any agreements and contracts resulting from this Regulation shall provide for monitoring and financial control by the Commission or any representative which it authorises and for audits by the Court of Auditors, which, if necessary, may be conducted on-the-spot.</w:t>
            </w:r>
          </w:p>
        </w:tc>
        <w:tc>
          <w:tcPr>
            <w:tcW w:w="429" w:type="pct"/>
            <w:shd w:val="clear" w:color="auto" w:fill="auto"/>
            <w:vAlign w:val="center"/>
          </w:tcPr>
          <w:p w14:paraId="0CB1058F" w14:textId="77777777" w:rsidR="00175EE5" w:rsidRPr="00487209" w:rsidRDefault="00175EE5"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7E2EEBFA" w14:textId="77777777" w:rsidR="00175EE5" w:rsidRPr="00487209" w:rsidRDefault="00175EE5" w:rsidP="006C6323">
            <w:pPr>
              <w:jc w:val="center"/>
              <w:rPr>
                <w:rFonts w:ascii="Times New Roman" w:hAnsi="Times New Roman" w:cs="Times New Roman"/>
                <w:sz w:val="18"/>
                <w:szCs w:val="18"/>
                <w:lang w:val="sr-Cyrl-CS"/>
              </w:rPr>
            </w:pPr>
          </w:p>
        </w:tc>
        <w:tc>
          <w:tcPr>
            <w:tcW w:w="458" w:type="pct"/>
            <w:shd w:val="clear" w:color="auto" w:fill="auto"/>
            <w:vAlign w:val="center"/>
          </w:tcPr>
          <w:p w14:paraId="691FDC64" w14:textId="77777777" w:rsidR="00175EE5" w:rsidRPr="00487209" w:rsidRDefault="00175EE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0656CADD" w14:textId="5CF53565" w:rsidR="00175EE5" w:rsidRPr="00487209" w:rsidRDefault="00295C9D"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75EE5" w:rsidRPr="00487209">
              <w:rPr>
                <w:rFonts w:ascii="Times New Roman" w:hAnsi="Times New Roman" w:cs="Times New Roman"/>
                <w:sz w:val="18"/>
                <w:szCs w:val="18"/>
                <w:lang w:val="ru-RU"/>
              </w:rPr>
              <w:t xml:space="preserve"> 35.3.</w:t>
            </w:r>
            <w:r w:rsidR="00175EE5" w:rsidRPr="00487209">
              <w:rPr>
                <w:rFonts w:ascii="Times New Roman" w:hAnsi="Times New Roman" w:cs="Times New Roman"/>
                <w:sz w:val="18"/>
                <w:szCs w:val="18"/>
                <w:lang w:val="sr-Cyrl-CS"/>
              </w:rPr>
              <w:t xml:space="preserve"> Уредбе 305/2011 (ЕУ) није пренет, пошто се односи на обавезу Европске комисије</w:t>
            </w:r>
            <w:r w:rsidR="00175EE5" w:rsidRPr="00487209">
              <w:rPr>
                <w:rFonts w:ascii="Times New Roman" w:hAnsi="Times New Roman" w:cs="Times New Roman"/>
                <w:bCs/>
                <w:sz w:val="18"/>
                <w:szCs w:val="18"/>
                <w:lang w:val="sr-Cyrl-CS"/>
              </w:rPr>
              <w:t>.</w:t>
            </w:r>
          </w:p>
        </w:tc>
        <w:tc>
          <w:tcPr>
            <w:tcW w:w="480" w:type="pct"/>
            <w:shd w:val="clear" w:color="auto" w:fill="auto"/>
            <w:vAlign w:val="center"/>
          </w:tcPr>
          <w:p w14:paraId="4AB12E4A" w14:textId="77777777" w:rsidR="00175EE5" w:rsidRPr="00487209" w:rsidRDefault="00175EE5" w:rsidP="006C6323">
            <w:pPr>
              <w:spacing w:before="120" w:after="120"/>
              <w:jc w:val="center"/>
              <w:rPr>
                <w:rFonts w:ascii="Times New Roman" w:hAnsi="Times New Roman" w:cs="Times New Roman"/>
                <w:sz w:val="18"/>
                <w:szCs w:val="18"/>
                <w:lang w:val="ru-RU"/>
              </w:rPr>
            </w:pPr>
          </w:p>
        </w:tc>
      </w:tr>
      <w:tr w:rsidR="00337554" w:rsidRPr="00487209" w14:paraId="06F8878D" w14:textId="77777777" w:rsidTr="007D5144">
        <w:trPr>
          <w:trHeight w:val="771"/>
          <w:jc w:val="center"/>
        </w:trPr>
        <w:tc>
          <w:tcPr>
            <w:tcW w:w="435" w:type="pct"/>
            <w:shd w:val="clear" w:color="auto" w:fill="auto"/>
            <w:vAlign w:val="center"/>
          </w:tcPr>
          <w:p w14:paraId="4995F5F6" w14:textId="77777777" w:rsidR="009D5DEE" w:rsidRPr="00487209" w:rsidRDefault="009D5DEE"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36.1.(a)</w:t>
            </w:r>
          </w:p>
        </w:tc>
        <w:tc>
          <w:tcPr>
            <w:tcW w:w="1369" w:type="pct"/>
            <w:gridSpan w:val="2"/>
            <w:shd w:val="clear" w:color="auto" w:fill="auto"/>
            <w:vAlign w:val="center"/>
          </w:tcPr>
          <w:p w14:paraId="1909B79C" w14:textId="77777777" w:rsidR="009D5DEE" w:rsidRPr="00487209" w:rsidRDefault="009D5DEE"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In determining the product-type, a manufacturer may replace type-testing or type-calculation by Appropriate Technical Documentation demonstrating that:</w:t>
            </w:r>
          </w:p>
          <w:p w14:paraId="24D59BF6" w14:textId="77777777" w:rsidR="009D5DEE" w:rsidRPr="00487209" w:rsidRDefault="009D5DEE"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 xml:space="preserve">(a) for one or several essential characteristics of the construction product, which the manufacturer places on the market, that product is deemed to achieve a certain level or class of performance without testing or calculation, or without further testing or </w:t>
            </w:r>
            <w:r w:rsidRPr="00487209">
              <w:rPr>
                <w:rFonts w:ascii="Times New Roman" w:hAnsi="Times New Roman" w:cs="Times New Roman"/>
                <w:sz w:val="18"/>
                <w:szCs w:val="18"/>
              </w:rPr>
              <w:lastRenderedPageBreak/>
              <w:t>calculation, in accordance with the conditions set out in the relevant harmonised technical specification or a Commission decision;</w:t>
            </w:r>
          </w:p>
          <w:p w14:paraId="31CD005D" w14:textId="77777777" w:rsidR="009D5DEE" w:rsidRPr="00487209" w:rsidRDefault="009D5DEE"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2093BB04" w14:textId="72E99683" w:rsidR="00644BD2"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01</w:t>
            </w:r>
          </w:p>
          <w:p w14:paraId="5E7A4A04" w14:textId="77777777" w:rsidR="009D5DEE" w:rsidRPr="00487209" w:rsidRDefault="00644BD2" w:rsidP="006C6323">
            <w:pPr>
              <w:spacing w:before="120" w:after="120"/>
              <w:jc w:val="center"/>
              <w:rPr>
                <w:rFonts w:ascii="Times New Roman" w:hAnsi="Times New Roman" w:cs="Times New Roman"/>
                <w:sz w:val="18"/>
                <w:szCs w:val="18"/>
                <w:lang w:val="es-ES"/>
              </w:rPr>
            </w:pPr>
            <w:r w:rsidRPr="00487209">
              <w:rPr>
                <w:rFonts w:ascii="Times New Roman" w:hAnsi="Times New Roman" w:cs="Times New Roman"/>
                <w:sz w:val="18"/>
                <w:szCs w:val="18"/>
                <w:lang w:val="sr-Cyrl-CS"/>
              </w:rPr>
              <w:t xml:space="preserve"> </w:t>
            </w:r>
            <w:r w:rsidR="008A0233" w:rsidRPr="00487209">
              <w:rPr>
                <w:rFonts w:ascii="Times New Roman" w:hAnsi="Times New Roman" w:cs="Times New Roman"/>
                <w:sz w:val="18"/>
                <w:szCs w:val="18"/>
                <w:lang w:val="sr-Cyrl-CS"/>
              </w:rPr>
              <w:t>30.</w:t>
            </w:r>
            <w:r w:rsidR="00884269" w:rsidRPr="00487209">
              <w:rPr>
                <w:rFonts w:ascii="Times New Roman" w:hAnsi="Times New Roman" w:cs="Times New Roman"/>
                <w:sz w:val="18"/>
                <w:szCs w:val="18"/>
                <w:lang w:val="sr-Cyrl-CS"/>
              </w:rPr>
              <w:t>1.</w:t>
            </w:r>
            <w:r w:rsidR="009D5DEE" w:rsidRPr="00487209">
              <w:rPr>
                <w:rFonts w:ascii="Times New Roman" w:hAnsi="Times New Roman" w:cs="Times New Roman"/>
                <w:sz w:val="18"/>
                <w:szCs w:val="18"/>
                <w:lang w:val="sr-Cyrl-CS"/>
              </w:rPr>
              <w:t>1</w:t>
            </w:r>
            <w:r w:rsidR="00884269" w:rsidRPr="00487209">
              <w:rPr>
                <w:rFonts w:ascii="Times New Roman" w:hAnsi="Times New Roman" w:cs="Times New Roman"/>
                <w:sz w:val="18"/>
                <w:szCs w:val="18"/>
                <w:lang w:val="es-ES"/>
              </w:rPr>
              <w:t>)</w:t>
            </w:r>
          </w:p>
        </w:tc>
        <w:tc>
          <w:tcPr>
            <w:tcW w:w="1231" w:type="pct"/>
            <w:gridSpan w:val="2"/>
            <w:shd w:val="clear" w:color="auto" w:fill="auto"/>
            <w:vAlign w:val="center"/>
          </w:tcPr>
          <w:p w14:paraId="147652D3" w14:textId="77777777" w:rsidR="000D26B2" w:rsidRPr="00487209" w:rsidRDefault="000D26B2" w:rsidP="006C6323">
            <w:pPr>
              <w:pStyle w:val="Style7"/>
              <w:spacing w:before="120" w:after="0" w:line="240" w:lineRule="auto"/>
              <w:ind w:right="-23"/>
              <w:jc w:val="both"/>
              <w:outlineLvl w:val="9"/>
              <w:rPr>
                <w:sz w:val="18"/>
                <w:szCs w:val="18"/>
              </w:rPr>
            </w:pPr>
            <w:r w:rsidRPr="00487209">
              <w:rPr>
                <w:sz w:val="18"/>
                <w:szCs w:val="18"/>
              </w:rPr>
              <w:t>При утврђивању типа производа, произвођач може да замени испитивање типа или прорачуне типа одговарајућом техничком документацијом којом се доказује да:</w:t>
            </w:r>
          </w:p>
          <w:p w14:paraId="1A541430" w14:textId="77777777" w:rsidR="000D26B2" w:rsidRPr="00487209" w:rsidRDefault="000D26B2" w:rsidP="006C6323">
            <w:pPr>
              <w:pStyle w:val="Style6"/>
              <w:numPr>
                <w:ilvl w:val="0"/>
                <w:numId w:val="20"/>
              </w:numPr>
              <w:spacing w:before="120" w:line="240" w:lineRule="auto"/>
              <w:ind w:left="432" w:right="-23" w:hanging="283"/>
              <w:rPr>
                <w:rStyle w:val="FontStyle41"/>
                <w:rFonts w:ascii="Times New Roman" w:hAnsi="Times New Roman" w:cs="Times New Roman"/>
                <w:sz w:val="18"/>
                <w:szCs w:val="18"/>
                <w:lang w:val="sr-Cyrl-CS"/>
              </w:rPr>
            </w:pPr>
            <w:r w:rsidRPr="00487209">
              <w:rPr>
                <w:rFonts w:ascii="Times New Roman" w:hAnsi="Times New Roman"/>
                <w:sz w:val="18"/>
                <w:szCs w:val="18"/>
                <w:lang w:val="sr-Cyrl-CS"/>
              </w:rPr>
              <w:t xml:space="preserve">грађевински производ који произвођач ставља на тржиште постиже одређен ниво или класу перформанси, за једну или више битних карактеристика тог </w:t>
            </w:r>
            <w:r w:rsidRPr="00487209">
              <w:rPr>
                <w:rFonts w:ascii="Times New Roman" w:hAnsi="Times New Roman"/>
                <w:sz w:val="18"/>
                <w:szCs w:val="18"/>
                <w:lang w:val="sr-Cyrl-CS"/>
              </w:rPr>
              <w:lastRenderedPageBreak/>
              <w:t>грађевинског производа, без испитивања или прорачуна или без додатних испитивања или прорачуна у складу са условима утврђеним у одговарајућем српском стандарду са Списка 1;</w:t>
            </w:r>
          </w:p>
          <w:p w14:paraId="26973D5F" w14:textId="77777777" w:rsidR="009D5DEE" w:rsidRPr="00487209" w:rsidRDefault="009D5DEE" w:rsidP="006C6323">
            <w:pPr>
              <w:spacing w:before="240"/>
              <w:jc w:val="center"/>
              <w:rPr>
                <w:rFonts w:ascii="Times New Roman" w:hAnsi="Times New Roman" w:cs="Times New Roman"/>
                <w:sz w:val="18"/>
                <w:szCs w:val="18"/>
                <w:lang w:val="sr-Cyrl-CS"/>
              </w:rPr>
            </w:pPr>
          </w:p>
        </w:tc>
        <w:tc>
          <w:tcPr>
            <w:tcW w:w="458" w:type="pct"/>
            <w:shd w:val="clear" w:color="auto" w:fill="auto"/>
            <w:vAlign w:val="center"/>
          </w:tcPr>
          <w:p w14:paraId="131A2760" w14:textId="77777777" w:rsidR="009D5DEE" w:rsidRPr="00487209" w:rsidRDefault="009D5DEE"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ДУ</w:t>
            </w:r>
          </w:p>
        </w:tc>
        <w:tc>
          <w:tcPr>
            <w:tcW w:w="598" w:type="pct"/>
            <w:gridSpan w:val="2"/>
            <w:shd w:val="clear" w:color="auto" w:fill="auto"/>
            <w:vAlign w:val="center"/>
          </w:tcPr>
          <w:p w14:paraId="6D655AC0" w14:textId="0CB5A71D" w:rsidR="009D5DEE" w:rsidRPr="00487209" w:rsidRDefault="00295C9D"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9D5DEE" w:rsidRPr="00487209">
              <w:rPr>
                <w:rFonts w:ascii="Times New Roman" w:hAnsi="Times New Roman" w:cs="Times New Roman"/>
                <w:sz w:val="18"/>
                <w:szCs w:val="18"/>
                <w:lang w:val="ru-RU"/>
              </w:rPr>
              <w:t xml:space="preserve"> 3</w:t>
            </w:r>
            <w:r w:rsidR="008A0233" w:rsidRPr="00487209">
              <w:rPr>
                <w:rFonts w:ascii="Times New Roman" w:hAnsi="Times New Roman" w:cs="Times New Roman"/>
                <w:sz w:val="18"/>
                <w:szCs w:val="18"/>
                <w:lang w:val="ru-RU"/>
              </w:rPr>
              <w:t>0</w:t>
            </w:r>
            <w:r>
              <w:rPr>
                <w:rFonts w:ascii="Times New Roman" w:hAnsi="Times New Roman" w:cs="Times New Roman"/>
                <w:sz w:val="18"/>
                <w:szCs w:val="18"/>
                <w:lang w:val="ru-RU"/>
              </w:rPr>
              <w:t>. став</w:t>
            </w:r>
            <w:r w:rsidR="009D5DEE" w:rsidRPr="00487209">
              <w:rPr>
                <w:rFonts w:ascii="Times New Roman" w:hAnsi="Times New Roman" w:cs="Times New Roman"/>
                <w:sz w:val="18"/>
                <w:szCs w:val="18"/>
                <w:lang w:val="ru-RU"/>
              </w:rPr>
              <w:t xml:space="preserve"> </w:t>
            </w:r>
            <w:r w:rsidR="008A0233" w:rsidRPr="00487209">
              <w:rPr>
                <w:rFonts w:ascii="Times New Roman" w:hAnsi="Times New Roman" w:cs="Times New Roman"/>
                <w:sz w:val="18"/>
                <w:szCs w:val="18"/>
                <w:lang w:val="ru-RU"/>
              </w:rPr>
              <w:t>1</w:t>
            </w:r>
            <w:r w:rsidR="009D5DEE" w:rsidRPr="00487209">
              <w:rPr>
                <w:rFonts w:ascii="Times New Roman" w:hAnsi="Times New Roman" w:cs="Times New Roman"/>
                <w:sz w:val="18"/>
                <w:szCs w:val="18"/>
                <w:lang w:val="ru-RU"/>
              </w:rPr>
              <w:t>.</w:t>
            </w:r>
            <w:r>
              <w:rPr>
                <w:rFonts w:ascii="Times New Roman" w:hAnsi="Times New Roman" w:cs="Times New Roman"/>
                <w:sz w:val="18"/>
                <w:szCs w:val="18"/>
                <w:lang w:val="ru-RU"/>
              </w:rPr>
              <w:t xml:space="preserve"> тачка</w:t>
            </w:r>
            <w:r w:rsidR="008A0233" w:rsidRPr="00487209">
              <w:rPr>
                <w:rFonts w:ascii="Times New Roman" w:hAnsi="Times New Roman" w:cs="Times New Roman"/>
                <w:sz w:val="18"/>
                <w:szCs w:val="18"/>
                <w:lang w:val="ru-RU"/>
              </w:rPr>
              <w:t xml:space="preserve"> 1.</w:t>
            </w:r>
            <w:r w:rsidR="009D5DEE" w:rsidRPr="00487209">
              <w:rPr>
                <w:rFonts w:ascii="Times New Roman" w:hAnsi="Times New Roman" w:cs="Times New Roman"/>
                <w:sz w:val="18"/>
                <w:szCs w:val="18"/>
                <w:lang w:val="ru-RU"/>
              </w:rPr>
              <w:t xml:space="preserve">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Pr>
                <w:rFonts w:ascii="Times New Roman" w:hAnsi="Times New Roman" w:cs="Times New Roman"/>
                <w:sz w:val="18"/>
                <w:szCs w:val="18"/>
                <w:lang w:val="ru-RU"/>
              </w:rPr>
              <w:t xml:space="preserve"> је делимично усклађен са чланом</w:t>
            </w:r>
            <w:r w:rsidR="009D5DEE" w:rsidRPr="00487209">
              <w:rPr>
                <w:rFonts w:ascii="Times New Roman" w:hAnsi="Times New Roman" w:cs="Times New Roman"/>
                <w:sz w:val="18"/>
                <w:szCs w:val="18"/>
                <w:lang w:val="ru-RU"/>
              </w:rPr>
              <w:t xml:space="preserve"> </w:t>
            </w:r>
            <w:r w:rsidR="008A0233" w:rsidRPr="00487209">
              <w:rPr>
                <w:rFonts w:ascii="Times New Roman" w:hAnsi="Times New Roman" w:cs="Times New Roman"/>
                <w:sz w:val="18"/>
                <w:szCs w:val="18"/>
                <w:lang w:val="sr-Cyrl-CS"/>
              </w:rPr>
              <w:t>36.1.(</w:t>
            </w:r>
            <w:r w:rsidR="008A0233" w:rsidRPr="00487209">
              <w:rPr>
                <w:rFonts w:ascii="Times New Roman" w:hAnsi="Times New Roman" w:cs="Times New Roman"/>
                <w:sz w:val="18"/>
                <w:szCs w:val="18"/>
              </w:rPr>
              <w:t>a</w:t>
            </w:r>
            <w:r w:rsidR="008A0233" w:rsidRPr="00487209">
              <w:rPr>
                <w:rFonts w:ascii="Times New Roman" w:hAnsi="Times New Roman" w:cs="Times New Roman"/>
                <w:sz w:val="18"/>
                <w:szCs w:val="18"/>
                <w:lang w:val="sr-Cyrl-CS"/>
              </w:rPr>
              <w:t xml:space="preserve">) </w:t>
            </w:r>
            <w:r w:rsidR="009D5DEE" w:rsidRPr="00487209">
              <w:rPr>
                <w:rFonts w:ascii="Times New Roman" w:hAnsi="Times New Roman" w:cs="Times New Roman"/>
                <w:sz w:val="18"/>
                <w:szCs w:val="18"/>
                <w:lang w:val="sr-Cyrl-CS"/>
              </w:rPr>
              <w:t xml:space="preserve">Уредбе 305/2011 (ЕУ), због </w:t>
            </w:r>
            <w:r w:rsidR="009D5DEE" w:rsidRPr="00487209">
              <w:rPr>
                <w:rFonts w:ascii="Times New Roman" w:hAnsi="Times New Roman" w:cs="Times New Roman"/>
                <w:sz w:val="18"/>
                <w:szCs w:val="18"/>
                <w:lang w:val="sr-Cyrl-CS"/>
              </w:rPr>
              <w:lastRenderedPageBreak/>
              <w:t>статуса нечланице. Потпуно усклађивање биће могуће након приступања ЕУ.</w:t>
            </w:r>
          </w:p>
        </w:tc>
        <w:tc>
          <w:tcPr>
            <w:tcW w:w="480" w:type="pct"/>
            <w:shd w:val="clear" w:color="auto" w:fill="auto"/>
            <w:vAlign w:val="center"/>
          </w:tcPr>
          <w:p w14:paraId="64575F86" w14:textId="77777777" w:rsidR="009D5DEE" w:rsidRPr="00487209" w:rsidRDefault="009D5DEE" w:rsidP="006C6323">
            <w:pPr>
              <w:spacing w:before="120" w:after="120"/>
              <w:jc w:val="center"/>
              <w:rPr>
                <w:rFonts w:ascii="Times New Roman" w:hAnsi="Times New Roman" w:cs="Times New Roman"/>
                <w:sz w:val="18"/>
                <w:szCs w:val="18"/>
                <w:lang w:val="ru-RU"/>
              </w:rPr>
            </w:pPr>
          </w:p>
        </w:tc>
      </w:tr>
      <w:tr w:rsidR="00337554" w:rsidRPr="00487209" w14:paraId="0B3B5132" w14:textId="77777777" w:rsidTr="007D5144">
        <w:trPr>
          <w:trHeight w:val="771"/>
          <w:jc w:val="center"/>
        </w:trPr>
        <w:tc>
          <w:tcPr>
            <w:tcW w:w="435" w:type="pct"/>
            <w:shd w:val="clear" w:color="auto" w:fill="auto"/>
            <w:vAlign w:val="center"/>
          </w:tcPr>
          <w:p w14:paraId="0774E6F8" w14:textId="77777777" w:rsidR="008A0233" w:rsidRPr="00487209" w:rsidRDefault="008A0233"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36.1.(</w:t>
            </w:r>
            <w:r w:rsidRPr="00487209">
              <w:rPr>
                <w:rFonts w:ascii="Times New Roman" w:hAnsi="Times New Roman" w:cs="Times New Roman"/>
                <w:sz w:val="18"/>
                <w:szCs w:val="18"/>
              </w:rPr>
              <w:t>b</w:t>
            </w:r>
            <w:r w:rsidRPr="00487209">
              <w:rPr>
                <w:rFonts w:ascii="Times New Roman" w:hAnsi="Times New Roman" w:cs="Times New Roman"/>
                <w:sz w:val="18"/>
                <w:szCs w:val="18"/>
                <w:lang w:val="sr-Cyrl-CS"/>
              </w:rPr>
              <w:t>)</w:t>
            </w:r>
          </w:p>
        </w:tc>
        <w:tc>
          <w:tcPr>
            <w:tcW w:w="1369" w:type="pct"/>
            <w:gridSpan w:val="2"/>
            <w:shd w:val="clear" w:color="auto" w:fill="auto"/>
            <w:vAlign w:val="center"/>
          </w:tcPr>
          <w:p w14:paraId="2ACD7B28" w14:textId="77777777" w:rsidR="008A0233" w:rsidRPr="00487209" w:rsidRDefault="008A0233"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lang w:val="sr-Cyrl-CS"/>
              </w:rPr>
              <w:t>(</w:t>
            </w:r>
            <w:r w:rsidRPr="00487209">
              <w:rPr>
                <w:rFonts w:ascii="Times New Roman" w:hAnsi="Times New Roman" w:cs="Times New Roman"/>
                <w:sz w:val="18"/>
                <w:szCs w:val="18"/>
                <w:lang w:val="sr-Latn-CS"/>
              </w:rPr>
              <w:t>b</w:t>
            </w:r>
            <w:r w:rsidRPr="00487209">
              <w:rPr>
                <w:rFonts w:ascii="Times New Roman" w:hAnsi="Times New Roman" w:cs="Times New Roman"/>
                <w:sz w:val="18"/>
                <w:szCs w:val="18"/>
                <w:lang w:val="sr-Cyrl-CS"/>
              </w:rPr>
              <w:t>)</w:t>
            </w:r>
            <w:r w:rsidRPr="00487209">
              <w:rPr>
                <w:rFonts w:ascii="Times New Roman" w:hAnsi="Times New Roman" w:cs="Times New Roman"/>
                <w:sz w:val="18"/>
                <w:szCs w:val="18"/>
                <w:lang w:val="sr-Latn-CS"/>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construction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product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covered</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by</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harmonised</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standard</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which</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manufacturer</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places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on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market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corresponds to the product-type of another construction product, manufactured by another manufacturer and already tested in accordance with the relevant harmonised standard. When these conditions are fulfilled, the manufacturer is entitled to declare performance corresponding to all or part of the test results of this other product. The manufacturer may use the test results obtained by another manufacturer only after having obtained an authorisation of that manufacturer, who remains responsible for the accuracy, reliability and stability of those test results; or</w:t>
            </w:r>
          </w:p>
        </w:tc>
        <w:tc>
          <w:tcPr>
            <w:tcW w:w="429" w:type="pct"/>
            <w:shd w:val="clear" w:color="auto" w:fill="auto"/>
            <w:vAlign w:val="center"/>
          </w:tcPr>
          <w:p w14:paraId="27FA76D0" w14:textId="664132C8" w:rsidR="00644BD2"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4EACD5C4" w14:textId="77777777" w:rsidR="008A0233" w:rsidRPr="00487209" w:rsidRDefault="00644BD2" w:rsidP="006C6323">
            <w:pPr>
              <w:spacing w:before="120" w:after="120"/>
              <w:ind w:firstLine="5"/>
              <w:jc w:val="center"/>
              <w:rPr>
                <w:rFonts w:ascii="Times New Roman" w:hAnsi="Times New Roman" w:cs="Times New Roman"/>
                <w:sz w:val="18"/>
                <w:szCs w:val="18"/>
                <w:lang w:val="es-ES"/>
              </w:rPr>
            </w:pPr>
            <w:r w:rsidRPr="00487209">
              <w:rPr>
                <w:rFonts w:ascii="Times New Roman" w:hAnsi="Times New Roman" w:cs="Times New Roman"/>
                <w:sz w:val="18"/>
                <w:szCs w:val="18"/>
                <w:lang w:val="sr-Cyrl-CS"/>
              </w:rPr>
              <w:t xml:space="preserve"> </w:t>
            </w:r>
            <w:r w:rsidR="008A0233" w:rsidRPr="00487209">
              <w:rPr>
                <w:rFonts w:ascii="Times New Roman" w:hAnsi="Times New Roman" w:cs="Times New Roman"/>
                <w:sz w:val="18"/>
                <w:szCs w:val="18"/>
                <w:lang w:val="sr-Cyrl-CS"/>
              </w:rPr>
              <w:t>30.1.2</w:t>
            </w:r>
            <w:r w:rsidR="00884269" w:rsidRPr="00487209">
              <w:rPr>
                <w:rFonts w:ascii="Times New Roman" w:hAnsi="Times New Roman" w:cs="Times New Roman"/>
                <w:sz w:val="18"/>
                <w:szCs w:val="18"/>
                <w:lang w:val="es-ES"/>
              </w:rPr>
              <w:t>)</w:t>
            </w:r>
          </w:p>
        </w:tc>
        <w:tc>
          <w:tcPr>
            <w:tcW w:w="1231" w:type="pct"/>
            <w:gridSpan w:val="2"/>
            <w:shd w:val="clear" w:color="auto" w:fill="auto"/>
            <w:vAlign w:val="center"/>
          </w:tcPr>
          <w:p w14:paraId="57918FA0" w14:textId="189D6B10" w:rsidR="000D26B2" w:rsidRPr="00487209" w:rsidRDefault="000D26B2" w:rsidP="00BD1E56">
            <w:pPr>
              <w:pStyle w:val="Style6"/>
              <w:spacing w:before="120" w:line="240" w:lineRule="auto"/>
              <w:ind w:right="-23" w:firstLine="0"/>
              <w:rPr>
                <w:rFonts w:ascii="Times New Roman" w:hAnsi="Times New Roman"/>
                <w:sz w:val="18"/>
                <w:szCs w:val="18"/>
                <w:lang w:val="sr-Cyrl-CS"/>
              </w:rPr>
            </w:pPr>
            <w:r w:rsidRPr="00487209">
              <w:rPr>
                <w:rFonts w:ascii="Times New Roman" w:hAnsi="Times New Roman"/>
                <w:sz w:val="18"/>
                <w:szCs w:val="18"/>
                <w:lang w:val="sr-Cyrl-CS"/>
              </w:rPr>
              <w:t xml:space="preserve">грађевински производ, обухваћен српским стандардом са Списка 1, који произвођач ставља на тржиште одговара типу производа неког другог грађевинског производа који је произвео неки други произвођач и који је већ испитан у складу са </w:t>
            </w:r>
            <w:r w:rsidR="00C179BB">
              <w:rPr>
                <w:rFonts w:ascii="Times New Roman" w:hAnsi="Times New Roman"/>
                <w:sz w:val="18"/>
                <w:szCs w:val="18"/>
                <w:lang w:val="sr-Cyrl-CS"/>
              </w:rPr>
              <w:t>одговарајућим</w:t>
            </w:r>
            <w:r w:rsidR="00C179BB" w:rsidRPr="00487209">
              <w:rPr>
                <w:rFonts w:ascii="Times New Roman" w:hAnsi="Times New Roman"/>
                <w:sz w:val="18"/>
                <w:szCs w:val="18"/>
                <w:lang w:val="sr-Cyrl-CS"/>
              </w:rPr>
              <w:t xml:space="preserve"> </w:t>
            </w:r>
            <w:r w:rsidRPr="00487209">
              <w:rPr>
                <w:rFonts w:ascii="Times New Roman" w:hAnsi="Times New Roman"/>
                <w:sz w:val="18"/>
                <w:szCs w:val="18"/>
                <w:lang w:val="sr-Cyrl-CS"/>
              </w:rPr>
              <w:t>српским стандардом којим је преузет хармонизовани стандард. Када су ти услови испуњени, произвођач има право да наведе перформансе која одговарају свим или неким резултатима испитивања тог другог производа. Произвођач може да користи резултате испитивања које је добио неки други произвођач само након што добије овлашћење од тог произвођача који остаје одговоран за тачност, поузданост и постојаност тих резултата испитивања или</w:t>
            </w:r>
          </w:p>
          <w:p w14:paraId="063FDBA6" w14:textId="77777777" w:rsidR="008A0233" w:rsidRPr="00487209" w:rsidRDefault="008A0233" w:rsidP="006C6323">
            <w:pPr>
              <w:spacing w:before="240"/>
              <w:jc w:val="center"/>
              <w:rPr>
                <w:rFonts w:ascii="Times New Roman" w:hAnsi="Times New Roman" w:cs="Times New Roman"/>
                <w:sz w:val="18"/>
                <w:szCs w:val="18"/>
                <w:lang w:val="sr-Cyrl-CS"/>
              </w:rPr>
            </w:pPr>
          </w:p>
        </w:tc>
        <w:tc>
          <w:tcPr>
            <w:tcW w:w="458" w:type="pct"/>
            <w:shd w:val="clear" w:color="auto" w:fill="auto"/>
            <w:vAlign w:val="center"/>
          </w:tcPr>
          <w:p w14:paraId="5ADA1FB5" w14:textId="77777777" w:rsidR="008A0233" w:rsidRPr="00487209" w:rsidRDefault="00381AFB"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7CFF49A1" w14:textId="77777777" w:rsidR="008A0233" w:rsidRPr="00487209" w:rsidRDefault="008A0233"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68B88E63" w14:textId="77777777" w:rsidR="008A0233" w:rsidRPr="00487209" w:rsidRDefault="008A0233" w:rsidP="006C6323">
            <w:pPr>
              <w:spacing w:before="120" w:after="120"/>
              <w:jc w:val="center"/>
              <w:rPr>
                <w:rFonts w:ascii="Times New Roman" w:hAnsi="Times New Roman" w:cs="Times New Roman"/>
                <w:sz w:val="18"/>
                <w:szCs w:val="18"/>
                <w:lang w:val="ru-RU"/>
              </w:rPr>
            </w:pPr>
          </w:p>
        </w:tc>
      </w:tr>
      <w:tr w:rsidR="00337554" w:rsidRPr="00487209" w14:paraId="096F00F6" w14:textId="77777777" w:rsidTr="007D5144">
        <w:trPr>
          <w:trHeight w:val="771"/>
          <w:jc w:val="center"/>
        </w:trPr>
        <w:tc>
          <w:tcPr>
            <w:tcW w:w="435" w:type="pct"/>
            <w:shd w:val="clear" w:color="auto" w:fill="auto"/>
            <w:vAlign w:val="center"/>
          </w:tcPr>
          <w:p w14:paraId="7DA6ADD9" w14:textId="77777777" w:rsidR="008A0233" w:rsidRPr="00487209" w:rsidRDefault="004F4A0E"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36.1.(</w:t>
            </w:r>
            <w:r w:rsidR="004D214E" w:rsidRPr="00487209">
              <w:rPr>
                <w:rFonts w:ascii="Times New Roman" w:hAnsi="Times New Roman" w:cs="Times New Roman"/>
                <w:sz w:val="18"/>
                <w:szCs w:val="18"/>
              </w:rPr>
              <w:t>c</w:t>
            </w:r>
            <w:r w:rsidRPr="00487209">
              <w:rPr>
                <w:rFonts w:ascii="Times New Roman" w:hAnsi="Times New Roman" w:cs="Times New Roman"/>
                <w:sz w:val="18"/>
                <w:szCs w:val="18"/>
                <w:lang w:val="sr-Cyrl-CS"/>
              </w:rPr>
              <w:t>)</w:t>
            </w:r>
          </w:p>
        </w:tc>
        <w:tc>
          <w:tcPr>
            <w:tcW w:w="1369" w:type="pct"/>
            <w:gridSpan w:val="2"/>
            <w:shd w:val="clear" w:color="auto" w:fill="auto"/>
            <w:vAlign w:val="center"/>
          </w:tcPr>
          <w:p w14:paraId="7E6850FE" w14:textId="77777777" w:rsidR="008A0233" w:rsidRPr="00487209" w:rsidRDefault="008A0233"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lang w:val="sr-Cyrl-CS"/>
              </w:rPr>
              <w:t>(</w:t>
            </w:r>
            <w:r w:rsidRPr="00487209">
              <w:rPr>
                <w:rFonts w:ascii="Times New Roman" w:hAnsi="Times New Roman" w:cs="Times New Roman"/>
                <w:sz w:val="18"/>
                <w:szCs w:val="18"/>
              </w:rPr>
              <w:t>c</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construction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product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covered</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by</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harmonised</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technical</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specification</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which</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manufacturer</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places</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on</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 xml:space="preserve">market is a system made of components, which the manufacturer assembles duly following precise instructions given by the provider of such a system or of a component thereof, who has already tested that system or that component for one or several of its essential characteristics in accordance with the relevant harmonised </w:t>
            </w:r>
            <w:r w:rsidRPr="00487209">
              <w:rPr>
                <w:rFonts w:ascii="Times New Roman" w:hAnsi="Times New Roman" w:cs="Times New Roman"/>
                <w:sz w:val="18"/>
                <w:szCs w:val="18"/>
              </w:rPr>
              <w:lastRenderedPageBreak/>
              <w:t>technical specification. When these conditions are fulfilled, the manufacturer is entitled to declare performance corresponding to all or part of the test results for the system or the component provided to him. The manufacturer may use the test results obtained by another manufacturer or system provider only after having obtained an authorisation of that manufacturer or system provider, who remains responsible for the accuracy, reliability and stability of those test results.</w:t>
            </w:r>
          </w:p>
        </w:tc>
        <w:tc>
          <w:tcPr>
            <w:tcW w:w="429" w:type="pct"/>
            <w:shd w:val="clear" w:color="auto" w:fill="auto"/>
            <w:vAlign w:val="center"/>
          </w:tcPr>
          <w:p w14:paraId="02F82786" w14:textId="127511F4" w:rsidR="00644BD2"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01</w:t>
            </w:r>
          </w:p>
          <w:p w14:paraId="0510EDEA" w14:textId="77777777" w:rsidR="008A0233" w:rsidRPr="00487209" w:rsidRDefault="00644BD2" w:rsidP="006C6323">
            <w:pPr>
              <w:spacing w:before="120" w:after="120"/>
              <w:ind w:firstLine="5"/>
              <w:jc w:val="center"/>
              <w:rPr>
                <w:rFonts w:ascii="Times New Roman" w:hAnsi="Times New Roman" w:cs="Times New Roman"/>
                <w:sz w:val="18"/>
                <w:szCs w:val="18"/>
                <w:lang w:val="es-ES"/>
              </w:rPr>
            </w:pPr>
            <w:r w:rsidRPr="00487209">
              <w:rPr>
                <w:rFonts w:ascii="Times New Roman" w:hAnsi="Times New Roman" w:cs="Times New Roman"/>
                <w:sz w:val="18"/>
                <w:szCs w:val="18"/>
                <w:lang w:val="sr-Cyrl-CS"/>
              </w:rPr>
              <w:t xml:space="preserve"> </w:t>
            </w:r>
            <w:r w:rsidR="008A0233" w:rsidRPr="00487209">
              <w:rPr>
                <w:rFonts w:ascii="Times New Roman" w:hAnsi="Times New Roman" w:cs="Times New Roman"/>
                <w:sz w:val="18"/>
                <w:szCs w:val="18"/>
                <w:lang w:val="sr-Cyrl-CS"/>
              </w:rPr>
              <w:t>30.1.</w:t>
            </w:r>
            <w:r w:rsidR="008A0233" w:rsidRPr="00487209">
              <w:rPr>
                <w:rFonts w:ascii="Times New Roman" w:hAnsi="Times New Roman" w:cs="Times New Roman"/>
                <w:sz w:val="18"/>
                <w:szCs w:val="18"/>
                <w:lang w:val="sr-Latn-CS"/>
              </w:rPr>
              <w:t>3</w:t>
            </w:r>
            <w:r w:rsidR="00B61F0B" w:rsidRPr="00487209">
              <w:rPr>
                <w:rFonts w:ascii="Times New Roman" w:hAnsi="Times New Roman" w:cs="Times New Roman"/>
                <w:sz w:val="18"/>
                <w:szCs w:val="18"/>
                <w:lang w:val="es-ES"/>
              </w:rPr>
              <w:t>)</w:t>
            </w:r>
          </w:p>
        </w:tc>
        <w:tc>
          <w:tcPr>
            <w:tcW w:w="1231" w:type="pct"/>
            <w:gridSpan w:val="2"/>
            <w:shd w:val="clear" w:color="auto" w:fill="auto"/>
            <w:vAlign w:val="center"/>
          </w:tcPr>
          <w:p w14:paraId="140569A0" w14:textId="174D933C" w:rsidR="009A2FF1" w:rsidRPr="00487209" w:rsidRDefault="000D648D" w:rsidP="00C179BB">
            <w:pPr>
              <w:tabs>
                <w:tab w:val="left" w:pos="1080"/>
              </w:tabs>
              <w:spacing w:before="120" w:after="120"/>
              <w:ind w:right="-23"/>
              <w:jc w:val="both"/>
              <w:outlineLvl w:val="3"/>
              <w:rPr>
                <w:rFonts w:ascii="Times New Roman" w:eastAsia="Batang" w:hAnsi="Times New Roman" w:cs="Times New Roman"/>
                <w:sz w:val="18"/>
                <w:szCs w:val="18"/>
                <w:lang w:val="sr-Latn-BA" w:eastAsia="ko-KR"/>
              </w:rPr>
            </w:pPr>
            <w:r w:rsidRPr="00487209">
              <w:rPr>
                <w:rFonts w:ascii="Times New Roman" w:eastAsia="Batang" w:hAnsi="Times New Roman" w:cs="Times New Roman"/>
                <w:sz w:val="18"/>
                <w:szCs w:val="18"/>
                <w:lang w:val="sr-Cyrl-CS" w:eastAsia="ko-KR"/>
              </w:rPr>
              <w:t xml:space="preserve">грађевински производ, који произвођач ставља на тржиште и који је обухваћен српским стандардом са Списка 1, представља систем сачињен од делова које произвођач склапа прописно пратећи прецизна упутства која је дао испоручилац таквог система или његовог дела, а који је већ испитао тај систем или тај део у вези са једном или више битних карактеристика у складу </w:t>
            </w:r>
            <w:r w:rsidRPr="00487209">
              <w:rPr>
                <w:rFonts w:ascii="Times New Roman" w:eastAsia="Batang" w:hAnsi="Times New Roman" w:cs="Times New Roman"/>
                <w:sz w:val="18"/>
                <w:szCs w:val="18"/>
                <w:lang w:val="sr-Cyrl-CS" w:eastAsia="ko-KR"/>
              </w:rPr>
              <w:lastRenderedPageBreak/>
              <w:t xml:space="preserve">са </w:t>
            </w:r>
            <w:r w:rsidR="00C179BB">
              <w:rPr>
                <w:rFonts w:ascii="Times New Roman" w:eastAsia="Batang" w:hAnsi="Times New Roman" w:cs="Times New Roman"/>
                <w:sz w:val="18"/>
                <w:szCs w:val="18"/>
                <w:lang w:val="sr-Cyrl-CS" w:eastAsia="ko-KR"/>
              </w:rPr>
              <w:t>одговарајућим</w:t>
            </w:r>
            <w:r w:rsidR="00C179BB" w:rsidRPr="00487209">
              <w:rPr>
                <w:rFonts w:ascii="Times New Roman" w:eastAsia="Batang" w:hAnsi="Times New Roman" w:cs="Times New Roman"/>
                <w:sz w:val="18"/>
                <w:szCs w:val="18"/>
                <w:lang w:val="sr-Cyrl-CS" w:eastAsia="ko-KR"/>
              </w:rPr>
              <w:t xml:space="preserve"> </w:t>
            </w:r>
            <w:r w:rsidRPr="00487209">
              <w:rPr>
                <w:rFonts w:ascii="Times New Roman" w:eastAsia="Batang" w:hAnsi="Times New Roman" w:cs="Times New Roman"/>
                <w:sz w:val="18"/>
                <w:szCs w:val="18"/>
                <w:lang w:val="sr-Cyrl-CS" w:eastAsia="ko-KR"/>
              </w:rPr>
              <w:t>српским стандардом којим је преузет хармонизовани стандард. Када су ти услови испуњени, произвођач има право да наведе перформансе које одговарају свим или неким резултатима испитивања тог система или дела који му је испоручен. Произвођач може да користи резултате испитивања које је добио други произвођач или испоручилац система само након што добије овлашћење од тог произвођача или испоручиоца система који остаје одговоран за тачност, поузданост и постојаност тих резултата испитивања.</w:t>
            </w:r>
          </w:p>
        </w:tc>
        <w:tc>
          <w:tcPr>
            <w:tcW w:w="458" w:type="pct"/>
            <w:shd w:val="clear" w:color="auto" w:fill="auto"/>
            <w:vAlign w:val="center"/>
          </w:tcPr>
          <w:p w14:paraId="2EB1E183" w14:textId="77777777" w:rsidR="008A0233" w:rsidRPr="00487209" w:rsidRDefault="009A2FF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ПУ</w:t>
            </w:r>
          </w:p>
        </w:tc>
        <w:tc>
          <w:tcPr>
            <w:tcW w:w="598" w:type="pct"/>
            <w:gridSpan w:val="2"/>
            <w:shd w:val="clear" w:color="auto" w:fill="auto"/>
            <w:vAlign w:val="center"/>
          </w:tcPr>
          <w:p w14:paraId="792535E1" w14:textId="77777777" w:rsidR="008A0233" w:rsidRPr="00487209" w:rsidRDefault="008A0233"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2390EA08" w14:textId="77777777" w:rsidR="008A0233" w:rsidRPr="00487209" w:rsidRDefault="008A0233" w:rsidP="006C6323">
            <w:pPr>
              <w:spacing w:before="120" w:after="120"/>
              <w:jc w:val="center"/>
              <w:rPr>
                <w:rFonts w:ascii="Times New Roman" w:hAnsi="Times New Roman" w:cs="Times New Roman"/>
                <w:sz w:val="18"/>
                <w:szCs w:val="18"/>
                <w:lang w:val="ru-RU"/>
              </w:rPr>
            </w:pPr>
          </w:p>
        </w:tc>
      </w:tr>
      <w:tr w:rsidR="00337554" w:rsidRPr="00487209" w14:paraId="4C5A6F40" w14:textId="77777777" w:rsidTr="007D5144">
        <w:trPr>
          <w:trHeight w:val="771"/>
          <w:jc w:val="center"/>
        </w:trPr>
        <w:tc>
          <w:tcPr>
            <w:tcW w:w="435" w:type="pct"/>
            <w:shd w:val="clear" w:color="auto" w:fill="auto"/>
            <w:vAlign w:val="center"/>
          </w:tcPr>
          <w:p w14:paraId="02849EDC" w14:textId="77777777" w:rsidR="00DA15BC" w:rsidRPr="00487209" w:rsidRDefault="00DA15B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36.2.</w:t>
            </w:r>
          </w:p>
        </w:tc>
        <w:tc>
          <w:tcPr>
            <w:tcW w:w="1369" w:type="pct"/>
            <w:gridSpan w:val="2"/>
            <w:shd w:val="clear" w:color="auto" w:fill="auto"/>
            <w:vAlign w:val="center"/>
          </w:tcPr>
          <w:p w14:paraId="34CF07F5" w14:textId="77777777" w:rsidR="00DA15BC" w:rsidRPr="00487209" w:rsidRDefault="00DA15BC"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2.  If the construction product referred to in paragraph 1 belongs to a family of construction products for which the applicable system for assessment and verification of constancy of performance is system 1 + or 1, as set out in Annex V, the Appropriate Technical Documentation referred to in paragraph 1 shall be verified by a notified product certification body as referred to in Annex V.</w:t>
            </w:r>
          </w:p>
          <w:p w14:paraId="05711807" w14:textId="77777777" w:rsidR="00DA15BC" w:rsidRPr="00487209" w:rsidRDefault="00DA15BC"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5EB37CBD" w14:textId="6607E342" w:rsidR="00644BD2"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26C54158" w14:textId="77777777" w:rsidR="00DA15BC" w:rsidRPr="00487209" w:rsidRDefault="00644BD2"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 </w:t>
            </w:r>
            <w:r w:rsidR="005050C1" w:rsidRPr="00487209">
              <w:rPr>
                <w:rFonts w:ascii="Times New Roman" w:hAnsi="Times New Roman" w:cs="Times New Roman"/>
                <w:sz w:val="18"/>
                <w:szCs w:val="18"/>
                <w:lang w:val="sr-Cyrl-CS"/>
              </w:rPr>
              <w:t>30</w:t>
            </w:r>
            <w:r w:rsidR="005050C1" w:rsidRPr="00487209">
              <w:rPr>
                <w:rFonts w:ascii="Times New Roman" w:hAnsi="Times New Roman" w:cs="Times New Roman"/>
                <w:sz w:val="18"/>
                <w:szCs w:val="18"/>
                <w:lang w:val="es-ES"/>
              </w:rPr>
              <w:t>.</w:t>
            </w:r>
            <w:r w:rsidR="00DA15BC" w:rsidRPr="00487209">
              <w:rPr>
                <w:rFonts w:ascii="Times New Roman" w:hAnsi="Times New Roman" w:cs="Times New Roman"/>
                <w:sz w:val="18"/>
                <w:szCs w:val="18"/>
                <w:lang w:val="sr-Cyrl-CS"/>
              </w:rPr>
              <w:t>2.</w:t>
            </w:r>
          </w:p>
        </w:tc>
        <w:tc>
          <w:tcPr>
            <w:tcW w:w="1231" w:type="pct"/>
            <w:gridSpan w:val="2"/>
            <w:shd w:val="clear" w:color="auto" w:fill="auto"/>
            <w:vAlign w:val="center"/>
          </w:tcPr>
          <w:p w14:paraId="76C32780" w14:textId="57B076EF" w:rsidR="000D648D" w:rsidRPr="00487209" w:rsidRDefault="000D648D" w:rsidP="000D648D">
            <w:pPr>
              <w:spacing w:before="120"/>
              <w:ind w:right="-23"/>
              <w:jc w:val="both"/>
              <w:outlineLvl w:val="3"/>
              <w:rPr>
                <w:rFonts w:ascii="Times New Roman" w:eastAsia="Batang" w:hAnsi="Times New Roman" w:cs="Times New Roman"/>
                <w:sz w:val="18"/>
                <w:szCs w:val="18"/>
                <w:vertAlign w:val="subscript"/>
                <w:lang w:val="sr-Cyrl-CS" w:eastAsia="ko-KR"/>
              </w:rPr>
            </w:pPr>
            <w:r w:rsidRPr="00487209">
              <w:rPr>
                <w:rFonts w:ascii="Times New Roman" w:eastAsia="Batang" w:hAnsi="Times New Roman" w:cs="Times New Roman"/>
                <w:sz w:val="18"/>
                <w:szCs w:val="18"/>
                <w:lang w:val="sr-Cyrl-CS" w:eastAsia="ko-KR"/>
              </w:rPr>
              <w:t xml:space="preserve">Ако грађевински производ из става 1. овог члана припада фамилији грађевинских производа на коју се, за оцењивање и верификацију сталности перформанси примењује систем 1 + или </w:t>
            </w:r>
            <w:r w:rsidR="00C179BB">
              <w:rPr>
                <w:rFonts w:ascii="Times New Roman" w:eastAsia="Batang" w:hAnsi="Times New Roman" w:cs="Times New Roman"/>
                <w:sz w:val="18"/>
                <w:szCs w:val="18"/>
                <w:lang w:val="sr-Cyrl-CS" w:eastAsia="ko-KR"/>
              </w:rPr>
              <w:t xml:space="preserve">систем </w:t>
            </w:r>
            <w:r w:rsidRPr="00487209">
              <w:rPr>
                <w:rFonts w:ascii="Times New Roman" w:eastAsia="Batang" w:hAnsi="Times New Roman" w:cs="Times New Roman"/>
                <w:sz w:val="18"/>
                <w:szCs w:val="18"/>
                <w:lang w:val="sr-Cyrl-CS" w:eastAsia="ko-KR"/>
              </w:rPr>
              <w:t xml:space="preserve">1 из </w:t>
            </w:r>
            <w:r w:rsidRPr="00487209">
              <w:rPr>
                <w:rFonts w:ascii="Times New Roman" w:eastAsia="Batang" w:hAnsi="Times New Roman" w:cs="Times New Roman"/>
                <w:sz w:val="18"/>
                <w:szCs w:val="18"/>
                <w:lang w:eastAsia="ko-KR"/>
              </w:rPr>
              <w:t xml:space="preserve"> </w:t>
            </w:r>
            <w:r w:rsidRPr="00487209">
              <w:rPr>
                <w:rFonts w:ascii="Times New Roman" w:eastAsia="Batang" w:hAnsi="Times New Roman" w:cs="Times New Roman"/>
                <w:sz w:val="18"/>
                <w:szCs w:val="18"/>
                <w:lang w:val="sr-Cyrl-CS" w:eastAsia="ko-KR"/>
              </w:rPr>
              <w:t xml:space="preserve">члана 29. овог </w:t>
            </w:r>
            <w:r w:rsidRPr="00487209">
              <w:rPr>
                <w:rFonts w:ascii="Times New Roman" w:eastAsia="Batang" w:hAnsi="Times New Roman" w:cs="Times New Roman"/>
                <w:sz w:val="18"/>
                <w:szCs w:val="18"/>
                <w:shd w:val="clear" w:color="auto" w:fill="FFFFFF"/>
                <w:lang w:val="sr-Cyrl-CS" w:eastAsia="ko-KR"/>
              </w:rPr>
              <w:t>закона</w:t>
            </w:r>
            <w:r w:rsidRPr="00487209">
              <w:rPr>
                <w:rFonts w:ascii="Times New Roman" w:eastAsia="Batang" w:hAnsi="Times New Roman" w:cs="Times New Roman"/>
                <w:sz w:val="18"/>
                <w:szCs w:val="18"/>
                <w:lang w:val="sr-Cyrl-CS" w:eastAsia="ko-KR"/>
              </w:rPr>
              <w:t xml:space="preserve">, одговарајућу техничку документацију из става 1. овог члана проверава именовано </w:t>
            </w:r>
            <w:r w:rsidRPr="00487209">
              <w:rPr>
                <w:rFonts w:ascii="Times New Roman" w:eastAsia="Batang" w:hAnsi="Times New Roman" w:cs="Times New Roman"/>
                <w:sz w:val="18"/>
                <w:szCs w:val="18"/>
                <w:shd w:val="clear" w:color="auto" w:fill="FFFFFF"/>
                <w:lang w:val="sr-Cyrl-CS" w:eastAsia="ko-KR"/>
              </w:rPr>
              <w:t>тело</w:t>
            </w:r>
            <w:r w:rsidRPr="00487209">
              <w:rPr>
                <w:rFonts w:ascii="Times New Roman" w:eastAsia="Batang" w:hAnsi="Times New Roman" w:cs="Times New Roman"/>
                <w:sz w:val="18"/>
                <w:szCs w:val="18"/>
                <w:lang w:val="sr-Cyrl-CS" w:eastAsia="ko-KR"/>
              </w:rPr>
              <w:t xml:space="preserve"> за сертификацију производа из члана 29.  овог </w:t>
            </w:r>
            <w:r w:rsidRPr="00487209">
              <w:rPr>
                <w:rFonts w:ascii="Times New Roman" w:eastAsia="Batang" w:hAnsi="Times New Roman" w:cs="Times New Roman"/>
                <w:sz w:val="18"/>
                <w:szCs w:val="18"/>
                <w:shd w:val="clear" w:color="auto" w:fill="FFFFFF"/>
                <w:lang w:val="sr-Cyrl-CS" w:eastAsia="ko-KR"/>
              </w:rPr>
              <w:t>закона</w:t>
            </w:r>
            <w:r w:rsidRPr="00487209">
              <w:rPr>
                <w:rFonts w:ascii="Times New Roman" w:eastAsia="Batang" w:hAnsi="Times New Roman" w:cs="Times New Roman"/>
                <w:sz w:val="18"/>
                <w:szCs w:val="18"/>
                <w:lang w:val="sr-Cyrl-CS" w:eastAsia="ko-KR"/>
              </w:rPr>
              <w:t>.</w:t>
            </w:r>
          </w:p>
          <w:p w14:paraId="5D593878" w14:textId="77777777" w:rsidR="00DA15BC" w:rsidRPr="00487209" w:rsidRDefault="00DA15BC" w:rsidP="006C6323">
            <w:pPr>
              <w:jc w:val="center"/>
              <w:rPr>
                <w:rFonts w:ascii="Times New Roman" w:hAnsi="Times New Roman" w:cs="Times New Roman"/>
                <w:sz w:val="18"/>
                <w:szCs w:val="18"/>
                <w:lang w:val="sr-Cyrl-CS"/>
              </w:rPr>
            </w:pPr>
          </w:p>
        </w:tc>
        <w:tc>
          <w:tcPr>
            <w:tcW w:w="458" w:type="pct"/>
            <w:shd w:val="clear" w:color="auto" w:fill="auto"/>
            <w:vAlign w:val="center"/>
          </w:tcPr>
          <w:p w14:paraId="42D84E1A" w14:textId="77777777" w:rsidR="00DA15BC" w:rsidRPr="00487209" w:rsidRDefault="009A2FF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7F39149B" w14:textId="77777777" w:rsidR="00DA15BC" w:rsidRPr="00487209" w:rsidRDefault="00DA15BC"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4BD8845B" w14:textId="77777777" w:rsidR="00DA15BC" w:rsidRPr="00487209" w:rsidRDefault="00DA15BC" w:rsidP="006C6323">
            <w:pPr>
              <w:spacing w:before="120" w:after="120"/>
              <w:jc w:val="center"/>
              <w:rPr>
                <w:rFonts w:ascii="Times New Roman" w:hAnsi="Times New Roman" w:cs="Times New Roman"/>
                <w:sz w:val="18"/>
                <w:szCs w:val="18"/>
                <w:lang w:val="sr-Cyrl-CS"/>
              </w:rPr>
            </w:pPr>
          </w:p>
        </w:tc>
      </w:tr>
      <w:tr w:rsidR="00337554" w:rsidRPr="00487209" w14:paraId="5B4BDF8D" w14:textId="77777777" w:rsidTr="007D5144">
        <w:trPr>
          <w:trHeight w:val="771"/>
          <w:jc w:val="center"/>
        </w:trPr>
        <w:tc>
          <w:tcPr>
            <w:tcW w:w="435" w:type="pct"/>
            <w:shd w:val="clear" w:color="auto" w:fill="auto"/>
            <w:vAlign w:val="center"/>
          </w:tcPr>
          <w:p w14:paraId="446ABC12" w14:textId="77777777" w:rsidR="00DA15BC" w:rsidRPr="00487209" w:rsidRDefault="00DA15B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37.</w:t>
            </w:r>
          </w:p>
        </w:tc>
        <w:tc>
          <w:tcPr>
            <w:tcW w:w="1369" w:type="pct"/>
            <w:gridSpan w:val="2"/>
            <w:shd w:val="clear" w:color="auto" w:fill="auto"/>
            <w:vAlign w:val="center"/>
          </w:tcPr>
          <w:p w14:paraId="4DBDE5DD" w14:textId="77777777" w:rsidR="00DA15BC" w:rsidRPr="00487209" w:rsidRDefault="00DA15BC"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 xml:space="preserve">Micro-enterprises manufacturing construction products covered by a harmonised standard may replace the determination of the product-type on the basis of type-testing for the applicable systems 3 and 4 as set out in Annex V by using methods differing from those contained in the applicable harmonised standard. Those manufacturers may also treat construction products to which system 3 applies in accordance with provisions for system 4. When a manufacturer uses these simplified procedures, the manufacturer shall demonstrate compliance of the construction </w:t>
            </w:r>
            <w:r w:rsidRPr="00487209">
              <w:rPr>
                <w:rFonts w:ascii="Times New Roman" w:hAnsi="Times New Roman" w:cs="Times New Roman"/>
                <w:sz w:val="18"/>
                <w:szCs w:val="18"/>
              </w:rPr>
              <w:lastRenderedPageBreak/>
              <w:t>product with the applicable requirements by means of a Specific Technical Documentation and shall demonstrate the equivalence of the procedures used to the procedures laid down in the harmonised standards.</w:t>
            </w:r>
          </w:p>
        </w:tc>
        <w:tc>
          <w:tcPr>
            <w:tcW w:w="429" w:type="pct"/>
            <w:shd w:val="clear" w:color="auto" w:fill="auto"/>
            <w:vAlign w:val="center"/>
          </w:tcPr>
          <w:p w14:paraId="09283BA3" w14:textId="22611844" w:rsidR="00644BD2"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01</w:t>
            </w:r>
          </w:p>
          <w:p w14:paraId="6784825A" w14:textId="77777777" w:rsidR="00DA15BC" w:rsidRPr="00487209" w:rsidRDefault="00644BD2" w:rsidP="006C6323">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 </w:t>
            </w:r>
            <w:r w:rsidR="00DA15BC" w:rsidRPr="00487209">
              <w:rPr>
                <w:rFonts w:ascii="Times New Roman" w:hAnsi="Times New Roman" w:cs="Times New Roman"/>
                <w:sz w:val="18"/>
                <w:szCs w:val="18"/>
                <w:lang w:val="sr-Cyrl-CS"/>
              </w:rPr>
              <w:t>3</w:t>
            </w:r>
            <w:r w:rsidR="00DA15BC" w:rsidRPr="00487209">
              <w:rPr>
                <w:rFonts w:ascii="Times New Roman" w:hAnsi="Times New Roman" w:cs="Times New Roman"/>
                <w:sz w:val="18"/>
                <w:szCs w:val="18"/>
                <w:lang w:val="sr-Latn-CS"/>
              </w:rPr>
              <w:t>1</w:t>
            </w:r>
            <w:r w:rsidR="005050C1" w:rsidRPr="00487209">
              <w:rPr>
                <w:rFonts w:ascii="Times New Roman" w:hAnsi="Times New Roman" w:cs="Times New Roman"/>
                <w:sz w:val="18"/>
                <w:szCs w:val="18"/>
                <w:lang w:val="sr-Latn-CS"/>
              </w:rPr>
              <w:t>.</w:t>
            </w:r>
            <w:r w:rsidR="000D26B2" w:rsidRPr="00487209">
              <w:rPr>
                <w:rFonts w:ascii="Times New Roman" w:hAnsi="Times New Roman" w:cs="Times New Roman"/>
                <w:sz w:val="18"/>
                <w:szCs w:val="18"/>
                <w:lang w:val="sr-Cyrl-CS"/>
              </w:rPr>
              <w:t>1.1)</w:t>
            </w:r>
          </w:p>
          <w:p w14:paraId="6189A1FE" w14:textId="77777777" w:rsidR="000D26B2" w:rsidRPr="00487209" w:rsidRDefault="000D26B2" w:rsidP="006C6323">
            <w:pPr>
              <w:spacing w:before="120" w:after="120"/>
              <w:ind w:firstLine="5"/>
              <w:jc w:val="center"/>
              <w:rPr>
                <w:rFonts w:ascii="Times New Roman" w:hAnsi="Times New Roman" w:cs="Times New Roman"/>
                <w:sz w:val="18"/>
                <w:szCs w:val="18"/>
                <w:lang w:val="sr-Cyrl-CS"/>
              </w:rPr>
            </w:pPr>
          </w:p>
          <w:p w14:paraId="78186B4E" w14:textId="77777777" w:rsidR="000D26B2" w:rsidRPr="00487209" w:rsidRDefault="000D26B2" w:rsidP="006C6323">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31.1.2)</w:t>
            </w:r>
          </w:p>
          <w:p w14:paraId="5BD98DF7" w14:textId="77777777" w:rsidR="000D26B2" w:rsidRPr="00487209" w:rsidRDefault="000D26B2" w:rsidP="006C6323">
            <w:pPr>
              <w:spacing w:before="120" w:after="120"/>
              <w:ind w:firstLine="5"/>
              <w:jc w:val="center"/>
              <w:rPr>
                <w:rFonts w:ascii="Times New Roman" w:hAnsi="Times New Roman" w:cs="Times New Roman"/>
                <w:sz w:val="18"/>
                <w:szCs w:val="18"/>
                <w:lang w:val="sr-Cyrl-CS"/>
              </w:rPr>
            </w:pPr>
          </w:p>
          <w:p w14:paraId="442815AC" w14:textId="77777777" w:rsidR="000D26B2" w:rsidRPr="00487209" w:rsidRDefault="000D26B2" w:rsidP="006C6323">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31.2.</w:t>
            </w:r>
          </w:p>
        </w:tc>
        <w:tc>
          <w:tcPr>
            <w:tcW w:w="1231" w:type="pct"/>
            <w:gridSpan w:val="2"/>
            <w:shd w:val="clear" w:color="auto" w:fill="auto"/>
            <w:vAlign w:val="center"/>
          </w:tcPr>
          <w:p w14:paraId="50D43243" w14:textId="77777777" w:rsidR="000D26B2" w:rsidRPr="00487209" w:rsidRDefault="000D26B2" w:rsidP="006C6323">
            <w:pPr>
              <w:spacing w:before="120"/>
              <w:ind w:right="-23"/>
              <w:jc w:val="both"/>
              <w:outlineLvl w:val="3"/>
              <w:rPr>
                <w:rFonts w:ascii="Times New Roman" w:eastAsia="Batang" w:hAnsi="Times New Roman" w:cs="Times New Roman"/>
                <w:sz w:val="18"/>
                <w:szCs w:val="18"/>
                <w:lang w:val="sr-Cyrl-CS" w:eastAsia="ko-KR"/>
              </w:rPr>
            </w:pPr>
            <w:r w:rsidRPr="00487209">
              <w:rPr>
                <w:rFonts w:ascii="Times New Roman" w:eastAsia="Batang" w:hAnsi="Times New Roman" w:cs="Times New Roman"/>
                <w:sz w:val="18"/>
                <w:szCs w:val="18"/>
                <w:lang w:val="sr-Cyrl-CS" w:eastAsia="ko-KR"/>
              </w:rPr>
              <w:t>Микро правно лице ко</w:t>
            </w:r>
            <w:r w:rsidRPr="00487209">
              <w:rPr>
                <w:rFonts w:ascii="Times New Roman" w:eastAsia="Batang" w:hAnsi="Times New Roman" w:cs="Times New Roman"/>
                <w:sz w:val="18"/>
                <w:szCs w:val="18"/>
                <w:lang w:val="sr-Latn-CS" w:eastAsia="ko-KR"/>
              </w:rPr>
              <w:t>je</w:t>
            </w:r>
            <w:r w:rsidRPr="00487209">
              <w:rPr>
                <w:rFonts w:ascii="Times New Roman" w:eastAsia="Batang" w:hAnsi="Times New Roman" w:cs="Times New Roman"/>
                <w:sz w:val="18"/>
                <w:szCs w:val="18"/>
                <w:lang w:val="sr-Cyrl-CS" w:eastAsia="ko-KR"/>
              </w:rPr>
              <w:t xml:space="preserve"> производи грађевински производ обухваћен стандардом са Списка 1, мож</w:t>
            </w:r>
            <w:r w:rsidRPr="00487209">
              <w:rPr>
                <w:rFonts w:ascii="Times New Roman" w:eastAsia="Batang" w:hAnsi="Times New Roman" w:cs="Times New Roman"/>
                <w:sz w:val="18"/>
                <w:szCs w:val="18"/>
                <w:lang w:val="sr-Latn-CS" w:eastAsia="ko-KR"/>
              </w:rPr>
              <w:t>e</w:t>
            </w:r>
            <w:r w:rsidRPr="00487209">
              <w:rPr>
                <w:rFonts w:ascii="Times New Roman" w:eastAsia="Batang" w:hAnsi="Times New Roman" w:cs="Times New Roman"/>
                <w:sz w:val="18"/>
                <w:szCs w:val="18"/>
                <w:lang w:val="sr-Cyrl-CS" w:eastAsia="ko-KR"/>
              </w:rPr>
              <w:t xml:space="preserve"> да:</w:t>
            </w:r>
          </w:p>
          <w:p w14:paraId="779918D1" w14:textId="7A9C87C1" w:rsidR="000D26B2" w:rsidRPr="00487209" w:rsidRDefault="000D26B2" w:rsidP="006C6323">
            <w:pPr>
              <w:numPr>
                <w:ilvl w:val="0"/>
                <w:numId w:val="61"/>
              </w:numPr>
              <w:spacing w:before="120"/>
              <w:ind w:left="432" w:right="-23"/>
              <w:contextualSpacing/>
              <w:jc w:val="both"/>
              <w:outlineLvl w:val="3"/>
              <w:rPr>
                <w:rFonts w:ascii="Times New Roman" w:eastAsia="Batang" w:hAnsi="Times New Roman" w:cs="Times New Roman"/>
                <w:b/>
                <w:sz w:val="18"/>
                <w:szCs w:val="18"/>
                <w:lang w:val="sr-Cyrl-CS" w:eastAsia="ko-KR"/>
              </w:rPr>
            </w:pPr>
            <w:r w:rsidRPr="00487209">
              <w:rPr>
                <w:rFonts w:ascii="Times New Roman" w:eastAsia="Batang" w:hAnsi="Times New Roman" w:cs="Times New Roman"/>
                <w:sz w:val="18"/>
                <w:szCs w:val="18"/>
                <w:lang w:val="sr-Cyrl-CS" w:eastAsia="ko-KR"/>
              </w:rPr>
              <w:t xml:space="preserve"> замени утврђивање типа производа на основу испитивања типа за одговарајуће системе 3 и 4 </w:t>
            </w:r>
            <w:r w:rsidR="000D648D" w:rsidRPr="00487209">
              <w:rPr>
                <w:rFonts w:ascii="Times New Roman" w:eastAsia="Batang" w:hAnsi="Times New Roman" w:cs="Times New Roman"/>
                <w:sz w:val="18"/>
                <w:szCs w:val="18"/>
                <w:lang w:eastAsia="ko-KR"/>
              </w:rPr>
              <w:t xml:space="preserve">из члана 29. </w:t>
            </w:r>
            <w:r w:rsidRPr="00487209">
              <w:rPr>
                <w:rFonts w:ascii="Times New Roman" w:eastAsia="Batang" w:hAnsi="Times New Roman" w:cs="Times New Roman"/>
                <w:sz w:val="18"/>
                <w:szCs w:val="18"/>
                <w:lang w:val="sr-Cyrl-CS" w:eastAsia="ko-KR"/>
              </w:rPr>
              <w:t xml:space="preserve">употребом метода које се разликују од оних које су садржане у </w:t>
            </w:r>
            <w:r w:rsidR="00B872C7">
              <w:rPr>
                <w:rFonts w:ascii="Times New Roman" w:eastAsia="Batang" w:hAnsi="Times New Roman" w:cs="Times New Roman"/>
                <w:sz w:val="18"/>
                <w:szCs w:val="18"/>
                <w:lang w:val="sr-Cyrl-CS" w:eastAsia="ko-KR"/>
              </w:rPr>
              <w:t>одговарајућем</w:t>
            </w:r>
            <w:r w:rsidR="00B872C7" w:rsidRPr="00487209">
              <w:rPr>
                <w:rFonts w:ascii="Times New Roman" w:eastAsia="Batang" w:hAnsi="Times New Roman" w:cs="Times New Roman"/>
                <w:sz w:val="18"/>
                <w:szCs w:val="18"/>
                <w:lang w:val="sr-Cyrl-CS" w:eastAsia="ko-KR"/>
              </w:rPr>
              <w:t xml:space="preserve"> </w:t>
            </w:r>
            <w:r w:rsidRPr="00487209">
              <w:rPr>
                <w:rFonts w:ascii="Times New Roman" w:eastAsia="Batang" w:hAnsi="Times New Roman" w:cs="Times New Roman"/>
                <w:sz w:val="18"/>
                <w:szCs w:val="18"/>
                <w:lang w:val="sr-Cyrl-CS" w:eastAsia="ko-KR"/>
              </w:rPr>
              <w:t>српском стандарду којим је преузет хармонизовани стандард;</w:t>
            </w:r>
          </w:p>
          <w:p w14:paraId="4759FA05" w14:textId="77777777" w:rsidR="000D26B2" w:rsidRPr="00487209" w:rsidRDefault="000D26B2" w:rsidP="006C6323">
            <w:pPr>
              <w:numPr>
                <w:ilvl w:val="0"/>
                <w:numId w:val="61"/>
              </w:numPr>
              <w:spacing w:before="120"/>
              <w:ind w:left="432" w:right="-23"/>
              <w:contextualSpacing/>
              <w:jc w:val="both"/>
              <w:outlineLvl w:val="3"/>
              <w:rPr>
                <w:rFonts w:ascii="Times New Roman" w:eastAsia="Batang" w:hAnsi="Times New Roman" w:cs="Times New Roman"/>
                <w:b/>
                <w:sz w:val="18"/>
                <w:szCs w:val="18"/>
                <w:lang w:val="sr-Cyrl-CS" w:eastAsia="ko-KR"/>
              </w:rPr>
            </w:pPr>
            <w:r w:rsidRPr="00487209">
              <w:rPr>
                <w:rFonts w:ascii="Times New Roman" w:eastAsia="Batang" w:hAnsi="Times New Roman" w:cs="Times New Roman"/>
                <w:sz w:val="18"/>
                <w:szCs w:val="18"/>
                <w:lang w:val="sr-Cyrl-CS" w:eastAsia="ko-KR"/>
              </w:rPr>
              <w:t xml:space="preserve">поступа с грађевинским производом на који се примењује </w:t>
            </w:r>
            <w:r w:rsidRPr="00487209">
              <w:rPr>
                <w:rFonts w:ascii="Times New Roman" w:eastAsia="Batang" w:hAnsi="Times New Roman" w:cs="Times New Roman"/>
                <w:sz w:val="18"/>
                <w:szCs w:val="18"/>
                <w:lang w:val="sr-Cyrl-CS" w:eastAsia="ko-KR"/>
              </w:rPr>
              <w:lastRenderedPageBreak/>
              <w:t xml:space="preserve">систем 3 у складу са одредбама за систем 4. </w:t>
            </w:r>
          </w:p>
          <w:p w14:paraId="61D96177" w14:textId="77777777" w:rsidR="000D26B2" w:rsidRPr="00487209" w:rsidRDefault="000D26B2" w:rsidP="006C6323">
            <w:pPr>
              <w:spacing w:before="120"/>
              <w:ind w:left="720" w:right="-23"/>
              <w:contextualSpacing/>
              <w:jc w:val="both"/>
              <w:outlineLvl w:val="3"/>
              <w:rPr>
                <w:rFonts w:ascii="Times New Roman" w:eastAsia="Batang" w:hAnsi="Times New Roman" w:cs="Times New Roman"/>
                <w:sz w:val="18"/>
                <w:szCs w:val="18"/>
                <w:lang w:val="sr-Cyrl-CS" w:eastAsia="ko-KR"/>
              </w:rPr>
            </w:pPr>
          </w:p>
          <w:p w14:paraId="7674FA61" w14:textId="6DCCEC8F" w:rsidR="0041734F" w:rsidRPr="00487209" w:rsidRDefault="000D26B2" w:rsidP="00B872C7">
            <w:pPr>
              <w:spacing w:before="120"/>
              <w:ind w:right="-23"/>
              <w:contextualSpacing/>
              <w:jc w:val="both"/>
              <w:outlineLvl w:val="3"/>
              <w:rPr>
                <w:rFonts w:ascii="Times New Roman" w:eastAsia="Batang" w:hAnsi="Times New Roman" w:cs="Times New Roman"/>
                <w:b/>
                <w:sz w:val="18"/>
                <w:szCs w:val="18"/>
                <w:lang w:val="sr-Cyrl-CS" w:eastAsia="ko-KR"/>
              </w:rPr>
            </w:pPr>
            <w:r w:rsidRPr="00487209">
              <w:rPr>
                <w:rFonts w:ascii="Times New Roman" w:eastAsia="Batang" w:hAnsi="Times New Roman" w:cs="Times New Roman"/>
                <w:sz w:val="18"/>
                <w:szCs w:val="18"/>
                <w:lang w:val="sr-Cyrl-CS" w:eastAsia="ko-KR"/>
              </w:rPr>
              <w:t xml:space="preserve">Када </w:t>
            </w:r>
            <w:r w:rsidR="00B872C7">
              <w:rPr>
                <w:rFonts w:ascii="Times New Roman" w:eastAsia="Batang" w:hAnsi="Times New Roman" w:cs="Times New Roman"/>
                <w:sz w:val="18"/>
                <w:szCs w:val="18"/>
                <w:lang w:val="sr-Cyrl-CS" w:eastAsia="ko-KR"/>
              </w:rPr>
              <w:t>примењује</w:t>
            </w:r>
            <w:r w:rsidR="00B872C7" w:rsidRPr="00487209">
              <w:rPr>
                <w:rFonts w:ascii="Times New Roman" w:eastAsia="Batang" w:hAnsi="Times New Roman" w:cs="Times New Roman"/>
                <w:sz w:val="18"/>
                <w:szCs w:val="18"/>
                <w:lang w:val="sr-Cyrl-CS" w:eastAsia="ko-KR"/>
              </w:rPr>
              <w:t xml:space="preserve"> </w:t>
            </w:r>
            <w:r w:rsidRPr="00487209">
              <w:rPr>
                <w:rFonts w:ascii="Times New Roman" w:eastAsia="Batang" w:hAnsi="Times New Roman" w:cs="Times New Roman"/>
                <w:sz w:val="18"/>
                <w:szCs w:val="18"/>
                <w:lang w:val="sr-Cyrl-CS" w:eastAsia="ko-KR"/>
              </w:rPr>
              <w:t xml:space="preserve">ове поједностављене поступке, </w:t>
            </w:r>
            <w:r w:rsidR="00B872C7">
              <w:rPr>
                <w:rFonts w:ascii="Times New Roman" w:eastAsia="Batang" w:hAnsi="Times New Roman" w:cs="Times New Roman"/>
                <w:sz w:val="18"/>
                <w:szCs w:val="18"/>
                <w:lang w:val="sr-Cyrl-CS" w:eastAsia="ko-KR"/>
              </w:rPr>
              <w:t>правно лице из става 1. овог члана</w:t>
            </w:r>
            <w:r w:rsidR="00B872C7" w:rsidRPr="00487209">
              <w:rPr>
                <w:rFonts w:ascii="Times New Roman" w:eastAsia="Batang" w:hAnsi="Times New Roman" w:cs="Times New Roman"/>
                <w:sz w:val="18"/>
                <w:szCs w:val="18"/>
                <w:lang w:val="sr-Cyrl-CS" w:eastAsia="ko-KR"/>
              </w:rPr>
              <w:t xml:space="preserve"> </w:t>
            </w:r>
            <w:r w:rsidRPr="00487209">
              <w:rPr>
                <w:rFonts w:ascii="Times New Roman" w:eastAsia="Batang" w:hAnsi="Times New Roman" w:cs="Times New Roman"/>
                <w:sz w:val="18"/>
                <w:szCs w:val="18"/>
                <w:lang w:val="sr-Cyrl-CS" w:eastAsia="ko-KR"/>
              </w:rPr>
              <w:t>доказује усклађеност грађевинског производа са важећим захтевима помоћу специфичне техничке документације и доказује једнакост коришћених поступака са поступцима утврђеним у одговорајућем српском стандарду којим је преузет хармонизовани стандард.</w:t>
            </w:r>
          </w:p>
        </w:tc>
        <w:tc>
          <w:tcPr>
            <w:tcW w:w="458" w:type="pct"/>
            <w:shd w:val="clear" w:color="auto" w:fill="auto"/>
            <w:vAlign w:val="center"/>
          </w:tcPr>
          <w:p w14:paraId="00B6408C" w14:textId="77777777" w:rsidR="00DA15BC" w:rsidRPr="00487209" w:rsidRDefault="00F51254"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lastRenderedPageBreak/>
              <w:t>П</w:t>
            </w:r>
            <w:r w:rsidR="00DA15BC" w:rsidRPr="00487209">
              <w:rPr>
                <w:rFonts w:ascii="Times New Roman" w:hAnsi="Times New Roman" w:cs="Times New Roman"/>
                <w:sz w:val="18"/>
                <w:szCs w:val="18"/>
                <w:lang w:val="sr-Cyrl-CS"/>
              </w:rPr>
              <w:t>У</w:t>
            </w:r>
          </w:p>
        </w:tc>
        <w:tc>
          <w:tcPr>
            <w:tcW w:w="598" w:type="pct"/>
            <w:gridSpan w:val="2"/>
            <w:shd w:val="clear" w:color="auto" w:fill="auto"/>
            <w:vAlign w:val="center"/>
          </w:tcPr>
          <w:p w14:paraId="6AD6DE26" w14:textId="77777777" w:rsidR="00DA15BC" w:rsidRPr="00487209" w:rsidRDefault="00DA15BC"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501546D9" w14:textId="77777777" w:rsidR="00DA15BC" w:rsidRPr="00487209" w:rsidRDefault="00DA15BC" w:rsidP="006C6323">
            <w:pPr>
              <w:spacing w:before="120" w:after="120"/>
              <w:jc w:val="center"/>
              <w:rPr>
                <w:rFonts w:ascii="Times New Roman" w:hAnsi="Times New Roman" w:cs="Times New Roman"/>
                <w:sz w:val="18"/>
                <w:szCs w:val="18"/>
                <w:lang w:val="sr-Cyrl-CS"/>
              </w:rPr>
            </w:pPr>
          </w:p>
        </w:tc>
      </w:tr>
      <w:tr w:rsidR="00337554" w:rsidRPr="00487209" w14:paraId="348BEEFE" w14:textId="77777777" w:rsidTr="007D5144">
        <w:trPr>
          <w:trHeight w:val="771"/>
          <w:jc w:val="center"/>
        </w:trPr>
        <w:tc>
          <w:tcPr>
            <w:tcW w:w="435" w:type="pct"/>
            <w:shd w:val="clear" w:color="auto" w:fill="auto"/>
            <w:vAlign w:val="center"/>
          </w:tcPr>
          <w:p w14:paraId="08CC1392" w14:textId="77777777" w:rsidR="005050C1" w:rsidRPr="00487209" w:rsidRDefault="005050C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38.1.</w:t>
            </w:r>
          </w:p>
        </w:tc>
        <w:tc>
          <w:tcPr>
            <w:tcW w:w="1369" w:type="pct"/>
            <w:gridSpan w:val="2"/>
            <w:shd w:val="clear" w:color="auto" w:fill="auto"/>
            <w:vAlign w:val="center"/>
          </w:tcPr>
          <w:p w14:paraId="1817785F" w14:textId="77777777" w:rsidR="005050C1" w:rsidRPr="00487209" w:rsidRDefault="005050C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In relation to construction products covered by a harmonised standard and which are individually manufactured or custom-made in a non-series process in response to a specific order, and which are installed in a single identified construction work, the performance assessment part of the applicable system, as set out in Annex V, may be replaced by the manufacturer by Specific Technical Documentation demonstrating compliance of that product with the applicable requirements and equivalence of the procedures used to the procedures laid down in the harmonised standards.</w:t>
            </w:r>
          </w:p>
        </w:tc>
        <w:tc>
          <w:tcPr>
            <w:tcW w:w="429" w:type="pct"/>
            <w:shd w:val="clear" w:color="auto" w:fill="auto"/>
            <w:vAlign w:val="center"/>
          </w:tcPr>
          <w:p w14:paraId="57718E0E" w14:textId="710D35E4" w:rsidR="00644BD2"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3A639C1B" w14:textId="77777777" w:rsidR="005050C1" w:rsidRPr="00487209" w:rsidRDefault="00644BD2" w:rsidP="006C6323">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 </w:t>
            </w:r>
            <w:r w:rsidR="005050C1" w:rsidRPr="00487209">
              <w:rPr>
                <w:rFonts w:ascii="Times New Roman" w:hAnsi="Times New Roman" w:cs="Times New Roman"/>
                <w:sz w:val="18"/>
                <w:szCs w:val="18"/>
                <w:lang w:val="sr-Cyrl-CS"/>
              </w:rPr>
              <w:t>32.1.</w:t>
            </w:r>
          </w:p>
        </w:tc>
        <w:tc>
          <w:tcPr>
            <w:tcW w:w="1231" w:type="pct"/>
            <w:gridSpan w:val="2"/>
            <w:shd w:val="clear" w:color="auto" w:fill="auto"/>
            <w:vAlign w:val="center"/>
          </w:tcPr>
          <w:p w14:paraId="44A5D1A6" w14:textId="33E21669" w:rsidR="00C4708C" w:rsidRPr="00487209" w:rsidRDefault="00AE18E4" w:rsidP="00AE18E4">
            <w:pPr>
              <w:jc w:val="both"/>
              <w:rPr>
                <w:rFonts w:ascii="Times New Roman" w:hAnsi="Times New Roman" w:cs="Times New Roman"/>
                <w:sz w:val="18"/>
                <w:szCs w:val="18"/>
                <w:lang w:val="sr-Cyrl-CS"/>
              </w:rPr>
            </w:pPr>
            <w:r w:rsidRPr="00AE18E4">
              <w:rPr>
                <w:rFonts w:ascii="Times New Roman" w:eastAsia="Batang" w:hAnsi="Times New Roman" w:cs="Times New Roman"/>
                <w:sz w:val="18"/>
                <w:szCs w:val="18"/>
                <w:lang w:eastAsia="ko-KR"/>
              </w:rPr>
              <w:t>За грађевински производ обухваћен српским стандардом са Списка 1 који je, по захтеву за посебну наруџбину, произведен засебно или по мери у несеријској производњи и који je уграђен у појединачно препознатљив објекат, произвођач може да замени део о оцењивању перформанси из одговарајућег система оцењивања и верификације сталности перформанси, специфичном техничком документацијом којом се доказује усклађеност тог производа са захтевима утврђеним у одговарајућем српском стандарду којим је преузет хармонизовани стандард и једнакост коришћених поступака са поступцима утврђеним у одговарајућем српском стандарду којим је преузет хармонизовани стандард.</w:t>
            </w:r>
          </w:p>
        </w:tc>
        <w:tc>
          <w:tcPr>
            <w:tcW w:w="458" w:type="pct"/>
            <w:shd w:val="clear" w:color="auto" w:fill="auto"/>
            <w:vAlign w:val="center"/>
          </w:tcPr>
          <w:p w14:paraId="2868AC77" w14:textId="77777777" w:rsidR="005050C1" w:rsidRPr="00487209" w:rsidRDefault="00C4708C"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w:t>
            </w:r>
            <w:r w:rsidR="005050C1" w:rsidRPr="00487209">
              <w:rPr>
                <w:rFonts w:ascii="Times New Roman" w:hAnsi="Times New Roman" w:cs="Times New Roman"/>
                <w:sz w:val="18"/>
                <w:szCs w:val="18"/>
                <w:lang w:val="sr-Cyrl-CS"/>
              </w:rPr>
              <w:t>У</w:t>
            </w:r>
          </w:p>
        </w:tc>
        <w:tc>
          <w:tcPr>
            <w:tcW w:w="598" w:type="pct"/>
            <w:gridSpan w:val="2"/>
            <w:shd w:val="clear" w:color="auto" w:fill="auto"/>
            <w:vAlign w:val="center"/>
          </w:tcPr>
          <w:p w14:paraId="52AD2A65" w14:textId="77777777" w:rsidR="005050C1" w:rsidRPr="00487209" w:rsidRDefault="005050C1"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58404460" w14:textId="77777777" w:rsidR="005050C1" w:rsidRPr="00487209" w:rsidRDefault="005050C1" w:rsidP="006C6323">
            <w:pPr>
              <w:spacing w:before="120" w:after="120"/>
              <w:jc w:val="center"/>
              <w:rPr>
                <w:rFonts w:ascii="Times New Roman" w:hAnsi="Times New Roman" w:cs="Times New Roman"/>
                <w:sz w:val="18"/>
                <w:szCs w:val="18"/>
                <w:lang w:val="sr-Cyrl-CS"/>
              </w:rPr>
            </w:pPr>
          </w:p>
        </w:tc>
      </w:tr>
      <w:tr w:rsidR="00337554" w:rsidRPr="00487209" w14:paraId="0DB1159A" w14:textId="77777777" w:rsidTr="007D5144">
        <w:trPr>
          <w:trHeight w:val="771"/>
          <w:jc w:val="center"/>
        </w:trPr>
        <w:tc>
          <w:tcPr>
            <w:tcW w:w="435" w:type="pct"/>
            <w:shd w:val="clear" w:color="auto" w:fill="auto"/>
            <w:vAlign w:val="center"/>
          </w:tcPr>
          <w:p w14:paraId="775C5120" w14:textId="77777777" w:rsidR="00DA15BC" w:rsidRPr="00487209" w:rsidRDefault="00010658"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rPr>
              <w:t>38.2.</w:t>
            </w:r>
          </w:p>
        </w:tc>
        <w:tc>
          <w:tcPr>
            <w:tcW w:w="1369" w:type="pct"/>
            <w:gridSpan w:val="2"/>
            <w:shd w:val="clear" w:color="auto" w:fill="auto"/>
            <w:vAlign w:val="center"/>
          </w:tcPr>
          <w:p w14:paraId="2BA12413" w14:textId="77777777" w:rsidR="00DA15BC" w:rsidRPr="00487209" w:rsidRDefault="00DA15BC"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 xml:space="preserve">If the construction product referred to in paragraph 1 belongs to a family of construction products for which the applicable system for assessment and verification of constancy of performance is system 1 + or 1, as set out in Annex V, the Specific Technical Documentation shall be verified by a notified </w:t>
            </w:r>
            <w:r w:rsidRPr="00487209">
              <w:rPr>
                <w:rFonts w:ascii="Times New Roman" w:hAnsi="Times New Roman" w:cs="Times New Roman"/>
                <w:sz w:val="18"/>
                <w:szCs w:val="18"/>
              </w:rPr>
              <w:lastRenderedPageBreak/>
              <w:t>product certification body as referred to in Annex V.</w:t>
            </w:r>
          </w:p>
        </w:tc>
        <w:tc>
          <w:tcPr>
            <w:tcW w:w="429" w:type="pct"/>
            <w:shd w:val="clear" w:color="auto" w:fill="auto"/>
            <w:vAlign w:val="center"/>
          </w:tcPr>
          <w:p w14:paraId="5FF1B2A9" w14:textId="0A461542" w:rsidR="00644BD2"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01</w:t>
            </w:r>
          </w:p>
          <w:p w14:paraId="565FDB5B" w14:textId="77777777" w:rsidR="00DA15BC" w:rsidRPr="00487209" w:rsidRDefault="00644BD2"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051CB2" w:rsidRPr="00487209">
              <w:rPr>
                <w:rFonts w:ascii="Times New Roman" w:hAnsi="Times New Roman" w:cs="Times New Roman"/>
                <w:sz w:val="18"/>
                <w:szCs w:val="18"/>
                <w:lang w:val="ru-RU"/>
              </w:rPr>
              <w:t>32.</w:t>
            </w:r>
            <w:r w:rsidR="00DA15BC" w:rsidRPr="00487209">
              <w:rPr>
                <w:rFonts w:ascii="Times New Roman" w:hAnsi="Times New Roman" w:cs="Times New Roman"/>
                <w:sz w:val="18"/>
                <w:szCs w:val="18"/>
                <w:lang w:val="ru-RU"/>
              </w:rPr>
              <w:t>2.</w:t>
            </w:r>
          </w:p>
        </w:tc>
        <w:tc>
          <w:tcPr>
            <w:tcW w:w="1231" w:type="pct"/>
            <w:gridSpan w:val="2"/>
            <w:shd w:val="clear" w:color="auto" w:fill="auto"/>
            <w:vAlign w:val="center"/>
          </w:tcPr>
          <w:p w14:paraId="6E06637A" w14:textId="373B08BE" w:rsidR="00DA15BC" w:rsidRPr="00487209" w:rsidRDefault="00F6755E" w:rsidP="00F6755E">
            <w:pPr>
              <w:spacing w:before="120"/>
              <w:ind w:right="-23"/>
              <w:rPr>
                <w:rFonts w:ascii="Times New Roman" w:eastAsia="Batang" w:hAnsi="Times New Roman" w:cs="Times New Roman"/>
                <w:sz w:val="18"/>
                <w:szCs w:val="18"/>
                <w:lang w:eastAsia="ko-KR"/>
              </w:rPr>
            </w:pPr>
            <w:r w:rsidRPr="00487209">
              <w:rPr>
                <w:rFonts w:ascii="Times New Roman" w:eastAsia="Batang" w:hAnsi="Times New Roman" w:cs="Times New Roman"/>
                <w:sz w:val="18"/>
                <w:szCs w:val="18"/>
                <w:lang w:eastAsia="ko-KR"/>
              </w:rPr>
              <w:t xml:space="preserve">Ако грађевински производ из става 1. овог члана припада фамилији грађевинских производа на коју се, за оцењивање и верификацију сталности перформанси, примењује систем 1 + или </w:t>
            </w:r>
            <w:r w:rsidR="00EF1A02">
              <w:rPr>
                <w:rFonts w:ascii="Times New Roman" w:eastAsia="Batang" w:hAnsi="Times New Roman" w:cs="Times New Roman"/>
                <w:sz w:val="18"/>
                <w:szCs w:val="18"/>
                <w:lang w:val="sr-Cyrl-CS" w:eastAsia="ko-KR"/>
              </w:rPr>
              <w:t xml:space="preserve">систем </w:t>
            </w:r>
            <w:r w:rsidRPr="00487209">
              <w:rPr>
                <w:rFonts w:ascii="Times New Roman" w:eastAsia="Batang" w:hAnsi="Times New Roman" w:cs="Times New Roman"/>
                <w:sz w:val="18"/>
                <w:szCs w:val="18"/>
                <w:lang w:eastAsia="ko-KR"/>
              </w:rPr>
              <w:t xml:space="preserve">1 из члана 29., специфичну </w:t>
            </w:r>
            <w:r w:rsidRPr="00487209">
              <w:rPr>
                <w:rFonts w:ascii="Times New Roman" w:eastAsia="Batang" w:hAnsi="Times New Roman" w:cs="Times New Roman"/>
                <w:sz w:val="18"/>
                <w:szCs w:val="18"/>
                <w:lang w:eastAsia="ko-KR"/>
              </w:rPr>
              <w:lastRenderedPageBreak/>
              <w:t>техничку документацију проверава именовано тело за сертификацију производа утврђено чланом 29. овог закона.</w:t>
            </w:r>
          </w:p>
          <w:p w14:paraId="5BE096F8" w14:textId="1CF13EE4" w:rsidR="00F6755E" w:rsidRPr="00487209" w:rsidRDefault="00F6755E" w:rsidP="00F6755E">
            <w:pPr>
              <w:spacing w:before="120"/>
              <w:ind w:right="-23"/>
              <w:rPr>
                <w:rFonts w:ascii="Times New Roman" w:eastAsia="Batang" w:hAnsi="Times New Roman" w:cs="Times New Roman"/>
                <w:sz w:val="18"/>
                <w:szCs w:val="18"/>
                <w:lang w:eastAsia="ko-KR"/>
              </w:rPr>
            </w:pPr>
          </w:p>
        </w:tc>
        <w:tc>
          <w:tcPr>
            <w:tcW w:w="458" w:type="pct"/>
            <w:shd w:val="clear" w:color="auto" w:fill="auto"/>
            <w:vAlign w:val="center"/>
          </w:tcPr>
          <w:p w14:paraId="520C8AEC" w14:textId="77777777" w:rsidR="00DA15BC" w:rsidRPr="00487209" w:rsidRDefault="0015598F"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lastRenderedPageBreak/>
              <w:t>ПУ</w:t>
            </w:r>
          </w:p>
        </w:tc>
        <w:tc>
          <w:tcPr>
            <w:tcW w:w="598" w:type="pct"/>
            <w:gridSpan w:val="2"/>
            <w:shd w:val="clear" w:color="auto" w:fill="auto"/>
            <w:vAlign w:val="center"/>
          </w:tcPr>
          <w:p w14:paraId="463A6FFA" w14:textId="77777777" w:rsidR="00DA15BC" w:rsidRPr="00487209" w:rsidRDefault="00DA15BC"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4AE6A768" w14:textId="77777777" w:rsidR="00DA15BC" w:rsidRPr="00487209" w:rsidRDefault="00DA15BC" w:rsidP="006C6323">
            <w:pPr>
              <w:spacing w:before="120" w:after="120"/>
              <w:jc w:val="center"/>
              <w:rPr>
                <w:rFonts w:ascii="Times New Roman" w:hAnsi="Times New Roman" w:cs="Times New Roman"/>
                <w:sz w:val="18"/>
                <w:szCs w:val="18"/>
                <w:lang w:val="sr-Cyrl-CS"/>
              </w:rPr>
            </w:pPr>
          </w:p>
        </w:tc>
      </w:tr>
      <w:tr w:rsidR="00337554" w:rsidRPr="00487209" w14:paraId="6218EE26" w14:textId="77777777" w:rsidTr="007D5144">
        <w:trPr>
          <w:trHeight w:val="771"/>
          <w:jc w:val="center"/>
        </w:trPr>
        <w:tc>
          <w:tcPr>
            <w:tcW w:w="435" w:type="pct"/>
            <w:shd w:val="clear" w:color="auto" w:fill="auto"/>
            <w:vAlign w:val="center"/>
          </w:tcPr>
          <w:p w14:paraId="5D968019" w14:textId="77777777" w:rsidR="00DA15BC" w:rsidRPr="00487209" w:rsidRDefault="00DA15B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39</w:t>
            </w:r>
            <w:r w:rsidR="00B24BD3" w:rsidRPr="00487209">
              <w:rPr>
                <w:rFonts w:ascii="Times New Roman" w:hAnsi="Times New Roman" w:cs="Times New Roman"/>
                <w:sz w:val="18"/>
                <w:szCs w:val="18"/>
              </w:rPr>
              <w:t>.</w:t>
            </w:r>
          </w:p>
        </w:tc>
        <w:tc>
          <w:tcPr>
            <w:tcW w:w="1369" w:type="pct"/>
            <w:gridSpan w:val="2"/>
            <w:shd w:val="clear" w:color="auto" w:fill="auto"/>
            <w:vAlign w:val="center"/>
          </w:tcPr>
          <w:p w14:paraId="71BD2009" w14:textId="77777777" w:rsidR="00DA15BC" w:rsidRPr="00487209" w:rsidRDefault="00DA15BC"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Member States shall notify the Commission and the other Member States of bodies authorised to carry out third-party tasks in the process of assessment and verification of constancy of performance under this Regulation (hereinafter referred to as ‘notified bodies’).</w:t>
            </w:r>
          </w:p>
          <w:p w14:paraId="7F82FB1E" w14:textId="77777777" w:rsidR="00DA15BC" w:rsidRPr="00487209" w:rsidRDefault="00DA15BC"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5EE8A5DB" w14:textId="71E05269" w:rsidR="00644BD2"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45C67557" w14:textId="77777777" w:rsidR="00DA09F8" w:rsidRPr="00487209" w:rsidRDefault="00DA09F8" w:rsidP="006C6323">
            <w:pPr>
              <w:spacing w:before="120" w:after="120"/>
              <w:jc w:val="center"/>
              <w:rPr>
                <w:rFonts w:ascii="Times New Roman" w:hAnsi="Times New Roman" w:cs="Times New Roman"/>
                <w:sz w:val="18"/>
                <w:szCs w:val="18"/>
                <w:lang w:val="sr-Cyrl-CS"/>
              </w:rPr>
            </w:pPr>
          </w:p>
          <w:p w14:paraId="1E2FBB6C" w14:textId="176B03DE" w:rsidR="00DA15BC" w:rsidRPr="00487209" w:rsidRDefault="00644BD2" w:rsidP="006B1DA8">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6B1DA8" w:rsidRPr="00487209">
              <w:rPr>
                <w:rFonts w:ascii="Times New Roman" w:hAnsi="Times New Roman" w:cs="Times New Roman"/>
                <w:sz w:val="18"/>
                <w:szCs w:val="18"/>
                <w:lang w:val="sr-Latn-CS"/>
              </w:rPr>
              <w:t>48</w:t>
            </w:r>
            <w:r w:rsidR="00B24BD3" w:rsidRPr="00487209">
              <w:rPr>
                <w:rFonts w:ascii="Times New Roman" w:hAnsi="Times New Roman" w:cs="Times New Roman"/>
                <w:sz w:val="18"/>
                <w:szCs w:val="18"/>
                <w:lang w:val="ru-RU"/>
              </w:rPr>
              <w:t>.</w:t>
            </w:r>
          </w:p>
        </w:tc>
        <w:tc>
          <w:tcPr>
            <w:tcW w:w="1231" w:type="pct"/>
            <w:gridSpan w:val="2"/>
            <w:shd w:val="clear" w:color="auto" w:fill="auto"/>
            <w:vAlign w:val="center"/>
          </w:tcPr>
          <w:p w14:paraId="33A6E5B2" w14:textId="6667E683" w:rsidR="00DA15BC" w:rsidRPr="00487209" w:rsidRDefault="006B1DA8" w:rsidP="006B1DA8">
            <w:pPr>
              <w:spacing w:before="120"/>
              <w:ind w:right="-23"/>
              <w:rPr>
                <w:rStyle w:val="FontStyle41"/>
                <w:rFonts w:ascii="Times New Roman" w:eastAsia="Batang" w:hAnsi="Times New Roman" w:cs="Times New Roman"/>
                <w:sz w:val="18"/>
                <w:szCs w:val="18"/>
                <w:lang w:eastAsia="ko-KR"/>
              </w:rPr>
            </w:pPr>
            <w:r w:rsidRPr="00487209">
              <w:rPr>
                <w:rFonts w:ascii="Times New Roman" w:eastAsia="Batang" w:hAnsi="Times New Roman" w:cs="Times New Roman"/>
                <w:sz w:val="18"/>
                <w:szCs w:val="18"/>
                <w:lang w:eastAsia="ko-KR"/>
              </w:rPr>
              <w:t xml:space="preserve">За обављање задатака </w:t>
            </w:r>
            <w:r w:rsidR="00A972C2">
              <w:rPr>
                <w:rFonts w:ascii="Times New Roman" w:eastAsia="Batang" w:hAnsi="Times New Roman" w:cs="Times New Roman"/>
                <w:sz w:val="18"/>
                <w:szCs w:val="18"/>
                <w:lang w:val="sr-Cyrl-CS" w:eastAsia="ko-KR"/>
              </w:rPr>
              <w:t xml:space="preserve">независне </w:t>
            </w:r>
            <w:r w:rsidRPr="00487209">
              <w:rPr>
                <w:rFonts w:ascii="Times New Roman" w:eastAsia="Batang" w:hAnsi="Times New Roman" w:cs="Times New Roman"/>
                <w:sz w:val="18"/>
                <w:szCs w:val="18"/>
                <w:lang w:eastAsia="ko-KR"/>
              </w:rPr>
              <w:t xml:space="preserve">треће стране у поступку оцењивања и верификације сталности перформанси у складу са хармонизованом техничком спецификацијом именовано тело за оцењивање и верификацију сталности перформанси подноси, органу надлежном за пријављивање, преко министарства надлежног за послове грађевинарства, захтев за пријављивање Европској Комисији и другима државама чланицама, у складу са законом којим се уређују технички захтеви за производе и оцењивање усаглашености и прописима донетим на основу тог закона. </w:t>
            </w:r>
          </w:p>
        </w:tc>
        <w:tc>
          <w:tcPr>
            <w:tcW w:w="458" w:type="pct"/>
            <w:shd w:val="clear" w:color="auto" w:fill="auto"/>
            <w:vAlign w:val="center"/>
          </w:tcPr>
          <w:p w14:paraId="24C6AD8A" w14:textId="77777777" w:rsidR="00DA15BC" w:rsidRPr="00487209" w:rsidRDefault="00B24BD3"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П</w:t>
            </w:r>
            <w:r w:rsidR="004317C0" w:rsidRPr="00487209">
              <w:rPr>
                <w:rFonts w:ascii="Times New Roman" w:hAnsi="Times New Roman" w:cs="Times New Roman"/>
                <w:sz w:val="18"/>
                <w:szCs w:val="18"/>
              </w:rPr>
              <w:t>У</w:t>
            </w:r>
          </w:p>
        </w:tc>
        <w:tc>
          <w:tcPr>
            <w:tcW w:w="598" w:type="pct"/>
            <w:gridSpan w:val="2"/>
            <w:shd w:val="clear" w:color="auto" w:fill="auto"/>
            <w:vAlign w:val="center"/>
          </w:tcPr>
          <w:p w14:paraId="74FC52BC" w14:textId="77777777" w:rsidR="00DA15BC" w:rsidRPr="00487209" w:rsidRDefault="00DA15BC"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0EFEDAB4" w14:textId="77777777" w:rsidR="00DA15BC" w:rsidRPr="00487209" w:rsidRDefault="00DA15BC" w:rsidP="006C6323">
            <w:pPr>
              <w:spacing w:before="120" w:after="120"/>
              <w:jc w:val="center"/>
              <w:rPr>
                <w:rFonts w:ascii="Times New Roman" w:hAnsi="Times New Roman" w:cs="Times New Roman"/>
                <w:sz w:val="18"/>
                <w:szCs w:val="18"/>
                <w:lang w:val="sr-Cyrl-CS"/>
              </w:rPr>
            </w:pPr>
          </w:p>
        </w:tc>
      </w:tr>
      <w:tr w:rsidR="00337554" w:rsidRPr="00487209" w14:paraId="2406736B" w14:textId="77777777" w:rsidTr="007D5144">
        <w:trPr>
          <w:trHeight w:val="771"/>
          <w:jc w:val="center"/>
        </w:trPr>
        <w:tc>
          <w:tcPr>
            <w:tcW w:w="435" w:type="pct"/>
            <w:shd w:val="clear" w:color="auto" w:fill="auto"/>
            <w:vAlign w:val="center"/>
          </w:tcPr>
          <w:p w14:paraId="717521EF" w14:textId="77777777" w:rsidR="00DA15BC" w:rsidRPr="00487209" w:rsidRDefault="00DA15B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40.1.</w:t>
            </w:r>
          </w:p>
        </w:tc>
        <w:tc>
          <w:tcPr>
            <w:tcW w:w="1369" w:type="pct"/>
            <w:gridSpan w:val="2"/>
            <w:shd w:val="clear" w:color="auto" w:fill="auto"/>
            <w:vAlign w:val="center"/>
          </w:tcPr>
          <w:p w14:paraId="35A3D0E0" w14:textId="77777777" w:rsidR="00DA15BC" w:rsidRPr="00487209" w:rsidRDefault="00DA15BC"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Member States shall designate a notifying authority that shall be responsible for setting up and carrying out the necessary procedures for the assessment and notification of the bodies to be authorised to carry out third-party tasks in the process of assessment and verification of constancy of performance for the purposes of this Regulation, and for the monitoring of notified bodies, including their compliance with Article 43.</w:t>
            </w:r>
          </w:p>
        </w:tc>
        <w:tc>
          <w:tcPr>
            <w:tcW w:w="429" w:type="pct"/>
            <w:shd w:val="clear" w:color="auto" w:fill="auto"/>
            <w:vAlign w:val="center"/>
          </w:tcPr>
          <w:p w14:paraId="6890EF60" w14:textId="7AFE718F" w:rsidR="00644BD2"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0E576CB2" w14:textId="1F9937C9" w:rsidR="00A972C2" w:rsidRDefault="00A972C2" w:rsidP="006C6323">
            <w:pPr>
              <w:spacing w:before="120" w:after="120"/>
              <w:jc w:val="center"/>
              <w:rPr>
                <w:rFonts w:ascii="Times New Roman" w:hAnsi="Times New Roman" w:cs="Times New Roman"/>
                <w:sz w:val="18"/>
                <w:szCs w:val="18"/>
                <w:lang w:val="sr-Cyrl-CS"/>
              </w:rPr>
            </w:pPr>
          </w:p>
          <w:p w14:paraId="53FDDA88" w14:textId="00FDAAC7" w:rsidR="00A972C2" w:rsidRDefault="00A972C2" w:rsidP="006C6323">
            <w:pPr>
              <w:spacing w:before="120" w:after="120"/>
              <w:jc w:val="center"/>
              <w:rPr>
                <w:rFonts w:ascii="Times New Roman" w:hAnsi="Times New Roman" w:cs="Times New Roman"/>
                <w:sz w:val="18"/>
                <w:szCs w:val="18"/>
                <w:lang w:val="sr-Cyrl-CS"/>
              </w:rPr>
            </w:pPr>
            <w:r>
              <w:rPr>
                <w:rFonts w:ascii="Times New Roman" w:hAnsi="Times New Roman" w:cs="Times New Roman"/>
                <w:sz w:val="18"/>
                <w:szCs w:val="18"/>
                <w:lang w:val="sr-Cyrl-CS"/>
              </w:rPr>
              <w:t>48.</w:t>
            </w:r>
          </w:p>
          <w:p w14:paraId="4B518C29" w14:textId="77777777" w:rsidR="00A972C2" w:rsidRPr="00487209" w:rsidRDefault="00A972C2" w:rsidP="006C6323">
            <w:pPr>
              <w:spacing w:before="120" w:after="120"/>
              <w:jc w:val="center"/>
              <w:rPr>
                <w:rFonts w:ascii="Times New Roman" w:hAnsi="Times New Roman" w:cs="Times New Roman"/>
                <w:sz w:val="18"/>
                <w:szCs w:val="18"/>
                <w:lang w:val="sr-Cyrl-CS"/>
              </w:rPr>
            </w:pPr>
          </w:p>
          <w:p w14:paraId="1B3C1317" w14:textId="0AE2ED5B" w:rsidR="00DA15BC" w:rsidRPr="00487209" w:rsidRDefault="00644BD2" w:rsidP="00A972C2">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A972C2">
              <w:rPr>
                <w:rFonts w:ascii="Times New Roman" w:hAnsi="Times New Roman" w:cs="Times New Roman"/>
                <w:sz w:val="18"/>
                <w:szCs w:val="18"/>
                <w:lang w:val="sr-Cyrl-CS"/>
              </w:rPr>
              <w:t>50</w:t>
            </w:r>
            <w:r w:rsidR="004317C0" w:rsidRPr="00487209">
              <w:rPr>
                <w:rFonts w:ascii="Times New Roman" w:hAnsi="Times New Roman" w:cs="Times New Roman"/>
                <w:sz w:val="18"/>
                <w:szCs w:val="18"/>
                <w:lang w:val="ru-RU"/>
              </w:rPr>
              <w:t>.</w:t>
            </w:r>
          </w:p>
        </w:tc>
        <w:tc>
          <w:tcPr>
            <w:tcW w:w="1231" w:type="pct"/>
            <w:gridSpan w:val="2"/>
            <w:shd w:val="clear" w:color="auto" w:fill="auto"/>
            <w:vAlign w:val="center"/>
          </w:tcPr>
          <w:p w14:paraId="2CF21546" w14:textId="77777777" w:rsidR="00A972C2" w:rsidRDefault="00A972C2" w:rsidP="003E763A">
            <w:pPr>
              <w:spacing w:before="120"/>
              <w:ind w:left="36" w:right="-23"/>
              <w:jc w:val="both"/>
              <w:rPr>
                <w:rFonts w:ascii="Times New Roman" w:eastAsia="Times New Roman" w:hAnsi="Times New Roman" w:cs="Times New Roman"/>
                <w:sz w:val="18"/>
                <w:szCs w:val="18"/>
                <w:lang w:val="sr-Cyrl-RS"/>
              </w:rPr>
            </w:pPr>
            <w:r w:rsidRPr="00A972C2">
              <w:rPr>
                <w:rFonts w:ascii="Times New Roman" w:eastAsia="Times New Roman" w:hAnsi="Times New Roman" w:cs="Times New Roman"/>
                <w:sz w:val="18"/>
                <w:szCs w:val="18"/>
                <w:lang w:val="sr-Cyrl-RS"/>
              </w:rPr>
              <w:t xml:space="preserve">За обављање задатака независне треће стране у поступку оцењивања и верификације сталности перформанси у складу са хармонизованом техничком спецификацијом именовано тело за оцењивање и верификацију сталности перформанси подноси, органу надлежном за пријављивање, преко министарства надлежног за послове грађевинарства, захтев за пријављивање Европској Комисији и другима државама чланицама, у складу са законом којим се уређују технички захтеви за производе и оцењивање усаглашености и прописима донетим на основу тог закона. </w:t>
            </w:r>
          </w:p>
          <w:p w14:paraId="2B559FB5" w14:textId="59F070EA" w:rsidR="00DA15BC" w:rsidRPr="00487209" w:rsidRDefault="00A972C2" w:rsidP="00D32F66">
            <w:pPr>
              <w:pStyle w:val="Style10"/>
              <w:spacing w:before="120" w:line="240" w:lineRule="auto"/>
              <w:ind w:left="36"/>
              <w:rPr>
                <w:rFonts w:ascii="Times New Roman" w:hAnsi="Times New Roman"/>
                <w:sz w:val="18"/>
                <w:szCs w:val="18"/>
              </w:rPr>
            </w:pPr>
            <w:r w:rsidRPr="00A972C2">
              <w:rPr>
                <w:rFonts w:ascii="Times New Roman" w:eastAsia="Times New Roman" w:hAnsi="Times New Roman"/>
                <w:sz w:val="18"/>
                <w:szCs w:val="18"/>
                <w:lang w:val="sr-Cyrl-RS" w:eastAsia="en-US"/>
              </w:rPr>
              <w:t xml:space="preserve">Пријављивање тела за оцењивање и </w:t>
            </w:r>
            <w:r w:rsidRPr="00A972C2">
              <w:rPr>
                <w:rFonts w:ascii="Times New Roman" w:eastAsia="Times New Roman" w:hAnsi="Times New Roman"/>
                <w:sz w:val="18"/>
                <w:szCs w:val="18"/>
                <w:lang w:val="sr-Cyrl-RS" w:eastAsia="en-US"/>
              </w:rPr>
              <w:lastRenderedPageBreak/>
              <w:t>верификацију сталности перформанси из члана 48. овог закона, спроводи се у складу са посебним прописом који уређује поступак пријављивања, начин утврђивања испуњености прописаних захтева за пријављивање, надзор над радом тих тела, као и суспензија и повлачење пријављивања, донетим на основу закона којим се уређују технички захтеви за производе и оцењивање усаглашености.</w:t>
            </w:r>
          </w:p>
        </w:tc>
        <w:tc>
          <w:tcPr>
            <w:tcW w:w="458" w:type="pct"/>
            <w:shd w:val="clear" w:color="auto" w:fill="auto"/>
            <w:vAlign w:val="center"/>
          </w:tcPr>
          <w:p w14:paraId="0EDCA837" w14:textId="77777777" w:rsidR="00DA15BC" w:rsidRPr="00487209" w:rsidRDefault="00DA15B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lastRenderedPageBreak/>
              <w:t>ПУ</w:t>
            </w:r>
          </w:p>
        </w:tc>
        <w:tc>
          <w:tcPr>
            <w:tcW w:w="598" w:type="pct"/>
            <w:gridSpan w:val="2"/>
            <w:shd w:val="clear" w:color="auto" w:fill="auto"/>
            <w:vAlign w:val="center"/>
          </w:tcPr>
          <w:p w14:paraId="422E0811" w14:textId="77777777" w:rsidR="00DA15BC" w:rsidRPr="00487209" w:rsidRDefault="00DA15BC"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AF855F4" w14:textId="77777777" w:rsidR="00DA15BC" w:rsidRPr="00487209" w:rsidRDefault="00DA15BC" w:rsidP="006C6323">
            <w:pPr>
              <w:spacing w:before="120" w:after="120"/>
              <w:jc w:val="center"/>
              <w:rPr>
                <w:rFonts w:ascii="Times New Roman" w:hAnsi="Times New Roman" w:cs="Times New Roman"/>
                <w:sz w:val="18"/>
                <w:szCs w:val="18"/>
              </w:rPr>
            </w:pPr>
          </w:p>
        </w:tc>
      </w:tr>
      <w:tr w:rsidR="00337554" w:rsidRPr="00487209" w14:paraId="41DD7706" w14:textId="77777777" w:rsidTr="007D5144">
        <w:trPr>
          <w:trHeight w:val="771"/>
          <w:jc w:val="center"/>
        </w:trPr>
        <w:tc>
          <w:tcPr>
            <w:tcW w:w="435" w:type="pct"/>
            <w:shd w:val="clear" w:color="auto" w:fill="auto"/>
            <w:vAlign w:val="center"/>
          </w:tcPr>
          <w:p w14:paraId="26869A6D" w14:textId="77777777" w:rsidR="00DA15BC" w:rsidRPr="00487209" w:rsidRDefault="00DA15B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40.2.</w:t>
            </w:r>
          </w:p>
        </w:tc>
        <w:tc>
          <w:tcPr>
            <w:tcW w:w="1369" w:type="pct"/>
            <w:gridSpan w:val="2"/>
            <w:shd w:val="clear" w:color="auto" w:fill="auto"/>
            <w:vAlign w:val="center"/>
          </w:tcPr>
          <w:p w14:paraId="14DF172D" w14:textId="77777777" w:rsidR="00DA15BC" w:rsidRPr="00487209" w:rsidRDefault="00DA15BC"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Member States may decide that the assessment and monitoring referred to in paragraph 1 shall be carried out by their national accreditation bodies within the meaning of, and in accordance with, Regulation (EC) No 765/2008.</w:t>
            </w:r>
          </w:p>
        </w:tc>
        <w:tc>
          <w:tcPr>
            <w:tcW w:w="429" w:type="pct"/>
            <w:shd w:val="clear" w:color="auto" w:fill="auto"/>
            <w:vAlign w:val="center"/>
          </w:tcPr>
          <w:p w14:paraId="4D88C914" w14:textId="77777777" w:rsidR="00DA15BC" w:rsidRPr="00487209" w:rsidRDefault="00DA15BC"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1396D2CB" w14:textId="77777777" w:rsidR="00DA15BC" w:rsidRPr="00487209" w:rsidRDefault="00DA15BC" w:rsidP="006C6323">
            <w:pPr>
              <w:jc w:val="center"/>
              <w:rPr>
                <w:rFonts w:ascii="Times New Roman" w:hAnsi="Times New Roman" w:cs="Times New Roman"/>
                <w:sz w:val="18"/>
                <w:szCs w:val="18"/>
                <w:lang w:val="sr-Cyrl-CS"/>
              </w:rPr>
            </w:pPr>
          </w:p>
        </w:tc>
        <w:tc>
          <w:tcPr>
            <w:tcW w:w="458" w:type="pct"/>
            <w:shd w:val="clear" w:color="auto" w:fill="auto"/>
            <w:vAlign w:val="center"/>
          </w:tcPr>
          <w:p w14:paraId="1C217703" w14:textId="77777777" w:rsidR="00DA15BC" w:rsidRPr="00487209" w:rsidRDefault="00DA15BC"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w:t>
            </w:r>
            <w:r w:rsidR="00147811" w:rsidRPr="00487209">
              <w:rPr>
                <w:rFonts w:ascii="Times New Roman" w:hAnsi="Times New Roman" w:cs="Times New Roman"/>
                <w:sz w:val="18"/>
                <w:szCs w:val="18"/>
                <w:lang w:val="sr-Cyrl-CS"/>
              </w:rPr>
              <w:t>У</w:t>
            </w:r>
          </w:p>
        </w:tc>
        <w:tc>
          <w:tcPr>
            <w:tcW w:w="598" w:type="pct"/>
            <w:gridSpan w:val="2"/>
            <w:shd w:val="clear" w:color="auto" w:fill="auto"/>
            <w:vAlign w:val="center"/>
          </w:tcPr>
          <w:p w14:paraId="4ADF6995" w14:textId="7DF31CBC" w:rsidR="00DA15BC" w:rsidRPr="00487209" w:rsidRDefault="00147811"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која се може упоредити са ч</w:t>
            </w:r>
            <w:r w:rsidR="00295C9D">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lang w:val="sr-Cyrl-CS"/>
              </w:rPr>
              <w:t>40.2. Уредбе 305/2011 (ЕУ).</w:t>
            </w:r>
          </w:p>
        </w:tc>
        <w:tc>
          <w:tcPr>
            <w:tcW w:w="480" w:type="pct"/>
            <w:shd w:val="clear" w:color="auto" w:fill="auto"/>
            <w:vAlign w:val="center"/>
          </w:tcPr>
          <w:p w14:paraId="77E25B82" w14:textId="77777777" w:rsidR="00DA15BC" w:rsidRPr="00487209" w:rsidRDefault="00DA15BC" w:rsidP="006C6323">
            <w:pPr>
              <w:spacing w:before="120" w:after="120"/>
              <w:jc w:val="center"/>
              <w:rPr>
                <w:rFonts w:ascii="Times New Roman" w:hAnsi="Times New Roman" w:cs="Times New Roman"/>
                <w:sz w:val="18"/>
                <w:szCs w:val="18"/>
                <w:lang w:val="sr-Cyrl-CS"/>
              </w:rPr>
            </w:pPr>
          </w:p>
        </w:tc>
      </w:tr>
      <w:tr w:rsidR="00337554" w:rsidRPr="00487209" w14:paraId="50592F84" w14:textId="77777777" w:rsidTr="007D5144">
        <w:trPr>
          <w:trHeight w:val="771"/>
          <w:jc w:val="center"/>
        </w:trPr>
        <w:tc>
          <w:tcPr>
            <w:tcW w:w="435" w:type="pct"/>
            <w:shd w:val="clear" w:color="auto" w:fill="auto"/>
            <w:vAlign w:val="center"/>
          </w:tcPr>
          <w:p w14:paraId="682BF120"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40.3.</w:t>
            </w:r>
          </w:p>
        </w:tc>
        <w:tc>
          <w:tcPr>
            <w:tcW w:w="1369" w:type="pct"/>
            <w:gridSpan w:val="2"/>
            <w:shd w:val="clear" w:color="auto" w:fill="auto"/>
            <w:vAlign w:val="center"/>
          </w:tcPr>
          <w:p w14:paraId="78CE518E" w14:textId="77777777" w:rsidR="00055C7C" w:rsidRPr="00487209" w:rsidRDefault="00055C7C" w:rsidP="006C6323">
            <w:pPr>
              <w:spacing w:before="100" w:beforeAutospacing="1" w:after="100" w:afterAutospacing="1"/>
              <w:jc w:val="both"/>
              <w:rPr>
                <w:rFonts w:ascii="Times New Roman" w:hAnsi="Times New Roman" w:cs="Times New Roman"/>
                <w:sz w:val="18"/>
                <w:szCs w:val="18"/>
              </w:rPr>
            </w:pPr>
          </w:p>
          <w:p w14:paraId="1E1BBB3C"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Where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notifying</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authority</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delegates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or</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otherwise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entrusts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assessment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notification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or</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monitoring</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referred</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to in paragraph 1 to a body which is not a governmental entity, that body shall be a legal entity and shall comply mutatis mutandis with the requirements laid down in Article 41. In addition, it shall have arrangements to cover liabilities arising from its activities.</w:t>
            </w:r>
          </w:p>
          <w:p w14:paraId="28EAB002"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4E6F13F1"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165CEEE0"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0644D78D"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1A0DFD57" w14:textId="4FE821E6" w:rsidR="00147811" w:rsidRPr="00487209" w:rsidRDefault="00147811"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која се може упоредити са ч</w:t>
            </w:r>
            <w:r w:rsidR="00295C9D">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40.3.</w:t>
            </w:r>
            <w:r w:rsidR="00EA10A8" w:rsidRPr="00487209">
              <w:rPr>
                <w:rFonts w:ascii="Times New Roman" w:hAnsi="Times New Roman" w:cs="Times New Roman"/>
                <w:sz w:val="18"/>
                <w:szCs w:val="18"/>
                <w:lang w:val="sr-Cyrl-CS"/>
              </w:rPr>
              <w:t xml:space="preserve"> Уредбе 305/2011 (ЕУ)</w:t>
            </w:r>
            <w:r w:rsidRPr="00487209">
              <w:rPr>
                <w:rFonts w:ascii="Times New Roman" w:hAnsi="Times New Roman" w:cs="Times New Roman"/>
                <w:sz w:val="18"/>
                <w:szCs w:val="18"/>
                <w:lang w:val="sr-Cyrl-CS"/>
              </w:rPr>
              <w:t>.</w:t>
            </w:r>
          </w:p>
        </w:tc>
        <w:tc>
          <w:tcPr>
            <w:tcW w:w="480" w:type="pct"/>
            <w:shd w:val="clear" w:color="auto" w:fill="auto"/>
            <w:vAlign w:val="center"/>
          </w:tcPr>
          <w:p w14:paraId="25BCA02A"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6F48E0F6" w14:textId="77777777" w:rsidTr="007D5144">
        <w:trPr>
          <w:trHeight w:val="771"/>
          <w:jc w:val="center"/>
        </w:trPr>
        <w:tc>
          <w:tcPr>
            <w:tcW w:w="435" w:type="pct"/>
            <w:shd w:val="clear" w:color="auto" w:fill="auto"/>
            <w:vAlign w:val="center"/>
          </w:tcPr>
          <w:p w14:paraId="0880C701"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40.4.</w:t>
            </w:r>
          </w:p>
        </w:tc>
        <w:tc>
          <w:tcPr>
            <w:tcW w:w="1369" w:type="pct"/>
            <w:gridSpan w:val="2"/>
            <w:shd w:val="clear" w:color="auto" w:fill="auto"/>
            <w:vAlign w:val="center"/>
          </w:tcPr>
          <w:p w14:paraId="4F5F21FE"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notifying authority shall take full responsibility for the tasks performed by the body referred to in paragraph 3.</w:t>
            </w:r>
          </w:p>
          <w:p w14:paraId="0FA7E2B2"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36B07CD7"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2BB20419"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6753EB34"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w:t>
            </w:r>
            <w:r w:rsidR="004646D1" w:rsidRPr="00487209">
              <w:rPr>
                <w:rFonts w:ascii="Times New Roman" w:hAnsi="Times New Roman" w:cs="Times New Roman"/>
                <w:sz w:val="18"/>
                <w:szCs w:val="18"/>
                <w:lang w:val="sr-Cyrl-CS"/>
              </w:rPr>
              <w:t>У</w:t>
            </w:r>
          </w:p>
        </w:tc>
        <w:tc>
          <w:tcPr>
            <w:tcW w:w="598" w:type="pct"/>
            <w:gridSpan w:val="2"/>
            <w:shd w:val="clear" w:color="auto" w:fill="auto"/>
            <w:vAlign w:val="center"/>
          </w:tcPr>
          <w:p w14:paraId="1973059B" w14:textId="3160C83B" w:rsidR="00147811" w:rsidRPr="00487209" w:rsidRDefault="004646D1"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 xml:space="preserve">а закона о грађевинским </w:t>
            </w:r>
            <w:r w:rsidR="00F421F0" w:rsidRPr="00487209">
              <w:rPr>
                <w:rFonts w:ascii="Times New Roman" w:hAnsi="Times New Roman" w:cs="Times New Roman"/>
                <w:sz w:val="18"/>
                <w:szCs w:val="18"/>
                <w:lang w:val="sr-Cyrl-CS"/>
              </w:rPr>
              <w:lastRenderedPageBreak/>
              <w:t>производима</w:t>
            </w:r>
            <w:r w:rsidRPr="00487209">
              <w:rPr>
                <w:rFonts w:ascii="Times New Roman" w:hAnsi="Times New Roman" w:cs="Times New Roman"/>
                <w:sz w:val="18"/>
                <w:szCs w:val="18"/>
                <w:lang w:val="sr-Cyrl-CS"/>
              </w:rPr>
              <w:t xml:space="preserve"> која се може упоредити са ч</w:t>
            </w:r>
            <w:r w:rsidR="00295C9D">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40.4.</w:t>
            </w:r>
            <w:r w:rsidRPr="00487209">
              <w:rPr>
                <w:rFonts w:ascii="Times New Roman" w:hAnsi="Times New Roman" w:cs="Times New Roman"/>
                <w:sz w:val="18"/>
                <w:szCs w:val="18"/>
                <w:lang w:val="sr-Cyrl-CS"/>
              </w:rPr>
              <w:t xml:space="preserve"> Уредбе 305/2011 (ЕУ).</w:t>
            </w:r>
          </w:p>
        </w:tc>
        <w:tc>
          <w:tcPr>
            <w:tcW w:w="480" w:type="pct"/>
            <w:shd w:val="clear" w:color="auto" w:fill="auto"/>
            <w:vAlign w:val="center"/>
          </w:tcPr>
          <w:p w14:paraId="6CAACB5F"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429A1EB1" w14:textId="77777777" w:rsidTr="007D5144">
        <w:trPr>
          <w:trHeight w:val="771"/>
          <w:jc w:val="center"/>
        </w:trPr>
        <w:tc>
          <w:tcPr>
            <w:tcW w:w="435" w:type="pct"/>
            <w:shd w:val="clear" w:color="auto" w:fill="auto"/>
            <w:vAlign w:val="center"/>
          </w:tcPr>
          <w:p w14:paraId="59EB3B78"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41.1.</w:t>
            </w:r>
          </w:p>
        </w:tc>
        <w:tc>
          <w:tcPr>
            <w:tcW w:w="1369" w:type="pct"/>
            <w:gridSpan w:val="2"/>
            <w:shd w:val="clear" w:color="auto" w:fill="auto"/>
            <w:vAlign w:val="center"/>
          </w:tcPr>
          <w:p w14:paraId="30555F69"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notifying authority shall be established in such a way that no conflicts of interest with notified bodies occur.</w:t>
            </w:r>
          </w:p>
        </w:tc>
        <w:tc>
          <w:tcPr>
            <w:tcW w:w="429" w:type="pct"/>
            <w:shd w:val="clear" w:color="auto" w:fill="auto"/>
            <w:vAlign w:val="center"/>
          </w:tcPr>
          <w:p w14:paraId="5639F970"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092323AB"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241C12C4"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w:t>
            </w:r>
            <w:r w:rsidR="004646D1" w:rsidRPr="00487209">
              <w:rPr>
                <w:rFonts w:ascii="Times New Roman" w:hAnsi="Times New Roman" w:cs="Times New Roman"/>
                <w:sz w:val="18"/>
                <w:szCs w:val="18"/>
                <w:lang w:val="sr-Cyrl-CS"/>
              </w:rPr>
              <w:t>У</w:t>
            </w:r>
          </w:p>
        </w:tc>
        <w:tc>
          <w:tcPr>
            <w:tcW w:w="598" w:type="pct"/>
            <w:gridSpan w:val="2"/>
            <w:shd w:val="clear" w:color="auto" w:fill="auto"/>
            <w:vAlign w:val="center"/>
          </w:tcPr>
          <w:p w14:paraId="6408B328" w14:textId="22FC3702" w:rsidR="00147811" w:rsidRPr="00487209" w:rsidRDefault="004646D1"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која се може упоредити са ч</w:t>
            </w:r>
            <w:r w:rsidR="00295C9D">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41.1.</w:t>
            </w:r>
            <w:r w:rsidRPr="00487209">
              <w:rPr>
                <w:rFonts w:ascii="Times New Roman" w:hAnsi="Times New Roman" w:cs="Times New Roman"/>
                <w:sz w:val="18"/>
                <w:szCs w:val="18"/>
                <w:lang w:val="sr-Cyrl-CS"/>
              </w:rPr>
              <w:t xml:space="preserve"> Уредбе 305/2011 (ЕУ).</w:t>
            </w:r>
          </w:p>
        </w:tc>
        <w:tc>
          <w:tcPr>
            <w:tcW w:w="480" w:type="pct"/>
            <w:shd w:val="clear" w:color="auto" w:fill="auto"/>
            <w:vAlign w:val="center"/>
          </w:tcPr>
          <w:p w14:paraId="3CCDEA16"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2731CDAE" w14:textId="77777777" w:rsidTr="007D5144">
        <w:trPr>
          <w:trHeight w:val="771"/>
          <w:jc w:val="center"/>
        </w:trPr>
        <w:tc>
          <w:tcPr>
            <w:tcW w:w="435" w:type="pct"/>
            <w:shd w:val="clear" w:color="auto" w:fill="auto"/>
            <w:vAlign w:val="center"/>
          </w:tcPr>
          <w:p w14:paraId="2D9837D4"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41.2.</w:t>
            </w:r>
          </w:p>
        </w:tc>
        <w:tc>
          <w:tcPr>
            <w:tcW w:w="1369" w:type="pct"/>
            <w:gridSpan w:val="2"/>
            <w:shd w:val="clear" w:color="auto" w:fill="auto"/>
            <w:vAlign w:val="center"/>
          </w:tcPr>
          <w:p w14:paraId="43A29D74"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notifying authority shall be organised and operated so as to safeguard the objectivity and impartiality of its activities.</w:t>
            </w:r>
          </w:p>
          <w:p w14:paraId="507F3206"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3AAEE393"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625D5E9C"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33036934"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w:t>
            </w:r>
            <w:r w:rsidR="00CB25EC" w:rsidRPr="00487209">
              <w:rPr>
                <w:rFonts w:ascii="Times New Roman" w:hAnsi="Times New Roman" w:cs="Times New Roman"/>
                <w:sz w:val="18"/>
                <w:szCs w:val="18"/>
                <w:lang w:val="sr-Cyrl-CS"/>
              </w:rPr>
              <w:t>У</w:t>
            </w:r>
          </w:p>
        </w:tc>
        <w:tc>
          <w:tcPr>
            <w:tcW w:w="598" w:type="pct"/>
            <w:gridSpan w:val="2"/>
            <w:shd w:val="clear" w:color="auto" w:fill="auto"/>
            <w:vAlign w:val="center"/>
          </w:tcPr>
          <w:p w14:paraId="24E7C443" w14:textId="3DC66C9C" w:rsidR="00147811" w:rsidRPr="00487209" w:rsidRDefault="00CB25EC"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која се може упоредити са ч</w:t>
            </w:r>
            <w:r w:rsidR="00295C9D">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41.2.</w:t>
            </w:r>
            <w:r w:rsidRPr="00487209">
              <w:rPr>
                <w:rFonts w:ascii="Times New Roman" w:hAnsi="Times New Roman" w:cs="Times New Roman"/>
                <w:sz w:val="18"/>
                <w:szCs w:val="18"/>
                <w:lang w:val="sr-Cyrl-CS"/>
              </w:rPr>
              <w:t xml:space="preserve"> Уредбе 305/2011 (ЕУ).</w:t>
            </w:r>
          </w:p>
        </w:tc>
        <w:tc>
          <w:tcPr>
            <w:tcW w:w="480" w:type="pct"/>
            <w:shd w:val="clear" w:color="auto" w:fill="auto"/>
            <w:vAlign w:val="center"/>
          </w:tcPr>
          <w:p w14:paraId="6A61060B"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2F37371" w14:textId="77777777" w:rsidTr="007D5144">
        <w:trPr>
          <w:trHeight w:val="771"/>
          <w:jc w:val="center"/>
        </w:trPr>
        <w:tc>
          <w:tcPr>
            <w:tcW w:w="435" w:type="pct"/>
            <w:shd w:val="clear" w:color="auto" w:fill="auto"/>
            <w:vAlign w:val="center"/>
          </w:tcPr>
          <w:p w14:paraId="3CAC6573"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41.3.</w:t>
            </w:r>
          </w:p>
        </w:tc>
        <w:tc>
          <w:tcPr>
            <w:tcW w:w="1369" w:type="pct"/>
            <w:gridSpan w:val="2"/>
            <w:shd w:val="clear" w:color="auto" w:fill="auto"/>
            <w:vAlign w:val="center"/>
          </w:tcPr>
          <w:p w14:paraId="3CBCD36E" w14:textId="77777777" w:rsidR="00055C7C" w:rsidRPr="00487209" w:rsidRDefault="00055C7C" w:rsidP="006C6323">
            <w:pPr>
              <w:spacing w:before="100" w:beforeAutospacing="1" w:after="100" w:afterAutospacing="1"/>
              <w:jc w:val="both"/>
              <w:rPr>
                <w:rFonts w:ascii="Times New Roman" w:hAnsi="Times New Roman" w:cs="Times New Roman"/>
                <w:sz w:val="18"/>
                <w:szCs w:val="18"/>
              </w:rPr>
            </w:pPr>
          </w:p>
          <w:p w14:paraId="5399E03B" w14:textId="55A6DBE9" w:rsidR="00055C7C"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notifying authority shall be organised in such a way that each decision relating to notification of a body to be authorised to carry out third party tasks in the process of assessment and verification of constancy of performance is taken by competent persons different from those who carried out the assessment.</w:t>
            </w:r>
          </w:p>
        </w:tc>
        <w:tc>
          <w:tcPr>
            <w:tcW w:w="429" w:type="pct"/>
            <w:shd w:val="clear" w:color="auto" w:fill="auto"/>
            <w:vAlign w:val="center"/>
          </w:tcPr>
          <w:p w14:paraId="513C1F5C" w14:textId="77777777" w:rsidR="00BE1305" w:rsidRPr="00487209" w:rsidRDefault="00BE1305" w:rsidP="006C6323">
            <w:pPr>
              <w:spacing w:before="120" w:after="120"/>
              <w:ind w:firstLine="5"/>
              <w:jc w:val="center"/>
              <w:rPr>
                <w:rFonts w:ascii="Times New Roman" w:hAnsi="Times New Roman" w:cs="Times New Roman"/>
                <w:sz w:val="18"/>
                <w:szCs w:val="18"/>
                <w:lang w:val="ru-RU"/>
              </w:rPr>
            </w:pPr>
          </w:p>
          <w:p w14:paraId="0A8BE3CB" w14:textId="77777777" w:rsidR="00BE1305" w:rsidRPr="00487209" w:rsidRDefault="00BE1305" w:rsidP="006C6323">
            <w:pPr>
              <w:spacing w:before="120" w:after="120"/>
              <w:ind w:firstLine="5"/>
              <w:jc w:val="center"/>
              <w:rPr>
                <w:rFonts w:ascii="Times New Roman" w:hAnsi="Times New Roman" w:cs="Times New Roman"/>
                <w:sz w:val="18"/>
                <w:szCs w:val="18"/>
                <w:lang w:val="ru-RU"/>
              </w:rPr>
            </w:pPr>
          </w:p>
          <w:p w14:paraId="33AE8E48" w14:textId="77777777" w:rsidR="00BE1305" w:rsidRPr="00487209" w:rsidRDefault="00BE1305" w:rsidP="006C6323">
            <w:pPr>
              <w:spacing w:before="120" w:after="120"/>
              <w:ind w:firstLine="5"/>
              <w:jc w:val="center"/>
              <w:rPr>
                <w:rFonts w:ascii="Times New Roman" w:hAnsi="Times New Roman" w:cs="Times New Roman"/>
                <w:sz w:val="18"/>
                <w:szCs w:val="18"/>
                <w:lang w:val="ru-RU"/>
              </w:rPr>
            </w:pPr>
          </w:p>
          <w:p w14:paraId="4A952816" w14:textId="77777777" w:rsidR="00147811" w:rsidRPr="00487209" w:rsidRDefault="00147811"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572FBC37" w14:textId="77777777" w:rsidR="00147811" w:rsidRPr="00487209" w:rsidRDefault="00147811" w:rsidP="006C6323">
            <w:pPr>
              <w:pStyle w:val="Style10"/>
              <w:spacing w:before="120" w:line="240" w:lineRule="auto"/>
              <w:rPr>
                <w:rFonts w:ascii="Times New Roman" w:hAnsi="Times New Roman"/>
                <w:sz w:val="18"/>
                <w:szCs w:val="18"/>
              </w:rPr>
            </w:pPr>
          </w:p>
        </w:tc>
        <w:tc>
          <w:tcPr>
            <w:tcW w:w="458" w:type="pct"/>
            <w:shd w:val="clear" w:color="auto" w:fill="auto"/>
            <w:vAlign w:val="center"/>
          </w:tcPr>
          <w:p w14:paraId="5D547D38" w14:textId="77777777" w:rsidR="00147811" w:rsidRPr="00487209" w:rsidRDefault="00B548AD"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0D54B51F" w14:textId="17FF5321" w:rsidR="00147811" w:rsidRPr="00487209" w:rsidRDefault="00D710B3"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која се може упоредити са ч</w:t>
            </w:r>
            <w:r w:rsidR="00295C9D">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41.3.</w:t>
            </w:r>
            <w:r w:rsidRPr="00487209">
              <w:rPr>
                <w:rFonts w:ascii="Times New Roman" w:hAnsi="Times New Roman" w:cs="Times New Roman"/>
                <w:sz w:val="18"/>
                <w:szCs w:val="18"/>
                <w:lang w:val="sr-Cyrl-CS"/>
              </w:rPr>
              <w:t xml:space="preserve"> Уредбе 305/2011 (ЕУ).</w:t>
            </w:r>
          </w:p>
        </w:tc>
        <w:tc>
          <w:tcPr>
            <w:tcW w:w="480" w:type="pct"/>
            <w:shd w:val="clear" w:color="auto" w:fill="auto"/>
            <w:vAlign w:val="center"/>
          </w:tcPr>
          <w:p w14:paraId="05B52FB2"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62EEBF8F" w14:textId="77777777" w:rsidTr="007D5144">
        <w:trPr>
          <w:trHeight w:val="771"/>
          <w:jc w:val="center"/>
        </w:trPr>
        <w:tc>
          <w:tcPr>
            <w:tcW w:w="435" w:type="pct"/>
            <w:shd w:val="clear" w:color="auto" w:fill="auto"/>
            <w:vAlign w:val="center"/>
          </w:tcPr>
          <w:p w14:paraId="20A07D3C" w14:textId="77777777" w:rsidR="0031563C" w:rsidRPr="00487209" w:rsidRDefault="0031563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41.4.</w:t>
            </w:r>
          </w:p>
        </w:tc>
        <w:tc>
          <w:tcPr>
            <w:tcW w:w="1369" w:type="pct"/>
            <w:gridSpan w:val="2"/>
            <w:shd w:val="clear" w:color="auto" w:fill="auto"/>
            <w:vAlign w:val="center"/>
          </w:tcPr>
          <w:p w14:paraId="47F12FB4" w14:textId="77777777" w:rsidR="0031563C" w:rsidRPr="00487209" w:rsidRDefault="0031563C"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notifying authority shall not offer or provide activities performed by notified bodies, or consultancy services on a commercial or competitive basis.</w:t>
            </w:r>
          </w:p>
          <w:p w14:paraId="0ABFDC1E" w14:textId="77777777" w:rsidR="0031563C" w:rsidRPr="00487209" w:rsidRDefault="0031563C"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7D6C2890" w14:textId="77777777" w:rsidR="0031563C" w:rsidRPr="00487209" w:rsidRDefault="0031563C"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395D08F6" w14:textId="77777777" w:rsidR="0031563C" w:rsidRPr="00487209" w:rsidRDefault="0031563C" w:rsidP="006C6323">
            <w:pPr>
              <w:jc w:val="center"/>
              <w:rPr>
                <w:rFonts w:ascii="Times New Roman" w:hAnsi="Times New Roman" w:cs="Times New Roman"/>
                <w:sz w:val="18"/>
                <w:szCs w:val="18"/>
                <w:lang w:val="sr-Cyrl-CS"/>
              </w:rPr>
            </w:pPr>
          </w:p>
        </w:tc>
        <w:tc>
          <w:tcPr>
            <w:tcW w:w="458" w:type="pct"/>
            <w:shd w:val="clear" w:color="auto" w:fill="auto"/>
            <w:vAlign w:val="center"/>
          </w:tcPr>
          <w:p w14:paraId="412D8787" w14:textId="77777777" w:rsidR="0031563C" w:rsidRPr="00487209" w:rsidRDefault="0031563C"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0AB52ECC" w14:textId="12CBA34D" w:rsidR="0031563C" w:rsidRPr="00487209" w:rsidRDefault="0031563C"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која се може упоредити са ч</w:t>
            </w:r>
            <w:r w:rsidR="00295C9D">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41.4.</w:t>
            </w:r>
            <w:r w:rsidRPr="00487209">
              <w:rPr>
                <w:rFonts w:ascii="Times New Roman" w:hAnsi="Times New Roman" w:cs="Times New Roman"/>
                <w:sz w:val="18"/>
                <w:szCs w:val="18"/>
                <w:lang w:val="sr-Cyrl-CS"/>
              </w:rPr>
              <w:t xml:space="preserve"> Уредбе 305/2011 (ЕУ).</w:t>
            </w:r>
          </w:p>
        </w:tc>
        <w:tc>
          <w:tcPr>
            <w:tcW w:w="480" w:type="pct"/>
            <w:shd w:val="clear" w:color="auto" w:fill="auto"/>
            <w:vAlign w:val="center"/>
          </w:tcPr>
          <w:p w14:paraId="63D0F909" w14:textId="77777777" w:rsidR="0031563C" w:rsidRPr="00487209" w:rsidRDefault="0031563C" w:rsidP="006C6323">
            <w:pPr>
              <w:spacing w:before="120" w:after="120"/>
              <w:jc w:val="center"/>
              <w:rPr>
                <w:rFonts w:ascii="Times New Roman" w:hAnsi="Times New Roman" w:cs="Times New Roman"/>
                <w:sz w:val="18"/>
                <w:szCs w:val="18"/>
              </w:rPr>
            </w:pPr>
          </w:p>
        </w:tc>
      </w:tr>
      <w:tr w:rsidR="00337554" w:rsidRPr="00487209" w14:paraId="69BA3BA1" w14:textId="77777777" w:rsidTr="007D5144">
        <w:trPr>
          <w:trHeight w:val="771"/>
          <w:jc w:val="center"/>
        </w:trPr>
        <w:tc>
          <w:tcPr>
            <w:tcW w:w="435" w:type="pct"/>
            <w:shd w:val="clear" w:color="auto" w:fill="auto"/>
            <w:vAlign w:val="center"/>
          </w:tcPr>
          <w:p w14:paraId="7C37C35D"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41.5.</w:t>
            </w:r>
          </w:p>
        </w:tc>
        <w:tc>
          <w:tcPr>
            <w:tcW w:w="1369" w:type="pct"/>
            <w:gridSpan w:val="2"/>
            <w:shd w:val="clear" w:color="auto" w:fill="auto"/>
            <w:vAlign w:val="center"/>
          </w:tcPr>
          <w:p w14:paraId="024EAEA4"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notifying authority shall safeguard the confidentiality of the information obtained.</w:t>
            </w:r>
          </w:p>
          <w:p w14:paraId="1F8E73C4"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36FBE3CC"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785EDF6C"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6AAE3C06"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w:t>
            </w:r>
            <w:r w:rsidR="005C7CC7" w:rsidRPr="00487209">
              <w:rPr>
                <w:rFonts w:ascii="Times New Roman" w:hAnsi="Times New Roman" w:cs="Times New Roman"/>
                <w:sz w:val="18"/>
                <w:szCs w:val="18"/>
                <w:lang w:val="sr-Cyrl-CS"/>
              </w:rPr>
              <w:t>У</w:t>
            </w:r>
          </w:p>
        </w:tc>
        <w:tc>
          <w:tcPr>
            <w:tcW w:w="598" w:type="pct"/>
            <w:gridSpan w:val="2"/>
            <w:shd w:val="clear" w:color="auto" w:fill="auto"/>
            <w:vAlign w:val="center"/>
          </w:tcPr>
          <w:p w14:paraId="3941B3E2" w14:textId="3B90770D" w:rsidR="00147811" w:rsidRPr="00487209" w:rsidRDefault="005C7CC7"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која се може упоредити са ч</w:t>
            </w:r>
            <w:r w:rsidR="00295C9D">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41.5.</w:t>
            </w:r>
            <w:r w:rsidRPr="00487209">
              <w:rPr>
                <w:rFonts w:ascii="Times New Roman" w:hAnsi="Times New Roman" w:cs="Times New Roman"/>
                <w:sz w:val="18"/>
                <w:szCs w:val="18"/>
                <w:lang w:val="sr-Cyrl-CS"/>
              </w:rPr>
              <w:t xml:space="preserve"> Уредбе 305/2011 (ЕУ).</w:t>
            </w:r>
          </w:p>
        </w:tc>
        <w:tc>
          <w:tcPr>
            <w:tcW w:w="480" w:type="pct"/>
            <w:shd w:val="clear" w:color="auto" w:fill="auto"/>
            <w:vAlign w:val="center"/>
          </w:tcPr>
          <w:p w14:paraId="289EA8B0"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7150A1AC" w14:textId="77777777" w:rsidTr="007D5144">
        <w:trPr>
          <w:trHeight w:val="771"/>
          <w:jc w:val="center"/>
        </w:trPr>
        <w:tc>
          <w:tcPr>
            <w:tcW w:w="435" w:type="pct"/>
            <w:shd w:val="clear" w:color="auto" w:fill="auto"/>
            <w:vAlign w:val="center"/>
          </w:tcPr>
          <w:p w14:paraId="288E8B92"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41.6.</w:t>
            </w:r>
          </w:p>
        </w:tc>
        <w:tc>
          <w:tcPr>
            <w:tcW w:w="1369" w:type="pct"/>
            <w:gridSpan w:val="2"/>
            <w:shd w:val="clear" w:color="auto" w:fill="auto"/>
            <w:vAlign w:val="center"/>
          </w:tcPr>
          <w:p w14:paraId="7F8D3215"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notifying authority shall have a sufficient number of competent personnel at its disposal for the proper performance of its tasks.</w:t>
            </w:r>
          </w:p>
          <w:p w14:paraId="66C74BDC"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06B6170F"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129F4FA7"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04BF6BCD"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w:t>
            </w:r>
            <w:r w:rsidR="005C7CC7" w:rsidRPr="00487209">
              <w:rPr>
                <w:rFonts w:ascii="Times New Roman" w:hAnsi="Times New Roman" w:cs="Times New Roman"/>
                <w:sz w:val="18"/>
                <w:szCs w:val="18"/>
                <w:lang w:val="sr-Cyrl-CS"/>
              </w:rPr>
              <w:t>У</w:t>
            </w:r>
          </w:p>
        </w:tc>
        <w:tc>
          <w:tcPr>
            <w:tcW w:w="598" w:type="pct"/>
            <w:gridSpan w:val="2"/>
            <w:shd w:val="clear" w:color="auto" w:fill="auto"/>
            <w:vAlign w:val="center"/>
          </w:tcPr>
          <w:p w14:paraId="3E973871" w14:textId="382CBCC5" w:rsidR="00147811" w:rsidRPr="00487209" w:rsidRDefault="00295C9D"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Члан </w:t>
            </w:r>
            <w:r w:rsidR="00147811" w:rsidRPr="00487209">
              <w:rPr>
                <w:rFonts w:ascii="Times New Roman" w:hAnsi="Times New Roman" w:cs="Times New Roman"/>
                <w:sz w:val="18"/>
                <w:szCs w:val="18"/>
                <w:lang w:val="ru-RU"/>
              </w:rPr>
              <w:t>41.6.</w:t>
            </w:r>
            <w:r w:rsidR="00147811" w:rsidRPr="00487209">
              <w:rPr>
                <w:rFonts w:ascii="Times New Roman" w:hAnsi="Times New Roman" w:cs="Times New Roman"/>
                <w:sz w:val="18"/>
                <w:szCs w:val="18"/>
                <w:lang w:val="sr-Cyrl-CS"/>
              </w:rPr>
              <w:t xml:space="preserve"> Уредбе 305/2011 (ЕУ) није пренет, због статуса нечланице ЕУ. Потпуно усклађивање биће могуће након приступања ЕУ.</w:t>
            </w:r>
          </w:p>
        </w:tc>
        <w:tc>
          <w:tcPr>
            <w:tcW w:w="480" w:type="pct"/>
            <w:shd w:val="clear" w:color="auto" w:fill="auto"/>
            <w:vAlign w:val="center"/>
          </w:tcPr>
          <w:p w14:paraId="4A5D1DE4"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B2CF9AE" w14:textId="77777777" w:rsidTr="007D5144">
        <w:trPr>
          <w:trHeight w:val="771"/>
          <w:jc w:val="center"/>
        </w:trPr>
        <w:tc>
          <w:tcPr>
            <w:tcW w:w="435" w:type="pct"/>
            <w:shd w:val="clear" w:color="auto" w:fill="auto"/>
            <w:vAlign w:val="center"/>
          </w:tcPr>
          <w:p w14:paraId="3D572843"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42</w:t>
            </w:r>
            <w:r w:rsidR="004D47D8" w:rsidRPr="00487209">
              <w:rPr>
                <w:rFonts w:ascii="Times New Roman" w:hAnsi="Times New Roman" w:cs="Times New Roman"/>
                <w:sz w:val="18"/>
                <w:szCs w:val="18"/>
              </w:rPr>
              <w:t>.</w:t>
            </w:r>
          </w:p>
        </w:tc>
        <w:tc>
          <w:tcPr>
            <w:tcW w:w="1369" w:type="pct"/>
            <w:gridSpan w:val="2"/>
            <w:shd w:val="clear" w:color="auto" w:fill="auto"/>
            <w:vAlign w:val="center"/>
          </w:tcPr>
          <w:p w14:paraId="53B07804" w14:textId="77777777" w:rsidR="00055C7C" w:rsidRPr="00487209" w:rsidRDefault="00055C7C" w:rsidP="006C6323">
            <w:pPr>
              <w:spacing w:before="100" w:beforeAutospacing="1" w:after="100" w:afterAutospacing="1"/>
              <w:jc w:val="both"/>
              <w:rPr>
                <w:rFonts w:ascii="Times New Roman" w:hAnsi="Times New Roman" w:cs="Times New Roman"/>
                <w:sz w:val="18"/>
                <w:szCs w:val="18"/>
              </w:rPr>
            </w:pPr>
          </w:p>
          <w:p w14:paraId="33F91DF3"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 xml:space="preserve">Member States shall inform the Commission of their national procedures for the assessment and notification of bodies to be authorised to carry out third party tasks in the process of assessment and verification of constancy of </w:t>
            </w:r>
            <w:r w:rsidRPr="00487209">
              <w:rPr>
                <w:rFonts w:ascii="Times New Roman" w:hAnsi="Times New Roman" w:cs="Times New Roman"/>
                <w:sz w:val="18"/>
                <w:szCs w:val="18"/>
              </w:rPr>
              <w:lastRenderedPageBreak/>
              <w:t>performance and the monitoring of notified bodies, and of any changes thereto.</w:t>
            </w:r>
          </w:p>
          <w:p w14:paraId="2826C88A" w14:textId="5A5A930E" w:rsidR="00055C7C"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Commission shall make that information publicly available.</w:t>
            </w:r>
          </w:p>
        </w:tc>
        <w:tc>
          <w:tcPr>
            <w:tcW w:w="429" w:type="pct"/>
            <w:shd w:val="clear" w:color="auto" w:fill="auto"/>
            <w:vAlign w:val="center"/>
          </w:tcPr>
          <w:p w14:paraId="72E80EB3" w14:textId="64506376" w:rsidR="00644BD2"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01</w:t>
            </w:r>
          </w:p>
          <w:p w14:paraId="7B0494FC" w14:textId="77777777" w:rsidR="00D36C60" w:rsidRPr="00487209" w:rsidRDefault="00D36C60" w:rsidP="006C6323">
            <w:pPr>
              <w:spacing w:before="120" w:after="120"/>
              <w:jc w:val="center"/>
              <w:rPr>
                <w:rFonts w:ascii="Times New Roman" w:hAnsi="Times New Roman" w:cs="Times New Roman"/>
                <w:sz w:val="18"/>
                <w:szCs w:val="18"/>
                <w:lang w:val="sr-Cyrl-CS"/>
              </w:rPr>
            </w:pPr>
          </w:p>
          <w:p w14:paraId="4B88EE8D" w14:textId="1C01A1DC" w:rsidR="00147811" w:rsidRPr="00487209" w:rsidRDefault="00644BD2" w:rsidP="00D36C60">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D36C60">
              <w:rPr>
                <w:rFonts w:ascii="Times New Roman" w:hAnsi="Times New Roman" w:cs="Times New Roman"/>
                <w:sz w:val="18"/>
                <w:szCs w:val="18"/>
                <w:lang w:val="sr-Latn-CS"/>
              </w:rPr>
              <w:t>48</w:t>
            </w:r>
            <w:r w:rsidR="004D47D8" w:rsidRPr="00487209">
              <w:rPr>
                <w:rFonts w:ascii="Times New Roman" w:hAnsi="Times New Roman" w:cs="Times New Roman"/>
                <w:sz w:val="18"/>
                <w:szCs w:val="18"/>
                <w:lang w:val="ru-RU"/>
              </w:rPr>
              <w:t>.</w:t>
            </w:r>
          </w:p>
        </w:tc>
        <w:tc>
          <w:tcPr>
            <w:tcW w:w="1231" w:type="pct"/>
            <w:gridSpan w:val="2"/>
            <w:shd w:val="clear" w:color="auto" w:fill="auto"/>
            <w:vAlign w:val="center"/>
          </w:tcPr>
          <w:p w14:paraId="7816592C" w14:textId="25584279" w:rsidR="00147811" w:rsidRPr="00487209" w:rsidRDefault="00D36C60" w:rsidP="009C6ADA">
            <w:pPr>
              <w:spacing w:before="120"/>
              <w:ind w:right="-23"/>
              <w:jc w:val="both"/>
              <w:rPr>
                <w:rFonts w:ascii="Times New Roman" w:eastAsia="Times New Roman" w:hAnsi="Times New Roman" w:cs="Times New Roman"/>
                <w:sz w:val="18"/>
                <w:szCs w:val="18"/>
                <w:lang w:val="sr-Cyrl-CS"/>
              </w:rPr>
            </w:pPr>
            <w:r w:rsidRPr="00D36C60">
              <w:rPr>
                <w:rFonts w:ascii="Times New Roman" w:eastAsia="Times New Roman" w:hAnsi="Times New Roman" w:cs="Times New Roman"/>
                <w:sz w:val="18"/>
                <w:szCs w:val="18"/>
                <w:lang w:val="sr-Cyrl-RS"/>
              </w:rPr>
              <w:t xml:space="preserve">За обављање задатака независне треће стране у поступку оцењивања и верификације сталности перформанси у складу са хармонизованом техничком спецификацијом, именовано тело за оцењивање и верификацију сталности перформанси </w:t>
            </w:r>
            <w:r w:rsidRPr="00D36C60">
              <w:rPr>
                <w:rFonts w:ascii="Times New Roman" w:eastAsia="Times New Roman" w:hAnsi="Times New Roman" w:cs="Times New Roman"/>
                <w:sz w:val="18"/>
                <w:szCs w:val="18"/>
                <w:lang w:val="sr-Cyrl-RS"/>
              </w:rPr>
              <w:lastRenderedPageBreak/>
              <w:t>подноси органу надлежном за пријављивање, преко министарства надлежног за послове грађевинарства, захтев за пријављивање Европској Комисији и другима државама чланицама, у складу са законом којим се уређују технички захтеви за производе и оцењивање усаглашености и прописима донетим на основу тог закона.</w:t>
            </w:r>
          </w:p>
        </w:tc>
        <w:tc>
          <w:tcPr>
            <w:tcW w:w="458" w:type="pct"/>
            <w:shd w:val="clear" w:color="auto" w:fill="auto"/>
            <w:vAlign w:val="center"/>
          </w:tcPr>
          <w:p w14:paraId="0C67F3EF" w14:textId="77777777" w:rsidR="00147811" w:rsidRPr="00487209" w:rsidRDefault="007A0CD6"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ПУ</w:t>
            </w:r>
          </w:p>
        </w:tc>
        <w:tc>
          <w:tcPr>
            <w:tcW w:w="598" w:type="pct"/>
            <w:gridSpan w:val="2"/>
            <w:shd w:val="clear" w:color="auto" w:fill="auto"/>
            <w:vAlign w:val="center"/>
          </w:tcPr>
          <w:p w14:paraId="0B05D08C" w14:textId="36933EFD" w:rsidR="00147811" w:rsidRPr="00487209" w:rsidRDefault="00295C9D"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Члан </w:t>
            </w:r>
            <w:r w:rsidR="006B5468" w:rsidRPr="00487209">
              <w:rPr>
                <w:rFonts w:ascii="Times New Roman" w:hAnsi="Times New Roman" w:cs="Times New Roman"/>
                <w:sz w:val="18"/>
                <w:szCs w:val="18"/>
                <w:lang w:val="ru-RU"/>
              </w:rPr>
              <w:t>42.</w:t>
            </w:r>
            <w:r w:rsidR="006B5468" w:rsidRPr="00487209">
              <w:rPr>
                <w:rFonts w:ascii="Times New Roman" w:hAnsi="Times New Roman" w:cs="Times New Roman"/>
                <w:sz w:val="18"/>
                <w:szCs w:val="18"/>
                <w:lang w:val="sr-Cyrl-CS"/>
              </w:rPr>
              <w:t xml:space="preserve"> Уредбе 305/2011 (ЕУ) је пренет у потпуности осим у делу који се односи на обавезу Европске </w:t>
            </w:r>
            <w:r w:rsidR="006B5468" w:rsidRPr="00487209">
              <w:rPr>
                <w:rFonts w:ascii="Times New Roman" w:hAnsi="Times New Roman" w:cs="Times New Roman"/>
                <w:sz w:val="18"/>
                <w:szCs w:val="18"/>
                <w:lang w:val="sr-Cyrl-CS"/>
              </w:rPr>
              <w:lastRenderedPageBreak/>
              <w:t>комисије.</w:t>
            </w:r>
          </w:p>
        </w:tc>
        <w:tc>
          <w:tcPr>
            <w:tcW w:w="480" w:type="pct"/>
            <w:shd w:val="clear" w:color="auto" w:fill="auto"/>
            <w:vAlign w:val="center"/>
          </w:tcPr>
          <w:p w14:paraId="791E5197"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05721525" w14:textId="77777777" w:rsidTr="007D5144">
        <w:trPr>
          <w:trHeight w:val="771"/>
          <w:jc w:val="center"/>
        </w:trPr>
        <w:tc>
          <w:tcPr>
            <w:tcW w:w="435" w:type="pct"/>
            <w:shd w:val="clear" w:color="auto" w:fill="auto"/>
            <w:vAlign w:val="center"/>
          </w:tcPr>
          <w:p w14:paraId="27734A60" w14:textId="77777777" w:rsidR="00FA19D0" w:rsidRPr="00487209" w:rsidRDefault="00FA19D0"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43.1.</w:t>
            </w:r>
          </w:p>
        </w:tc>
        <w:tc>
          <w:tcPr>
            <w:tcW w:w="1369" w:type="pct"/>
            <w:gridSpan w:val="2"/>
            <w:shd w:val="clear" w:color="auto" w:fill="auto"/>
            <w:vAlign w:val="center"/>
          </w:tcPr>
          <w:p w14:paraId="0CF90744" w14:textId="77777777" w:rsidR="00FA19D0" w:rsidRPr="00487209" w:rsidRDefault="00FA19D0"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For the purposes of notification, a notified body shall meet the requirements set out in paragraphs 2 to 11.</w:t>
            </w:r>
          </w:p>
        </w:tc>
        <w:tc>
          <w:tcPr>
            <w:tcW w:w="429" w:type="pct"/>
            <w:shd w:val="clear" w:color="auto" w:fill="auto"/>
            <w:vAlign w:val="center"/>
          </w:tcPr>
          <w:p w14:paraId="48986CA2" w14:textId="77777777" w:rsidR="003257D3" w:rsidRPr="00487209" w:rsidRDefault="003257D3" w:rsidP="006C6323">
            <w:pPr>
              <w:spacing w:before="120" w:after="120"/>
              <w:ind w:firstLine="5"/>
              <w:jc w:val="center"/>
              <w:rPr>
                <w:rFonts w:ascii="Times New Roman" w:hAnsi="Times New Roman" w:cs="Times New Roman"/>
                <w:sz w:val="18"/>
                <w:szCs w:val="18"/>
                <w:lang w:val="ru-RU"/>
              </w:rPr>
            </w:pPr>
          </w:p>
          <w:p w14:paraId="1A8C4DC8" w14:textId="77777777" w:rsidR="003257D3" w:rsidRPr="00487209" w:rsidRDefault="003257D3" w:rsidP="006C6323">
            <w:pPr>
              <w:spacing w:before="120" w:after="120"/>
              <w:ind w:firstLine="5"/>
              <w:jc w:val="center"/>
              <w:rPr>
                <w:rFonts w:ascii="Times New Roman" w:hAnsi="Times New Roman" w:cs="Times New Roman"/>
                <w:sz w:val="18"/>
                <w:szCs w:val="18"/>
                <w:lang w:val="ru-RU"/>
              </w:rPr>
            </w:pPr>
          </w:p>
          <w:p w14:paraId="1390BDB6" w14:textId="77777777" w:rsidR="00644BD2" w:rsidRPr="00487209" w:rsidRDefault="003D0DBF"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05</w:t>
            </w:r>
          </w:p>
          <w:p w14:paraId="32CAB09B" w14:textId="77777777" w:rsidR="003257D3" w:rsidRPr="00487209" w:rsidRDefault="00644BD2"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3257D3" w:rsidRPr="00487209">
              <w:rPr>
                <w:rFonts w:ascii="Times New Roman" w:hAnsi="Times New Roman" w:cs="Times New Roman"/>
                <w:sz w:val="18"/>
                <w:szCs w:val="18"/>
                <w:lang w:val="ru-RU"/>
              </w:rPr>
              <w:t>38.1.</w:t>
            </w:r>
          </w:p>
          <w:p w14:paraId="24E5FAB5" w14:textId="77777777" w:rsidR="003257D3" w:rsidRPr="00487209" w:rsidRDefault="003257D3" w:rsidP="006C6323">
            <w:pPr>
              <w:spacing w:before="120" w:after="120"/>
              <w:ind w:firstLine="5"/>
              <w:jc w:val="center"/>
              <w:rPr>
                <w:rFonts w:ascii="Times New Roman" w:hAnsi="Times New Roman" w:cs="Times New Roman"/>
                <w:sz w:val="18"/>
                <w:szCs w:val="18"/>
                <w:lang w:val="ru-RU"/>
              </w:rPr>
            </w:pPr>
          </w:p>
          <w:p w14:paraId="25CFC7C6" w14:textId="77777777" w:rsidR="003257D3" w:rsidRPr="00487209" w:rsidRDefault="003257D3" w:rsidP="006C6323">
            <w:pPr>
              <w:spacing w:before="120" w:after="120"/>
              <w:ind w:firstLine="5"/>
              <w:jc w:val="center"/>
              <w:rPr>
                <w:rFonts w:ascii="Times New Roman" w:hAnsi="Times New Roman" w:cs="Times New Roman"/>
                <w:sz w:val="18"/>
                <w:szCs w:val="18"/>
                <w:lang w:val="ru-RU"/>
              </w:rPr>
            </w:pPr>
          </w:p>
          <w:p w14:paraId="2F2FBE7D" w14:textId="77777777" w:rsidR="003257D3" w:rsidRPr="00487209" w:rsidRDefault="003257D3" w:rsidP="006C6323">
            <w:pPr>
              <w:spacing w:before="120" w:after="120"/>
              <w:ind w:firstLine="5"/>
              <w:jc w:val="center"/>
              <w:rPr>
                <w:rFonts w:ascii="Times New Roman" w:hAnsi="Times New Roman" w:cs="Times New Roman"/>
                <w:sz w:val="18"/>
                <w:szCs w:val="18"/>
                <w:lang w:val="ru-RU"/>
              </w:rPr>
            </w:pPr>
          </w:p>
          <w:p w14:paraId="55AB86CB" w14:textId="77777777" w:rsidR="003257D3" w:rsidRPr="00487209" w:rsidRDefault="003257D3" w:rsidP="006C6323">
            <w:pPr>
              <w:spacing w:before="120" w:after="120"/>
              <w:ind w:firstLine="5"/>
              <w:jc w:val="center"/>
              <w:rPr>
                <w:rFonts w:ascii="Times New Roman" w:hAnsi="Times New Roman" w:cs="Times New Roman"/>
                <w:sz w:val="18"/>
                <w:szCs w:val="18"/>
                <w:lang w:val="ru-RU"/>
              </w:rPr>
            </w:pPr>
          </w:p>
          <w:p w14:paraId="305EFB3B" w14:textId="77777777" w:rsidR="003257D3" w:rsidRPr="00487209" w:rsidRDefault="003257D3" w:rsidP="006C6323">
            <w:pPr>
              <w:spacing w:before="120" w:after="120"/>
              <w:ind w:firstLine="5"/>
              <w:jc w:val="center"/>
              <w:rPr>
                <w:rFonts w:ascii="Times New Roman" w:hAnsi="Times New Roman" w:cs="Times New Roman"/>
                <w:sz w:val="18"/>
                <w:szCs w:val="18"/>
                <w:lang w:val="ru-RU"/>
              </w:rPr>
            </w:pPr>
          </w:p>
          <w:p w14:paraId="46D8C5F9" w14:textId="3186AC6F" w:rsidR="00FA19D0" w:rsidRPr="00487209" w:rsidRDefault="00CD06AF" w:rsidP="00CD06A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Latn-CS"/>
              </w:rPr>
              <w:t>39</w:t>
            </w:r>
            <w:r w:rsidR="00FA19D0" w:rsidRPr="00487209">
              <w:rPr>
                <w:rFonts w:ascii="Times New Roman" w:hAnsi="Times New Roman" w:cs="Times New Roman"/>
                <w:sz w:val="18"/>
                <w:szCs w:val="18"/>
                <w:lang w:val="ru-RU"/>
              </w:rPr>
              <w:t>.</w:t>
            </w:r>
            <w:r w:rsidRPr="00487209">
              <w:rPr>
                <w:rFonts w:ascii="Times New Roman" w:hAnsi="Times New Roman" w:cs="Times New Roman"/>
                <w:sz w:val="18"/>
                <w:szCs w:val="18"/>
                <w:lang w:val="sr-Latn-CS"/>
              </w:rPr>
              <w:t>1</w:t>
            </w:r>
            <w:r w:rsidR="00FA19D0" w:rsidRPr="00487209">
              <w:rPr>
                <w:rFonts w:ascii="Times New Roman" w:hAnsi="Times New Roman" w:cs="Times New Roman"/>
                <w:sz w:val="18"/>
                <w:szCs w:val="18"/>
                <w:lang w:val="ru-RU"/>
              </w:rPr>
              <w:t>.</w:t>
            </w:r>
          </w:p>
        </w:tc>
        <w:tc>
          <w:tcPr>
            <w:tcW w:w="1231" w:type="pct"/>
            <w:gridSpan w:val="2"/>
            <w:shd w:val="clear" w:color="auto" w:fill="auto"/>
            <w:vAlign w:val="center"/>
          </w:tcPr>
          <w:p w14:paraId="38DF6AD1" w14:textId="2E214011" w:rsidR="00CD06AF" w:rsidRPr="00487209" w:rsidRDefault="00CD06AF" w:rsidP="00CD06AF">
            <w:pPr>
              <w:spacing w:before="120"/>
              <w:ind w:right="-23"/>
              <w:jc w:val="both"/>
              <w:rPr>
                <w:rFonts w:ascii="Times New Roman" w:eastAsia="Batang" w:hAnsi="Times New Roman" w:cs="Times New Roman"/>
                <w:sz w:val="18"/>
                <w:szCs w:val="18"/>
                <w:lang w:val="sr-Latn-CS" w:eastAsia="ko-KR"/>
              </w:rPr>
            </w:pPr>
            <w:r w:rsidRPr="00487209">
              <w:rPr>
                <w:rFonts w:ascii="Times New Roman" w:eastAsia="Batang" w:hAnsi="Times New Roman" w:cs="Times New Roman"/>
                <w:sz w:val="18"/>
                <w:szCs w:val="18"/>
                <w:lang w:val="sr-Cyrl-CS" w:eastAsia="ko-KR"/>
              </w:rPr>
              <w:t>На захтев правног лица, министар надлеж</w:t>
            </w:r>
            <w:r w:rsidRPr="00487209">
              <w:rPr>
                <w:rFonts w:ascii="Times New Roman" w:eastAsia="Batang" w:hAnsi="Times New Roman" w:cs="Times New Roman"/>
                <w:sz w:val="18"/>
                <w:szCs w:val="18"/>
                <w:lang w:eastAsia="ko-KR"/>
              </w:rPr>
              <w:t>a</w:t>
            </w:r>
            <w:r w:rsidRPr="00487209">
              <w:rPr>
                <w:rFonts w:ascii="Times New Roman" w:eastAsia="Batang" w:hAnsi="Times New Roman" w:cs="Times New Roman"/>
                <w:sz w:val="18"/>
                <w:szCs w:val="18"/>
                <w:lang w:val="sr-Cyrl-CS" w:eastAsia="ko-KR"/>
              </w:rPr>
              <w:t>н за послове грађевинарства</w:t>
            </w:r>
            <w:r w:rsidRPr="00487209">
              <w:rPr>
                <w:rFonts w:ascii="Times New Roman" w:eastAsia="Batang" w:hAnsi="Times New Roman" w:cs="Times New Roman"/>
                <w:sz w:val="18"/>
                <w:szCs w:val="18"/>
                <w:lang w:val="sr-Latn-BA" w:eastAsia="ko-KR"/>
              </w:rPr>
              <w:t>,</w:t>
            </w:r>
            <w:r w:rsidRPr="00487209">
              <w:rPr>
                <w:rFonts w:ascii="Times New Roman" w:eastAsia="Batang" w:hAnsi="Times New Roman" w:cs="Times New Roman"/>
                <w:sz w:val="18"/>
                <w:szCs w:val="18"/>
                <w:lang w:val="sr-Cyrl-CS" w:eastAsia="ko-KR"/>
              </w:rPr>
              <w:t xml:space="preserve"> доноси решење о именовању тела за оцењивање и верификацију сталности перформанси којим се одобрава обављање задатака </w:t>
            </w:r>
            <w:r w:rsidR="00D36C60">
              <w:rPr>
                <w:rFonts w:ascii="Times New Roman" w:eastAsia="Batang" w:hAnsi="Times New Roman" w:cs="Times New Roman"/>
                <w:sz w:val="18"/>
                <w:szCs w:val="18"/>
                <w:lang w:val="sr-Cyrl-CS" w:eastAsia="ko-KR"/>
              </w:rPr>
              <w:t xml:space="preserve">независне </w:t>
            </w:r>
            <w:r w:rsidRPr="00487209">
              <w:rPr>
                <w:rFonts w:ascii="Times New Roman" w:eastAsia="Batang" w:hAnsi="Times New Roman" w:cs="Times New Roman"/>
                <w:sz w:val="18"/>
                <w:szCs w:val="18"/>
                <w:lang w:val="sr-Cyrl-CS" w:eastAsia="ko-KR"/>
              </w:rPr>
              <w:t xml:space="preserve">треће стране </w:t>
            </w:r>
            <w:r w:rsidRPr="00487209">
              <w:rPr>
                <w:rFonts w:ascii="Times New Roman" w:eastAsia="Batang" w:hAnsi="Times New Roman" w:cs="Times New Roman"/>
                <w:sz w:val="18"/>
                <w:szCs w:val="18"/>
                <w:lang w:val="sr-Latn-BA" w:eastAsia="ko-KR"/>
              </w:rPr>
              <w:t xml:space="preserve">у </w:t>
            </w:r>
            <w:r w:rsidRPr="00487209">
              <w:rPr>
                <w:rFonts w:ascii="Times New Roman" w:eastAsia="Batang" w:hAnsi="Times New Roman" w:cs="Times New Roman"/>
                <w:sz w:val="18"/>
                <w:szCs w:val="18"/>
                <w:lang w:val="sr-Cyrl-CS" w:eastAsia="ko-KR"/>
              </w:rPr>
              <w:t>поступку оцењивања и вериф</w:t>
            </w:r>
            <w:r w:rsidRPr="00487209">
              <w:rPr>
                <w:rFonts w:ascii="Times New Roman" w:eastAsia="Batang" w:hAnsi="Times New Roman" w:cs="Times New Roman"/>
                <w:sz w:val="18"/>
                <w:szCs w:val="18"/>
                <w:lang w:val="sr-Latn-BA" w:eastAsia="ko-KR"/>
              </w:rPr>
              <w:t>и</w:t>
            </w:r>
            <w:r w:rsidRPr="00487209">
              <w:rPr>
                <w:rFonts w:ascii="Times New Roman" w:eastAsia="Batang" w:hAnsi="Times New Roman" w:cs="Times New Roman"/>
                <w:sz w:val="18"/>
                <w:szCs w:val="18"/>
                <w:lang w:val="sr-Cyrl-CS" w:eastAsia="ko-KR"/>
              </w:rPr>
              <w:t>кације сталности перформанси грађевинског производа</w:t>
            </w:r>
            <w:r w:rsidR="00D36C60">
              <w:rPr>
                <w:rFonts w:ascii="Times New Roman" w:eastAsia="Batang" w:hAnsi="Times New Roman" w:cs="Times New Roman"/>
                <w:sz w:val="18"/>
                <w:szCs w:val="18"/>
                <w:lang w:val="sr-Cyrl-CS" w:eastAsia="ko-KR"/>
              </w:rPr>
              <w:t>.</w:t>
            </w:r>
          </w:p>
          <w:p w14:paraId="18E61788" w14:textId="77777777" w:rsidR="00FA19D0" w:rsidRPr="00487209" w:rsidRDefault="00CD06AF" w:rsidP="00CD06AF">
            <w:pPr>
              <w:spacing w:before="120"/>
              <w:ind w:right="-23"/>
              <w:jc w:val="both"/>
              <w:rPr>
                <w:rFonts w:ascii="Times New Roman" w:eastAsia="Batang" w:hAnsi="Times New Roman" w:cs="Times New Roman"/>
                <w:sz w:val="18"/>
                <w:szCs w:val="18"/>
                <w:lang w:val="sr-Cyrl-CS" w:eastAsia="ko-KR"/>
              </w:rPr>
            </w:pPr>
            <w:r w:rsidRPr="00487209">
              <w:rPr>
                <w:rFonts w:ascii="Times New Roman" w:eastAsia="Batang" w:hAnsi="Times New Roman" w:cs="Times New Roman"/>
                <w:sz w:val="18"/>
                <w:szCs w:val="18"/>
                <w:lang w:val="sr-Cyrl-CS" w:eastAsia="ko-KR"/>
              </w:rPr>
              <w:t xml:space="preserve">Именовано тело за оцењивање и верификацију сталности перформанси може да обавља задатке треће стране у поступку оцењивања и верификације сталности перформанси грађевинског производа, </w:t>
            </w:r>
            <w:r w:rsidRPr="00487209">
              <w:rPr>
                <w:rFonts w:ascii="Times New Roman" w:eastAsia="Batang" w:hAnsi="Times New Roman" w:cs="Times New Roman"/>
                <w:sz w:val="18"/>
                <w:szCs w:val="18"/>
                <w:lang w:eastAsia="ko-KR"/>
              </w:rPr>
              <w:t>a</w:t>
            </w:r>
            <w:r w:rsidRPr="00487209">
              <w:rPr>
                <w:rFonts w:ascii="Times New Roman" w:eastAsia="Batang" w:hAnsi="Times New Roman" w:cs="Times New Roman"/>
                <w:sz w:val="18"/>
                <w:szCs w:val="18"/>
                <w:lang w:val="sr-Cyrl-CS" w:eastAsia="ko-KR"/>
              </w:rPr>
              <w:t>к</w:t>
            </w:r>
            <w:r w:rsidRPr="00487209">
              <w:rPr>
                <w:rFonts w:ascii="Times New Roman" w:eastAsia="Batang" w:hAnsi="Times New Roman" w:cs="Times New Roman"/>
                <w:sz w:val="18"/>
                <w:szCs w:val="18"/>
                <w:lang w:eastAsia="ko-KR"/>
              </w:rPr>
              <w:t>o</w:t>
            </w:r>
            <w:r w:rsidRPr="00487209">
              <w:rPr>
                <w:rFonts w:ascii="Times New Roman" w:eastAsia="Batang" w:hAnsi="Times New Roman" w:cs="Times New Roman"/>
                <w:sz w:val="18"/>
                <w:szCs w:val="18"/>
                <w:lang w:val="sr-Cyrl-CS" w:eastAsia="ko-KR"/>
              </w:rPr>
              <w:t xml:space="preserve"> испуњава следеће захтеве:</w:t>
            </w:r>
          </w:p>
          <w:p w14:paraId="43B055CC" w14:textId="6E3C4313" w:rsidR="00CD06AF" w:rsidRPr="00487209" w:rsidRDefault="00CD06AF" w:rsidP="00CD06AF">
            <w:pPr>
              <w:spacing w:before="120"/>
              <w:ind w:right="-23"/>
              <w:jc w:val="both"/>
              <w:rPr>
                <w:rStyle w:val="FontStyle41"/>
                <w:rFonts w:ascii="Times New Roman" w:eastAsia="Batang" w:hAnsi="Times New Roman" w:cs="Times New Roman"/>
                <w:sz w:val="18"/>
                <w:szCs w:val="18"/>
                <w:lang w:val="sr-Latn-BA" w:eastAsia="ko-KR"/>
              </w:rPr>
            </w:pPr>
          </w:p>
        </w:tc>
        <w:tc>
          <w:tcPr>
            <w:tcW w:w="458" w:type="pct"/>
            <w:shd w:val="clear" w:color="auto" w:fill="auto"/>
            <w:vAlign w:val="center"/>
          </w:tcPr>
          <w:p w14:paraId="5ED84754" w14:textId="77777777" w:rsidR="00FA19D0" w:rsidRPr="00487209" w:rsidRDefault="00FA19D0"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2A3541A6" w14:textId="77777777" w:rsidR="00FA19D0" w:rsidRPr="00487209" w:rsidRDefault="00FA19D0"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82458DE" w14:textId="77777777" w:rsidR="00FA19D0" w:rsidRPr="00487209" w:rsidRDefault="00FA19D0" w:rsidP="006C6323">
            <w:pPr>
              <w:spacing w:before="120" w:after="120"/>
              <w:jc w:val="center"/>
              <w:rPr>
                <w:rFonts w:ascii="Times New Roman" w:hAnsi="Times New Roman" w:cs="Times New Roman"/>
                <w:sz w:val="18"/>
                <w:szCs w:val="18"/>
                <w:lang w:val="ru-RU"/>
              </w:rPr>
            </w:pPr>
          </w:p>
        </w:tc>
      </w:tr>
      <w:tr w:rsidR="00337554" w:rsidRPr="00487209" w14:paraId="38D8273B" w14:textId="77777777" w:rsidTr="007D5144">
        <w:trPr>
          <w:trHeight w:val="771"/>
          <w:jc w:val="center"/>
        </w:trPr>
        <w:tc>
          <w:tcPr>
            <w:tcW w:w="435" w:type="pct"/>
            <w:shd w:val="clear" w:color="auto" w:fill="auto"/>
            <w:vAlign w:val="center"/>
          </w:tcPr>
          <w:p w14:paraId="04A1CD6A"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43.2.</w:t>
            </w:r>
          </w:p>
        </w:tc>
        <w:tc>
          <w:tcPr>
            <w:tcW w:w="1369" w:type="pct"/>
            <w:gridSpan w:val="2"/>
            <w:shd w:val="clear" w:color="auto" w:fill="auto"/>
            <w:vAlign w:val="center"/>
          </w:tcPr>
          <w:p w14:paraId="4E520BFC"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notified body shall be established under national law and have legal personality.</w:t>
            </w:r>
          </w:p>
        </w:tc>
        <w:tc>
          <w:tcPr>
            <w:tcW w:w="429" w:type="pct"/>
            <w:shd w:val="clear" w:color="auto" w:fill="auto"/>
            <w:vAlign w:val="center"/>
          </w:tcPr>
          <w:p w14:paraId="3CA2B064" w14:textId="34F795BD" w:rsidR="00644BD2" w:rsidRPr="00487209" w:rsidRDefault="00A464B9"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t>01</w:t>
            </w:r>
          </w:p>
          <w:p w14:paraId="4855D11B" w14:textId="27C02791" w:rsidR="00147811" w:rsidRPr="00487209" w:rsidRDefault="00644BD2" w:rsidP="00CD06A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CD06AF" w:rsidRPr="00487209">
              <w:rPr>
                <w:rFonts w:ascii="Times New Roman" w:hAnsi="Times New Roman" w:cs="Times New Roman"/>
                <w:sz w:val="18"/>
                <w:szCs w:val="18"/>
                <w:lang w:val="sr-Latn-CS"/>
              </w:rPr>
              <w:t>39</w:t>
            </w:r>
            <w:r w:rsidR="00FA19D0" w:rsidRPr="00487209">
              <w:rPr>
                <w:rFonts w:ascii="Times New Roman" w:hAnsi="Times New Roman" w:cs="Times New Roman"/>
                <w:sz w:val="18"/>
                <w:szCs w:val="18"/>
                <w:lang w:val="ru-RU"/>
              </w:rPr>
              <w:t>.</w:t>
            </w:r>
            <w:r w:rsidR="00CD06AF" w:rsidRPr="00487209">
              <w:rPr>
                <w:rFonts w:ascii="Times New Roman" w:hAnsi="Times New Roman" w:cs="Times New Roman"/>
                <w:sz w:val="18"/>
                <w:szCs w:val="18"/>
                <w:lang w:val="sr-Latn-CS"/>
              </w:rPr>
              <w:t>1</w:t>
            </w:r>
            <w:r w:rsidR="00147811" w:rsidRPr="00487209">
              <w:rPr>
                <w:rFonts w:ascii="Times New Roman" w:hAnsi="Times New Roman" w:cs="Times New Roman"/>
                <w:sz w:val="18"/>
                <w:szCs w:val="18"/>
                <w:lang w:val="ru-RU"/>
              </w:rPr>
              <w:t>.1</w:t>
            </w:r>
            <w:r w:rsidR="00FA19D0" w:rsidRPr="00487209">
              <w:rPr>
                <w:rFonts w:ascii="Times New Roman" w:hAnsi="Times New Roman" w:cs="Times New Roman"/>
                <w:sz w:val="18"/>
                <w:szCs w:val="18"/>
                <w:lang w:val="ru-RU"/>
              </w:rPr>
              <w:t>)</w:t>
            </w:r>
          </w:p>
        </w:tc>
        <w:tc>
          <w:tcPr>
            <w:tcW w:w="1231" w:type="pct"/>
            <w:gridSpan w:val="2"/>
            <w:shd w:val="clear" w:color="auto" w:fill="auto"/>
            <w:vAlign w:val="center"/>
          </w:tcPr>
          <w:p w14:paraId="1F43DE6A" w14:textId="3A6E5A2C" w:rsidR="00147811" w:rsidRPr="00487209" w:rsidRDefault="00CD06AF" w:rsidP="00CD06AF">
            <w:pPr>
              <w:spacing w:before="120"/>
              <w:ind w:right="-23"/>
              <w:rPr>
                <w:rFonts w:ascii="Times New Roman" w:eastAsia="Batang" w:hAnsi="Times New Roman" w:cs="Times New Roman"/>
                <w:sz w:val="18"/>
                <w:szCs w:val="18"/>
                <w:lang w:eastAsia="ko-KR"/>
              </w:rPr>
            </w:pPr>
            <w:r w:rsidRPr="00487209">
              <w:rPr>
                <w:rFonts w:ascii="Times New Roman" w:eastAsia="Batang" w:hAnsi="Times New Roman" w:cs="Times New Roman"/>
                <w:sz w:val="18"/>
                <w:szCs w:val="18"/>
                <w:lang w:eastAsia="ko-KR"/>
              </w:rPr>
              <w:t xml:space="preserve">1) основано </w:t>
            </w:r>
            <w:r w:rsidRPr="00487209">
              <w:rPr>
                <w:rFonts w:ascii="Times New Roman" w:eastAsia="Batang" w:hAnsi="Times New Roman" w:cs="Times New Roman"/>
                <w:sz w:val="18"/>
                <w:szCs w:val="18"/>
                <w:lang w:val="sr-Latn-BA" w:eastAsia="ko-KR"/>
              </w:rPr>
              <w:t>je</w:t>
            </w:r>
            <w:r w:rsidRPr="00487209">
              <w:rPr>
                <w:rFonts w:ascii="Times New Roman" w:eastAsia="Batang" w:hAnsi="Times New Roman" w:cs="Times New Roman"/>
                <w:sz w:val="18"/>
                <w:szCs w:val="18"/>
                <w:lang w:eastAsia="ko-KR"/>
              </w:rPr>
              <w:t xml:space="preserve"> у складу са посебним</w:t>
            </w:r>
            <w:r w:rsidRPr="00487209">
              <w:rPr>
                <w:rFonts w:ascii="Times New Roman" w:eastAsia="Batang" w:hAnsi="Times New Roman" w:cs="Times New Roman"/>
                <w:sz w:val="18"/>
                <w:szCs w:val="18"/>
                <w:lang w:val="sr-Latn-BA" w:eastAsia="ko-KR"/>
              </w:rPr>
              <w:t xml:space="preserve"> </w:t>
            </w:r>
            <w:r w:rsidRPr="00487209">
              <w:rPr>
                <w:rFonts w:ascii="Times New Roman" w:eastAsia="Batang" w:hAnsi="Times New Roman" w:cs="Times New Roman"/>
                <w:sz w:val="18"/>
                <w:szCs w:val="18"/>
                <w:lang w:eastAsia="ko-KR"/>
              </w:rPr>
              <w:t>прописима и има статус правног лица;</w:t>
            </w:r>
          </w:p>
        </w:tc>
        <w:tc>
          <w:tcPr>
            <w:tcW w:w="458" w:type="pct"/>
            <w:shd w:val="clear" w:color="auto" w:fill="auto"/>
            <w:vAlign w:val="center"/>
          </w:tcPr>
          <w:p w14:paraId="09B847AD"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7DA2700A"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BB138AD"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3907B95C" w14:textId="77777777" w:rsidTr="007D5144">
        <w:trPr>
          <w:trHeight w:val="771"/>
          <w:jc w:val="center"/>
        </w:trPr>
        <w:tc>
          <w:tcPr>
            <w:tcW w:w="435" w:type="pct"/>
            <w:shd w:val="clear" w:color="auto" w:fill="auto"/>
            <w:vAlign w:val="center"/>
          </w:tcPr>
          <w:p w14:paraId="5765C8DD"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43.3.</w:t>
            </w:r>
          </w:p>
        </w:tc>
        <w:tc>
          <w:tcPr>
            <w:tcW w:w="1369" w:type="pct"/>
            <w:gridSpan w:val="2"/>
            <w:shd w:val="clear" w:color="auto" w:fill="auto"/>
            <w:vAlign w:val="center"/>
          </w:tcPr>
          <w:p w14:paraId="76D7BC98" w14:textId="77777777" w:rsidR="00055C7C" w:rsidRPr="00487209" w:rsidRDefault="00055C7C" w:rsidP="006C6323">
            <w:pPr>
              <w:spacing w:before="100" w:beforeAutospacing="1" w:after="100" w:afterAutospacing="1"/>
              <w:rPr>
                <w:rFonts w:ascii="Times New Roman" w:hAnsi="Times New Roman" w:cs="Times New Roman"/>
                <w:sz w:val="18"/>
                <w:szCs w:val="18"/>
              </w:rPr>
            </w:pPr>
          </w:p>
          <w:p w14:paraId="4D6B0C27" w14:textId="77777777" w:rsidR="00147811" w:rsidRPr="00487209" w:rsidRDefault="00147811" w:rsidP="006C6323">
            <w:pPr>
              <w:spacing w:before="100" w:beforeAutospacing="1" w:after="100" w:afterAutospacing="1"/>
              <w:rPr>
                <w:rFonts w:ascii="Times New Roman" w:hAnsi="Times New Roman" w:cs="Times New Roman"/>
                <w:sz w:val="18"/>
                <w:szCs w:val="18"/>
              </w:rPr>
            </w:pPr>
            <w:r w:rsidRPr="00487209">
              <w:rPr>
                <w:rFonts w:ascii="Times New Roman" w:hAnsi="Times New Roman" w:cs="Times New Roman"/>
                <w:sz w:val="18"/>
                <w:szCs w:val="18"/>
              </w:rPr>
              <w:t>A notified body shall be a third-party body independent from the organisation or the construction product it assesses.</w:t>
            </w:r>
          </w:p>
          <w:p w14:paraId="7D292904" w14:textId="1BA702EA" w:rsidR="00055C7C" w:rsidRPr="00487209" w:rsidRDefault="00484606" w:rsidP="006C6323">
            <w:pPr>
              <w:spacing w:before="100" w:beforeAutospacing="1" w:after="100" w:afterAutospacing="1"/>
              <w:rPr>
                <w:rFonts w:ascii="Times New Roman" w:hAnsi="Times New Roman" w:cs="Times New Roman"/>
                <w:sz w:val="18"/>
                <w:szCs w:val="18"/>
              </w:rPr>
            </w:pPr>
            <w:r w:rsidRPr="00487209">
              <w:rPr>
                <w:rFonts w:ascii="Times New Roman" w:hAnsi="Times New Roman" w:cs="Times New Roman"/>
                <w:sz w:val="18"/>
                <w:szCs w:val="18"/>
              </w:rPr>
              <w:t xml:space="preserve">A body belonging to a business association or professional federation representing </w:t>
            </w:r>
            <w:r w:rsidRPr="00487209">
              <w:rPr>
                <w:rFonts w:ascii="Times New Roman" w:hAnsi="Times New Roman" w:cs="Times New Roman"/>
                <w:sz w:val="18"/>
                <w:szCs w:val="18"/>
              </w:rPr>
              <w:lastRenderedPageBreak/>
              <w:t>undertakings involved in the design, manufacturing, provision, assembly, use or maintenance of construction products which it assesses, can on condition that its independence and the absence of any conflict of interest are demonstrated, be considered to be such a body.</w:t>
            </w:r>
          </w:p>
        </w:tc>
        <w:tc>
          <w:tcPr>
            <w:tcW w:w="429" w:type="pct"/>
            <w:shd w:val="clear" w:color="auto" w:fill="auto"/>
            <w:vAlign w:val="center"/>
          </w:tcPr>
          <w:p w14:paraId="2F176CD3" w14:textId="617DFFE9" w:rsidR="00644BD2" w:rsidRPr="00487209" w:rsidRDefault="00A464B9"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lastRenderedPageBreak/>
              <w:t>01</w:t>
            </w:r>
          </w:p>
          <w:p w14:paraId="30B6A38F" w14:textId="63653A11" w:rsidR="00147811" w:rsidRPr="00487209" w:rsidRDefault="00644BD2"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CD06AF" w:rsidRPr="00487209">
              <w:rPr>
                <w:rFonts w:ascii="Times New Roman" w:hAnsi="Times New Roman" w:cs="Times New Roman"/>
                <w:sz w:val="18"/>
                <w:szCs w:val="18"/>
                <w:lang w:val="sr-Latn-CS"/>
              </w:rPr>
              <w:t>39</w:t>
            </w:r>
            <w:r w:rsidR="00FA19D0" w:rsidRPr="00487209">
              <w:rPr>
                <w:rFonts w:ascii="Times New Roman" w:hAnsi="Times New Roman" w:cs="Times New Roman"/>
                <w:sz w:val="18"/>
                <w:szCs w:val="18"/>
                <w:lang w:val="ru-RU"/>
              </w:rPr>
              <w:t>.</w:t>
            </w:r>
            <w:r w:rsidR="00CD06AF" w:rsidRPr="00487209">
              <w:rPr>
                <w:rFonts w:ascii="Times New Roman" w:hAnsi="Times New Roman" w:cs="Times New Roman"/>
                <w:sz w:val="18"/>
                <w:szCs w:val="18"/>
                <w:lang w:val="sr-Latn-CS"/>
              </w:rPr>
              <w:t>1</w:t>
            </w:r>
            <w:r w:rsidR="00FA19D0" w:rsidRPr="00487209">
              <w:rPr>
                <w:rFonts w:ascii="Times New Roman" w:hAnsi="Times New Roman" w:cs="Times New Roman"/>
                <w:sz w:val="18"/>
                <w:szCs w:val="18"/>
                <w:lang w:val="ru-RU"/>
              </w:rPr>
              <w:t>.2)</w:t>
            </w:r>
          </w:p>
          <w:p w14:paraId="69AD74AC" w14:textId="77777777" w:rsidR="00484606" w:rsidRPr="00487209" w:rsidRDefault="00484606" w:rsidP="006C6323">
            <w:pPr>
              <w:spacing w:before="120" w:after="120"/>
              <w:ind w:firstLine="5"/>
              <w:jc w:val="center"/>
              <w:rPr>
                <w:rFonts w:ascii="Times New Roman" w:hAnsi="Times New Roman" w:cs="Times New Roman"/>
                <w:sz w:val="18"/>
                <w:szCs w:val="18"/>
                <w:lang w:val="ru-RU"/>
              </w:rPr>
            </w:pPr>
          </w:p>
          <w:p w14:paraId="3E61CE84" w14:textId="1AD6B33C" w:rsidR="00484606" w:rsidRPr="00487209" w:rsidRDefault="00CD06AF"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Latn-CS"/>
              </w:rPr>
              <w:t>39</w:t>
            </w:r>
            <w:r w:rsidRPr="00487209">
              <w:rPr>
                <w:rFonts w:ascii="Times New Roman" w:hAnsi="Times New Roman" w:cs="Times New Roman"/>
                <w:sz w:val="18"/>
                <w:szCs w:val="18"/>
                <w:lang w:val="ru-RU"/>
              </w:rPr>
              <w:t>.</w:t>
            </w:r>
            <w:r w:rsidRPr="00487209">
              <w:rPr>
                <w:rFonts w:ascii="Times New Roman" w:hAnsi="Times New Roman" w:cs="Times New Roman"/>
                <w:sz w:val="18"/>
                <w:szCs w:val="18"/>
                <w:lang w:val="sr-Latn-CS"/>
              </w:rPr>
              <w:t>1</w:t>
            </w:r>
            <w:r w:rsidRPr="00487209">
              <w:rPr>
                <w:rFonts w:ascii="Times New Roman" w:hAnsi="Times New Roman" w:cs="Times New Roman"/>
                <w:sz w:val="18"/>
                <w:szCs w:val="18"/>
                <w:lang w:val="ru-RU"/>
              </w:rPr>
              <w:t>.</w:t>
            </w:r>
            <w:r w:rsidR="00484606" w:rsidRPr="00487209">
              <w:rPr>
                <w:rFonts w:ascii="Times New Roman" w:hAnsi="Times New Roman" w:cs="Times New Roman"/>
                <w:sz w:val="18"/>
                <w:szCs w:val="18"/>
                <w:lang w:val="ru-RU"/>
              </w:rPr>
              <w:t>3)</w:t>
            </w:r>
          </w:p>
        </w:tc>
        <w:tc>
          <w:tcPr>
            <w:tcW w:w="1231" w:type="pct"/>
            <w:gridSpan w:val="2"/>
            <w:shd w:val="clear" w:color="auto" w:fill="auto"/>
            <w:vAlign w:val="center"/>
          </w:tcPr>
          <w:p w14:paraId="092142A5" w14:textId="77777777" w:rsidR="00CD06AF" w:rsidRPr="00487209" w:rsidRDefault="00CD06AF" w:rsidP="00CD06AF">
            <w:pPr>
              <w:spacing w:before="120"/>
              <w:ind w:left="200" w:right="-23" w:hanging="200"/>
              <w:jc w:val="both"/>
              <w:rPr>
                <w:rFonts w:ascii="Times New Roman" w:eastAsia="Batang" w:hAnsi="Times New Roman" w:cs="Times New Roman"/>
                <w:sz w:val="18"/>
                <w:szCs w:val="18"/>
                <w:lang w:eastAsia="ko-KR"/>
              </w:rPr>
            </w:pPr>
            <w:r w:rsidRPr="00487209">
              <w:rPr>
                <w:rFonts w:ascii="Times New Roman" w:eastAsia="Batang" w:hAnsi="Times New Roman" w:cs="Times New Roman"/>
                <w:sz w:val="18"/>
                <w:szCs w:val="18"/>
                <w:lang w:val="ru-RU" w:eastAsia="ko-KR"/>
              </w:rPr>
              <w:t>2</w:t>
            </w:r>
            <w:r w:rsidRPr="00487209">
              <w:rPr>
                <w:rFonts w:ascii="Times New Roman" w:eastAsia="Batang" w:hAnsi="Times New Roman" w:cs="Times New Roman"/>
                <w:sz w:val="18"/>
                <w:szCs w:val="18"/>
                <w:lang w:eastAsia="ko-KR"/>
              </w:rPr>
              <w:t>) представља трећу страну независну од организације коју оцењује или грађевинског производа који оцењује;</w:t>
            </w:r>
          </w:p>
          <w:p w14:paraId="5C0676A0" w14:textId="77777777" w:rsidR="00CD06AF" w:rsidRPr="00487209" w:rsidRDefault="00CD06AF" w:rsidP="00CD06AF">
            <w:pPr>
              <w:spacing w:before="120"/>
              <w:ind w:left="200" w:right="-23" w:hanging="200"/>
              <w:jc w:val="both"/>
              <w:rPr>
                <w:rFonts w:ascii="Times New Roman" w:eastAsia="Batang" w:hAnsi="Times New Roman" w:cs="Times New Roman"/>
                <w:sz w:val="18"/>
                <w:szCs w:val="18"/>
                <w:lang w:eastAsia="ko-KR"/>
              </w:rPr>
            </w:pPr>
            <w:r w:rsidRPr="00487209">
              <w:rPr>
                <w:rFonts w:ascii="Times New Roman" w:eastAsia="Batang" w:hAnsi="Times New Roman" w:cs="Times New Roman"/>
                <w:sz w:val="18"/>
                <w:szCs w:val="18"/>
                <w:lang w:eastAsia="ko-KR"/>
              </w:rPr>
              <w:t xml:space="preserve">3) независно је и не постоји сукоб интереса у случају да припада неком пословном удружењу или </w:t>
            </w:r>
            <w:r w:rsidRPr="00487209">
              <w:rPr>
                <w:rFonts w:ascii="Times New Roman" w:eastAsia="Batang" w:hAnsi="Times New Roman" w:cs="Times New Roman"/>
                <w:sz w:val="18"/>
                <w:szCs w:val="18"/>
                <w:lang w:eastAsia="ko-KR"/>
              </w:rPr>
              <w:lastRenderedPageBreak/>
              <w:t>струковном удружењу које представља правна или физичка лица укључена у пројектовање, производњу, обезбеђивање, склапање, употребу или одржавање грађевинских производа које оцењује;</w:t>
            </w:r>
          </w:p>
          <w:p w14:paraId="2CDE3A2C" w14:textId="664BE872" w:rsidR="00484606" w:rsidRPr="00487209" w:rsidRDefault="00484606" w:rsidP="006C6323">
            <w:pPr>
              <w:pStyle w:val="Style10"/>
              <w:spacing w:before="120" w:line="240" w:lineRule="auto"/>
              <w:rPr>
                <w:rFonts w:ascii="Times New Roman" w:hAnsi="Times New Roman"/>
                <w:sz w:val="18"/>
                <w:szCs w:val="18"/>
                <w:lang w:val="sr-Cyrl-CS"/>
              </w:rPr>
            </w:pPr>
          </w:p>
        </w:tc>
        <w:tc>
          <w:tcPr>
            <w:tcW w:w="458" w:type="pct"/>
            <w:shd w:val="clear" w:color="auto" w:fill="auto"/>
            <w:vAlign w:val="center"/>
          </w:tcPr>
          <w:p w14:paraId="646A84CC"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lastRenderedPageBreak/>
              <w:t>ПУ</w:t>
            </w:r>
          </w:p>
        </w:tc>
        <w:tc>
          <w:tcPr>
            <w:tcW w:w="598" w:type="pct"/>
            <w:gridSpan w:val="2"/>
            <w:shd w:val="clear" w:color="auto" w:fill="auto"/>
            <w:vAlign w:val="center"/>
          </w:tcPr>
          <w:p w14:paraId="657565A4"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3C9351E"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0CFBBB1F" w14:textId="77777777" w:rsidTr="007D5144">
        <w:trPr>
          <w:trHeight w:val="771"/>
          <w:jc w:val="center"/>
        </w:trPr>
        <w:tc>
          <w:tcPr>
            <w:tcW w:w="435" w:type="pct"/>
            <w:shd w:val="clear" w:color="auto" w:fill="auto"/>
            <w:vAlign w:val="center"/>
          </w:tcPr>
          <w:p w14:paraId="785EC2C1"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43.4.</w:t>
            </w:r>
          </w:p>
        </w:tc>
        <w:tc>
          <w:tcPr>
            <w:tcW w:w="1369" w:type="pct"/>
            <w:gridSpan w:val="2"/>
            <w:shd w:val="clear" w:color="auto" w:fill="auto"/>
            <w:vAlign w:val="center"/>
          </w:tcPr>
          <w:p w14:paraId="66625920"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notified body, its top-level management and the personnel responsible for carrying out the third party tasks in the process of assessment and verification of constancy of performance shall not be the designer, manufacturer, supplier, installer, purchaser, owner, user or maintainer of the construction products which it assesses, nor the authorised representative of any of those parties. This shall not preclude the use of assessed products that are necessary for the operations of the notified body or the use of products for personal purposes.</w:t>
            </w:r>
          </w:p>
          <w:p w14:paraId="660219EF" w14:textId="77777777" w:rsidR="00613F32" w:rsidRPr="00487209" w:rsidRDefault="00613F32"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notified body, its top-level management and the personnel responsible for carrying out the third party tasks in the process of assessment and verification of constancy of performance shall not become directly involved in the design, manufacture or construction, marketing, installation, use or maintenance of those construction products, nor represent the parties engaged in those activities. They shall not engage in any activity that may conflict with their independence of judgement and integrity related to the activities for which they have been notified. This shall, in particular, apply to consultancy services.</w:t>
            </w:r>
          </w:p>
          <w:p w14:paraId="79A9C295" w14:textId="77777777" w:rsidR="00613F32" w:rsidRPr="00487209" w:rsidRDefault="00613F32"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 xml:space="preserve">A notified body shall ensure that activities of its subsidiaries or subcontractors do not affect the confidentiality, objectivity and impartiality </w:t>
            </w:r>
            <w:r w:rsidRPr="00487209">
              <w:rPr>
                <w:rFonts w:ascii="Times New Roman" w:hAnsi="Times New Roman" w:cs="Times New Roman"/>
                <w:sz w:val="18"/>
                <w:szCs w:val="18"/>
              </w:rPr>
              <w:lastRenderedPageBreak/>
              <w:t>of its assessment and/or verification activities.</w:t>
            </w:r>
          </w:p>
          <w:p w14:paraId="009AC964"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4D2CAD29"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45FBE1B3"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6B0E733B"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24678B28"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33524696" w14:textId="36DC6DF5" w:rsidR="00644BD2" w:rsidRPr="00487209" w:rsidRDefault="00A464B9"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t>01</w:t>
            </w:r>
          </w:p>
          <w:p w14:paraId="766AC626" w14:textId="40601DD2" w:rsidR="00147811" w:rsidRPr="00487209" w:rsidRDefault="00644BD2"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A464B9" w:rsidRPr="00487209">
              <w:rPr>
                <w:rFonts w:ascii="Times New Roman" w:hAnsi="Times New Roman" w:cs="Times New Roman"/>
                <w:sz w:val="18"/>
                <w:szCs w:val="18"/>
                <w:lang w:val="sr-Latn-CS"/>
              </w:rPr>
              <w:t>39</w:t>
            </w:r>
            <w:r w:rsidR="00DA00CD" w:rsidRPr="00487209">
              <w:rPr>
                <w:rFonts w:ascii="Times New Roman" w:hAnsi="Times New Roman" w:cs="Times New Roman"/>
                <w:sz w:val="18"/>
                <w:szCs w:val="18"/>
                <w:lang w:val="ru-RU"/>
              </w:rPr>
              <w:t>.</w:t>
            </w:r>
            <w:r w:rsidR="00A464B9" w:rsidRPr="00487209">
              <w:rPr>
                <w:rFonts w:ascii="Times New Roman" w:hAnsi="Times New Roman" w:cs="Times New Roman"/>
                <w:sz w:val="18"/>
                <w:szCs w:val="18"/>
                <w:lang w:val="sr-Latn-CS"/>
              </w:rPr>
              <w:t>1</w:t>
            </w:r>
            <w:r w:rsidR="00DA00CD" w:rsidRPr="00487209">
              <w:rPr>
                <w:rFonts w:ascii="Times New Roman" w:hAnsi="Times New Roman" w:cs="Times New Roman"/>
                <w:sz w:val="18"/>
                <w:szCs w:val="18"/>
                <w:lang w:val="ru-RU"/>
              </w:rPr>
              <w:t>.4)</w:t>
            </w:r>
          </w:p>
          <w:p w14:paraId="7940A1F4"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3F91FB1C"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5E5B498C"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6F215AAB"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6DA05804"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3B5D8212"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0D53C6AE"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61F9C864"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46899399"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26F0244F"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65ADA85D"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5220E46E"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52E83856" w14:textId="34CBA4DB" w:rsidR="00644BD2" w:rsidRPr="00487209" w:rsidRDefault="00B63846"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t>01</w:t>
            </w:r>
          </w:p>
          <w:p w14:paraId="31C6160E" w14:textId="71F35FA2" w:rsidR="00613F32" w:rsidRPr="00487209" w:rsidRDefault="00644BD2"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B63846" w:rsidRPr="00487209">
              <w:rPr>
                <w:rFonts w:ascii="Times New Roman" w:hAnsi="Times New Roman" w:cs="Times New Roman"/>
                <w:sz w:val="18"/>
                <w:szCs w:val="18"/>
                <w:lang w:val="sr-Latn-CS"/>
              </w:rPr>
              <w:t>39</w:t>
            </w:r>
            <w:r w:rsidR="00B63846" w:rsidRPr="00487209">
              <w:rPr>
                <w:rFonts w:ascii="Times New Roman" w:hAnsi="Times New Roman" w:cs="Times New Roman"/>
                <w:sz w:val="18"/>
                <w:szCs w:val="18"/>
                <w:lang w:val="ru-RU"/>
              </w:rPr>
              <w:t>.1</w:t>
            </w:r>
            <w:r w:rsidR="00613F32" w:rsidRPr="00487209">
              <w:rPr>
                <w:rFonts w:ascii="Times New Roman" w:hAnsi="Times New Roman" w:cs="Times New Roman"/>
                <w:sz w:val="18"/>
                <w:szCs w:val="18"/>
                <w:lang w:val="ru-RU"/>
              </w:rPr>
              <w:t>.5)</w:t>
            </w:r>
          </w:p>
          <w:p w14:paraId="1748F69F"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6529FBF0"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16B31FA6"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70D1E7A3" w14:textId="77777777" w:rsidR="00613F32" w:rsidRPr="00487209" w:rsidRDefault="00613F32" w:rsidP="006C6323">
            <w:pPr>
              <w:spacing w:before="120" w:after="120"/>
              <w:rPr>
                <w:rFonts w:ascii="Times New Roman" w:hAnsi="Times New Roman" w:cs="Times New Roman"/>
                <w:sz w:val="18"/>
                <w:szCs w:val="18"/>
                <w:lang w:val="ru-RU"/>
              </w:rPr>
            </w:pPr>
          </w:p>
          <w:p w14:paraId="3FB04B3B"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6942E961" w14:textId="77777777" w:rsidR="00613F32" w:rsidRPr="00487209" w:rsidRDefault="00613F32" w:rsidP="006C6323">
            <w:pPr>
              <w:spacing w:before="120" w:after="120"/>
              <w:ind w:firstLine="5"/>
              <w:jc w:val="center"/>
              <w:rPr>
                <w:rFonts w:ascii="Times New Roman" w:hAnsi="Times New Roman" w:cs="Times New Roman"/>
                <w:sz w:val="18"/>
                <w:szCs w:val="18"/>
                <w:lang w:val="ru-RU"/>
              </w:rPr>
            </w:pPr>
          </w:p>
          <w:p w14:paraId="47000B00" w14:textId="1ADC7A8E" w:rsidR="00644BD2" w:rsidRPr="00487209" w:rsidRDefault="00B63846"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t>01</w:t>
            </w:r>
          </w:p>
          <w:p w14:paraId="67B2D3E4" w14:textId="046FE212" w:rsidR="00613F32" w:rsidRPr="00487209" w:rsidRDefault="00644BD2" w:rsidP="00B63846">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B63846" w:rsidRPr="00487209">
              <w:rPr>
                <w:rFonts w:ascii="Times New Roman" w:hAnsi="Times New Roman" w:cs="Times New Roman"/>
                <w:sz w:val="18"/>
                <w:szCs w:val="18"/>
                <w:lang w:val="sr-Latn-CS"/>
              </w:rPr>
              <w:t>39</w:t>
            </w:r>
            <w:r w:rsidR="00B63846" w:rsidRPr="00487209">
              <w:rPr>
                <w:rFonts w:ascii="Times New Roman" w:hAnsi="Times New Roman" w:cs="Times New Roman"/>
                <w:sz w:val="18"/>
                <w:szCs w:val="18"/>
                <w:lang w:val="ru-RU"/>
              </w:rPr>
              <w:t>.1</w:t>
            </w:r>
            <w:r w:rsidR="00613F32" w:rsidRPr="00487209">
              <w:rPr>
                <w:rFonts w:ascii="Times New Roman" w:hAnsi="Times New Roman" w:cs="Times New Roman"/>
                <w:sz w:val="18"/>
                <w:szCs w:val="18"/>
                <w:lang w:val="ru-RU"/>
              </w:rPr>
              <w:t>.6)</w:t>
            </w:r>
          </w:p>
        </w:tc>
        <w:tc>
          <w:tcPr>
            <w:tcW w:w="1231" w:type="pct"/>
            <w:gridSpan w:val="2"/>
            <w:shd w:val="clear" w:color="auto" w:fill="auto"/>
            <w:vAlign w:val="center"/>
          </w:tcPr>
          <w:p w14:paraId="5A546946" w14:textId="1FDF970D" w:rsidR="00A464B9" w:rsidRPr="00487209" w:rsidRDefault="00A464B9" w:rsidP="00A464B9">
            <w:pPr>
              <w:spacing w:before="120"/>
              <w:ind w:left="214" w:right="-23" w:hanging="214"/>
              <w:jc w:val="both"/>
              <w:rPr>
                <w:rFonts w:ascii="Times New Roman" w:eastAsia="Batang" w:hAnsi="Times New Roman" w:cs="Times New Roman"/>
                <w:sz w:val="18"/>
                <w:szCs w:val="18"/>
                <w:lang w:eastAsia="ko-KR"/>
              </w:rPr>
            </w:pPr>
            <w:r w:rsidRPr="00487209">
              <w:rPr>
                <w:rFonts w:ascii="Times New Roman" w:eastAsia="Batang" w:hAnsi="Times New Roman" w:cs="Times New Roman"/>
                <w:sz w:val="18"/>
                <w:szCs w:val="18"/>
                <w:lang w:eastAsia="ko-KR"/>
              </w:rPr>
              <w:lastRenderedPageBreak/>
              <w:t xml:space="preserve">4) његово руководство и </w:t>
            </w:r>
            <w:r w:rsidRPr="00487209">
              <w:rPr>
                <w:rFonts w:ascii="Times New Roman" w:hAnsi="Times New Roman" w:cs="Times New Roman"/>
                <w:sz w:val="18"/>
                <w:szCs w:val="18"/>
                <w:lang w:val="sr-Latn-CS"/>
              </w:rPr>
              <w:t>запослен</w:t>
            </w:r>
            <w:r w:rsidRPr="00487209">
              <w:rPr>
                <w:rFonts w:ascii="Times New Roman" w:hAnsi="Times New Roman" w:cs="Times New Roman"/>
                <w:sz w:val="18"/>
                <w:szCs w:val="18"/>
              </w:rPr>
              <w:t>а</w:t>
            </w:r>
            <w:r w:rsidRPr="00487209">
              <w:rPr>
                <w:rFonts w:ascii="Times New Roman" w:hAnsi="Times New Roman" w:cs="Times New Roman"/>
                <w:sz w:val="18"/>
                <w:szCs w:val="18"/>
                <w:lang w:val="sr-Latn-CS"/>
              </w:rPr>
              <w:t xml:space="preserve"> и друг</w:t>
            </w:r>
            <w:r w:rsidRPr="00487209">
              <w:rPr>
                <w:rFonts w:ascii="Times New Roman" w:hAnsi="Times New Roman" w:cs="Times New Roman"/>
                <w:sz w:val="18"/>
                <w:szCs w:val="18"/>
              </w:rPr>
              <w:t>а</w:t>
            </w:r>
            <w:r w:rsidRPr="00487209">
              <w:rPr>
                <w:rFonts w:ascii="Times New Roman" w:hAnsi="Times New Roman" w:cs="Times New Roman"/>
                <w:sz w:val="18"/>
                <w:szCs w:val="18"/>
                <w:lang w:val="sr-Latn-CS"/>
              </w:rPr>
              <w:t xml:space="preserve"> </w:t>
            </w:r>
            <w:r w:rsidRPr="00487209">
              <w:rPr>
                <w:rFonts w:ascii="Times New Roman" w:hAnsi="Times New Roman" w:cs="Times New Roman"/>
                <w:sz w:val="18"/>
                <w:szCs w:val="18"/>
              </w:rPr>
              <w:t xml:space="preserve">радно </w:t>
            </w:r>
            <w:r w:rsidRPr="00487209">
              <w:rPr>
                <w:rFonts w:ascii="Times New Roman" w:hAnsi="Times New Roman" w:cs="Times New Roman"/>
                <w:sz w:val="18"/>
                <w:szCs w:val="18"/>
                <w:lang w:val="sr-Latn-CS"/>
              </w:rPr>
              <w:t>ангажован</w:t>
            </w:r>
            <w:r w:rsidRPr="00487209">
              <w:rPr>
                <w:rFonts w:ascii="Times New Roman" w:hAnsi="Times New Roman" w:cs="Times New Roman"/>
                <w:sz w:val="18"/>
                <w:szCs w:val="18"/>
              </w:rPr>
              <w:t>а</w:t>
            </w:r>
            <w:r w:rsidRPr="00487209">
              <w:rPr>
                <w:rFonts w:ascii="Times New Roman" w:hAnsi="Times New Roman" w:cs="Times New Roman"/>
                <w:sz w:val="18"/>
                <w:szCs w:val="18"/>
                <w:lang w:val="sr-Latn-CS"/>
              </w:rPr>
              <w:t xml:space="preserve"> лица</w:t>
            </w:r>
            <w:r w:rsidRPr="00487209">
              <w:rPr>
                <w:rFonts w:ascii="Times New Roman" w:hAnsi="Times New Roman" w:cs="Times New Roman"/>
                <w:sz w:val="18"/>
                <w:szCs w:val="18"/>
              </w:rPr>
              <w:t xml:space="preserve">  </w:t>
            </w:r>
            <w:r w:rsidRPr="00487209">
              <w:rPr>
                <w:rFonts w:ascii="Times New Roman" w:eastAsia="Batang" w:hAnsi="Times New Roman" w:cs="Times New Roman"/>
                <w:sz w:val="18"/>
                <w:szCs w:val="18"/>
                <w:lang w:eastAsia="ko-KR"/>
              </w:rPr>
              <w:t xml:space="preserve">одговорна за обављање задатака </w:t>
            </w:r>
            <w:r w:rsidR="00D36C60">
              <w:rPr>
                <w:rFonts w:ascii="Times New Roman" w:eastAsia="Batang" w:hAnsi="Times New Roman" w:cs="Times New Roman"/>
                <w:sz w:val="18"/>
                <w:szCs w:val="18"/>
                <w:lang w:val="sr-Cyrl-CS" w:eastAsia="ko-KR"/>
              </w:rPr>
              <w:t xml:space="preserve">независне </w:t>
            </w:r>
            <w:r w:rsidRPr="00487209">
              <w:rPr>
                <w:rFonts w:ascii="Times New Roman" w:eastAsia="Batang" w:hAnsi="Times New Roman" w:cs="Times New Roman"/>
                <w:sz w:val="18"/>
                <w:szCs w:val="18"/>
                <w:lang w:eastAsia="ko-KR"/>
              </w:rPr>
              <w:t xml:space="preserve">треће стране у поступку оцењивања и верификације сталности перформанси нису пројектант, произвођач, испоручилац, </w:t>
            </w:r>
            <w:r w:rsidRPr="00487209">
              <w:rPr>
                <w:rFonts w:ascii="Times New Roman" w:eastAsia="Batang" w:hAnsi="Times New Roman" w:cs="Times New Roman"/>
                <w:sz w:val="18"/>
                <w:szCs w:val="18"/>
                <w:lang w:val="sr-Latn-BA" w:eastAsia="ko-KR"/>
              </w:rPr>
              <w:t>o</w:t>
            </w:r>
            <w:r w:rsidRPr="00487209">
              <w:rPr>
                <w:rFonts w:ascii="Times New Roman" w:eastAsia="Batang" w:hAnsi="Times New Roman" w:cs="Times New Roman"/>
                <w:sz w:val="18"/>
                <w:szCs w:val="18"/>
                <w:lang w:eastAsia="ko-KR"/>
              </w:rPr>
              <w:t>нај</w:t>
            </w:r>
            <w:r w:rsidRPr="00487209">
              <w:rPr>
                <w:rFonts w:ascii="Times New Roman" w:eastAsia="Batang" w:hAnsi="Times New Roman" w:cs="Times New Roman"/>
                <w:sz w:val="18"/>
                <w:szCs w:val="18"/>
                <w:lang w:val="sr-Latn-BA" w:eastAsia="ko-KR"/>
              </w:rPr>
              <w:t xml:space="preserve"> који уграђује</w:t>
            </w:r>
            <w:r w:rsidRPr="00487209">
              <w:rPr>
                <w:rFonts w:ascii="Times New Roman" w:eastAsia="Batang" w:hAnsi="Times New Roman" w:cs="Times New Roman"/>
                <w:sz w:val="18"/>
                <w:szCs w:val="18"/>
                <w:lang w:eastAsia="ko-KR"/>
              </w:rPr>
              <w:t>, купац, власник, корисник или онај који одржава грађевински производ које то именовано тело за оцењивање и верификацију сталности перформанси оцењује, нити заступник било које од тих страна. Овим захтевом се не искључује употреба оцењених производа који су неопходни за рад именованог тела за оцењивање и верификацију сталности перформанси или употребу производа у личне сврхе;</w:t>
            </w:r>
          </w:p>
          <w:p w14:paraId="27C89AA4" w14:textId="521B6105" w:rsidR="00B63846" w:rsidRPr="00487209" w:rsidRDefault="00B63846" w:rsidP="00B63846">
            <w:pPr>
              <w:spacing w:before="120"/>
              <w:ind w:left="151" w:right="-23" w:hanging="151"/>
              <w:rPr>
                <w:rFonts w:ascii="Times New Roman" w:eastAsia="Batang" w:hAnsi="Times New Roman" w:cs="Times New Roman"/>
                <w:sz w:val="18"/>
                <w:szCs w:val="18"/>
                <w:lang w:val="sr-Latn-BA" w:eastAsia="ko-KR"/>
              </w:rPr>
            </w:pPr>
            <w:r w:rsidRPr="00487209">
              <w:rPr>
                <w:rFonts w:ascii="Times New Roman" w:eastAsia="Batang" w:hAnsi="Times New Roman" w:cs="Times New Roman"/>
                <w:sz w:val="18"/>
                <w:szCs w:val="18"/>
                <w:lang w:eastAsia="ko-KR"/>
              </w:rPr>
              <w:t>5) његово руководство</w:t>
            </w:r>
            <w:r w:rsidR="00D36C60">
              <w:rPr>
                <w:rFonts w:ascii="Times New Roman" w:eastAsia="Batang" w:hAnsi="Times New Roman" w:cs="Times New Roman"/>
                <w:sz w:val="18"/>
                <w:szCs w:val="18"/>
                <w:lang w:val="sr-Cyrl-CS" w:eastAsia="ko-KR"/>
              </w:rPr>
              <w:t xml:space="preserve">, запослена и друга радно ангажована лица </w:t>
            </w:r>
            <w:r w:rsidRPr="00487209">
              <w:rPr>
                <w:rFonts w:ascii="Times New Roman" w:eastAsia="Batang" w:hAnsi="Times New Roman" w:cs="Times New Roman"/>
                <w:sz w:val="18"/>
                <w:szCs w:val="18"/>
                <w:lang w:eastAsia="ko-KR"/>
              </w:rPr>
              <w:t xml:space="preserve">за обављање задатака треће стране у поступку оцењивања и верификације сталности перформанси нису директно укључени у пројектовање, производњу или изградњу, пласирање, уградњу, употребу или одржавање грађевинских производа </w:t>
            </w:r>
            <w:r w:rsidRPr="00487209">
              <w:rPr>
                <w:rFonts w:ascii="Times New Roman" w:eastAsia="Batang" w:hAnsi="Times New Roman" w:cs="Times New Roman"/>
                <w:sz w:val="18"/>
                <w:szCs w:val="18"/>
                <w:lang w:val="sr-Latn-BA" w:eastAsia="ko-KR"/>
              </w:rPr>
              <w:t>које оцењује</w:t>
            </w:r>
            <w:r w:rsidRPr="00487209">
              <w:rPr>
                <w:rFonts w:ascii="Times New Roman" w:eastAsia="Batang" w:hAnsi="Times New Roman" w:cs="Times New Roman"/>
                <w:sz w:val="18"/>
                <w:szCs w:val="18"/>
                <w:lang w:eastAsia="ko-KR"/>
              </w:rPr>
              <w:t>,</w:t>
            </w:r>
            <w:r w:rsidRPr="00487209">
              <w:rPr>
                <w:rFonts w:ascii="Times New Roman" w:eastAsia="Batang" w:hAnsi="Times New Roman" w:cs="Times New Roman"/>
                <w:sz w:val="18"/>
                <w:szCs w:val="18"/>
                <w:lang w:val="sr-Latn-BA" w:eastAsia="ko-KR"/>
              </w:rPr>
              <w:t xml:space="preserve"> </w:t>
            </w:r>
            <w:r w:rsidRPr="00487209">
              <w:rPr>
                <w:rFonts w:ascii="Times New Roman" w:eastAsia="Batang" w:hAnsi="Times New Roman" w:cs="Times New Roman"/>
                <w:sz w:val="18"/>
                <w:szCs w:val="18"/>
                <w:lang w:eastAsia="ko-KR"/>
              </w:rPr>
              <w:t xml:space="preserve">нити заступају стране </w:t>
            </w:r>
            <w:r w:rsidRPr="00487209">
              <w:rPr>
                <w:rFonts w:ascii="Times New Roman" w:eastAsia="Batang" w:hAnsi="Times New Roman" w:cs="Times New Roman"/>
                <w:sz w:val="18"/>
                <w:szCs w:val="18"/>
                <w:lang w:eastAsia="ko-KR"/>
              </w:rPr>
              <w:lastRenderedPageBreak/>
              <w:t>укључене у те активности. Руководство</w:t>
            </w:r>
            <w:r w:rsidR="00D36C60">
              <w:rPr>
                <w:rFonts w:ascii="Times New Roman" w:eastAsia="Batang" w:hAnsi="Times New Roman" w:cs="Times New Roman"/>
                <w:sz w:val="18"/>
                <w:szCs w:val="18"/>
                <w:lang w:val="sr-Cyrl-CS" w:eastAsia="ko-KR"/>
              </w:rPr>
              <w:t xml:space="preserve">, запослена и друга радно ангажована лица одговорна </w:t>
            </w:r>
            <w:r w:rsidRPr="00487209">
              <w:rPr>
                <w:rFonts w:ascii="Times New Roman" w:eastAsia="Batang" w:hAnsi="Times New Roman" w:cs="Times New Roman"/>
                <w:sz w:val="18"/>
                <w:szCs w:val="18"/>
                <w:lang w:eastAsia="ko-KR"/>
              </w:rPr>
              <w:t xml:space="preserve">за обављање задатака </w:t>
            </w:r>
            <w:r w:rsidR="00D36C60">
              <w:rPr>
                <w:rFonts w:ascii="Times New Roman" w:eastAsia="Batang" w:hAnsi="Times New Roman" w:cs="Times New Roman"/>
                <w:sz w:val="18"/>
                <w:szCs w:val="18"/>
                <w:lang w:val="sr-Cyrl-CS" w:eastAsia="ko-KR"/>
              </w:rPr>
              <w:t xml:space="preserve">незавинске </w:t>
            </w:r>
            <w:r w:rsidRPr="00487209">
              <w:rPr>
                <w:rFonts w:ascii="Times New Roman" w:eastAsia="Batang" w:hAnsi="Times New Roman" w:cs="Times New Roman"/>
                <w:sz w:val="18"/>
                <w:szCs w:val="18"/>
                <w:lang w:eastAsia="ko-KR"/>
              </w:rPr>
              <w:t xml:space="preserve">треће стране не смеју бити ангажовани </w:t>
            </w:r>
            <w:r w:rsidRPr="00487209">
              <w:rPr>
                <w:rFonts w:ascii="Times New Roman" w:eastAsia="Batang" w:hAnsi="Times New Roman" w:cs="Times New Roman"/>
                <w:sz w:val="18"/>
                <w:szCs w:val="18"/>
                <w:lang w:val="sr-Latn-BA" w:eastAsia="ko-KR"/>
              </w:rPr>
              <w:t xml:space="preserve">ни </w:t>
            </w:r>
            <w:r w:rsidRPr="00487209">
              <w:rPr>
                <w:rFonts w:ascii="Times New Roman" w:eastAsia="Batang" w:hAnsi="Times New Roman" w:cs="Times New Roman"/>
                <w:sz w:val="18"/>
                <w:szCs w:val="18"/>
                <w:lang w:eastAsia="ko-KR"/>
              </w:rPr>
              <w:t xml:space="preserve">у каквој активности која може бити у сукобу са њиховом независношћу у доношењу одлука и интегритетом у вези са активностима за које су одређени решењем из </w:t>
            </w:r>
            <w:r w:rsidR="00D36C60">
              <w:rPr>
                <w:rFonts w:ascii="Times New Roman" w:eastAsia="Batang" w:hAnsi="Times New Roman" w:cs="Times New Roman"/>
                <w:sz w:val="18"/>
                <w:szCs w:val="18"/>
                <w:lang w:val="sr-Cyrl-CS" w:eastAsia="ko-KR"/>
              </w:rPr>
              <w:t xml:space="preserve">члана 38. </w:t>
            </w:r>
            <w:r w:rsidRPr="00487209">
              <w:rPr>
                <w:rFonts w:ascii="Times New Roman" w:eastAsia="Batang" w:hAnsi="Times New Roman" w:cs="Times New Roman"/>
                <w:sz w:val="18"/>
                <w:szCs w:val="18"/>
                <w:lang w:eastAsia="ko-KR"/>
              </w:rPr>
              <w:t xml:space="preserve">став 1. овог </w:t>
            </w:r>
            <w:r w:rsidR="008C74F5">
              <w:rPr>
                <w:rFonts w:ascii="Times New Roman" w:eastAsia="Batang" w:hAnsi="Times New Roman" w:cs="Times New Roman"/>
                <w:sz w:val="18"/>
                <w:szCs w:val="18"/>
                <w:lang w:val="sr-Cyrl-CS" w:eastAsia="ko-KR"/>
              </w:rPr>
              <w:t>закона</w:t>
            </w:r>
            <w:r w:rsidRPr="00487209">
              <w:rPr>
                <w:rFonts w:ascii="Times New Roman" w:eastAsia="Batang" w:hAnsi="Times New Roman" w:cs="Times New Roman"/>
                <w:sz w:val="18"/>
                <w:szCs w:val="18"/>
                <w:lang w:eastAsia="ko-KR"/>
              </w:rPr>
              <w:t xml:space="preserve">, нарочито у погледу пружања </w:t>
            </w:r>
            <w:r w:rsidRPr="00487209">
              <w:rPr>
                <w:rFonts w:ascii="Times New Roman" w:eastAsia="Batang" w:hAnsi="Times New Roman" w:cs="Times New Roman"/>
                <w:sz w:val="18"/>
                <w:szCs w:val="18"/>
                <w:lang w:val="sr-Latn-BA" w:eastAsia="ko-KR"/>
              </w:rPr>
              <w:t>консултантск</w:t>
            </w:r>
            <w:r w:rsidRPr="00487209">
              <w:rPr>
                <w:rFonts w:ascii="Times New Roman" w:eastAsia="Batang" w:hAnsi="Times New Roman" w:cs="Times New Roman"/>
                <w:sz w:val="18"/>
                <w:szCs w:val="18"/>
                <w:lang w:eastAsia="ko-KR"/>
              </w:rPr>
              <w:t>их</w:t>
            </w:r>
            <w:r w:rsidRPr="00487209">
              <w:rPr>
                <w:rFonts w:ascii="Times New Roman" w:eastAsia="Batang" w:hAnsi="Times New Roman" w:cs="Times New Roman"/>
                <w:sz w:val="18"/>
                <w:szCs w:val="18"/>
                <w:lang w:val="sr-Latn-BA" w:eastAsia="ko-KR"/>
              </w:rPr>
              <w:t xml:space="preserve"> услуг</w:t>
            </w:r>
            <w:r w:rsidRPr="00487209">
              <w:rPr>
                <w:rFonts w:ascii="Times New Roman" w:eastAsia="Batang" w:hAnsi="Times New Roman" w:cs="Times New Roman"/>
                <w:sz w:val="18"/>
                <w:szCs w:val="18"/>
                <w:lang w:eastAsia="ko-KR"/>
              </w:rPr>
              <w:t>а;</w:t>
            </w:r>
          </w:p>
          <w:p w14:paraId="1059136A" w14:textId="77777777" w:rsidR="00147811" w:rsidRPr="00487209" w:rsidRDefault="00B63846" w:rsidP="00B63846">
            <w:pPr>
              <w:spacing w:before="120"/>
              <w:ind w:left="151" w:right="-23" w:hanging="151"/>
              <w:rPr>
                <w:rFonts w:ascii="Times New Roman" w:eastAsia="Batang" w:hAnsi="Times New Roman" w:cs="Times New Roman"/>
                <w:sz w:val="18"/>
                <w:szCs w:val="18"/>
                <w:lang w:val="sr-Latn-CS" w:eastAsia="ko-KR"/>
              </w:rPr>
            </w:pPr>
            <w:r w:rsidRPr="00487209">
              <w:rPr>
                <w:rFonts w:ascii="Times New Roman" w:eastAsia="Batang" w:hAnsi="Times New Roman" w:cs="Times New Roman"/>
                <w:sz w:val="18"/>
                <w:szCs w:val="18"/>
                <w:lang w:eastAsia="ko-KR"/>
              </w:rPr>
              <w:t>6) обезбеђује да активности његових повезаних правних лица или подуговарача не утичу на поверљивост, објективност и непристрасност његових активности оцењивања и/или верификације</w:t>
            </w:r>
            <w:r w:rsidRPr="00487209">
              <w:rPr>
                <w:rFonts w:ascii="Times New Roman" w:eastAsia="Batang" w:hAnsi="Times New Roman" w:cs="Times New Roman"/>
                <w:sz w:val="18"/>
                <w:szCs w:val="18"/>
                <w:lang w:val="sr-Latn-CS" w:eastAsia="ko-KR"/>
              </w:rPr>
              <w:t>;</w:t>
            </w:r>
          </w:p>
          <w:p w14:paraId="099BC26C" w14:textId="264A6D8A" w:rsidR="00B63846" w:rsidRPr="00487209" w:rsidRDefault="00B63846" w:rsidP="00B63846">
            <w:pPr>
              <w:spacing w:before="120"/>
              <w:ind w:left="151" w:right="-23" w:hanging="151"/>
              <w:rPr>
                <w:rFonts w:ascii="Times New Roman" w:eastAsia="Batang" w:hAnsi="Times New Roman" w:cs="Times New Roman"/>
                <w:sz w:val="18"/>
                <w:szCs w:val="18"/>
                <w:lang w:val="sr-Latn-CS" w:eastAsia="ko-KR"/>
              </w:rPr>
            </w:pPr>
          </w:p>
        </w:tc>
        <w:tc>
          <w:tcPr>
            <w:tcW w:w="458" w:type="pct"/>
            <w:shd w:val="clear" w:color="auto" w:fill="auto"/>
            <w:vAlign w:val="center"/>
          </w:tcPr>
          <w:p w14:paraId="377E50DF"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lastRenderedPageBreak/>
              <w:t>ПУ</w:t>
            </w:r>
          </w:p>
        </w:tc>
        <w:tc>
          <w:tcPr>
            <w:tcW w:w="598" w:type="pct"/>
            <w:gridSpan w:val="2"/>
            <w:shd w:val="clear" w:color="auto" w:fill="auto"/>
            <w:vAlign w:val="center"/>
          </w:tcPr>
          <w:p w14:paraId="03F1583A"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CD25B0C"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40FAF518" w14:textId="77777777" w:rsidTr="007D5144">
        <w:trPr>
          <w:trHeight w:val="771"/>
          <w:jc w:val="center"/>
        </w:trPr>
        <w:tc>
          <w:tcPr>
            <w:tcW w:w="435" w:type="pct"/>
            <w:shd w:val="clear" w:color="auto" w:fill="auto"/>
            <w:vAlign w:val="center"/>
          </w:tcPr>
          <w:p w14:paraId="30464CFC"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43.5.</w:t>
            </w:r>
          </w:p>
        </w:tc>
        <w:tc>
          <w:tcPr>
            <w:tcW w:w="1369" w:type="pct"/>
            <w:gridSpan w:val="2"/>
            <w:shd w:val="clear" w:color="auto" w:fill="auto"/>
            <w:vAlign w:val="center"/>
          </w:tcPr>
          <w:p w14:paraId="14042648"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5.  A notified body and its personnel shall carry out the third party tasks in the process of assessment and verification of constancy of performance with the highest degree of professional integrity and requisite technical competence in the specific field and must be free from all pressures and inducements, particularly financial, which might influence their judgement or the results of their assessment and/or verification activities, especially from persons or groups of persons with an interest in the results of those activities.</w:t>
            </w:r>
          </w:p>
          <w:p w14:paraId="7E3D5D9C"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133D387D" w14:textId="5A2ED798" w:rsidR="003D0DBF" w:rsidRPr="00487209" w:rsidRDefault="004D3E72"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t>01</w:t>
            </w:r>
          </w:p>
          <w:p w14:paraId="2EACCEFB" w14:textId="4378D26D" w:rsidR="00147811" w:rsidRPr="00487209" w:rsidRDefault="00644BD2" w:rsidP="004D3E72">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4D3E72" w:rsidRPr="00487209">
              <w:rPr>
                <w:rFonts w:ascii="Times New Roman" w:hAnsi="Times New Roman" w:cs="Times New Roman"/>
                <w:sz w:val="18"/>
                <w:szCs w:val="18"/>
                <w:lang w:val="sr-Latn-CS"/>
              </w:rPr>
              <w:t>39</w:t>
            </w:r>
            <w:r w:rsidR="004D3E72" w:rsidRPr="00487209">
              <w:rPr>
                <w:rFonts w:ascii="Times New Roman" w:hAnsi="Times New Roman" w:cs="Times New Roman"/>
                <w:sz w:val="18"/>
                <w:szCs w:val="18"/>
                <w:lang w:val="ru-RU"/>
              </w:rPr>
              <w:t>.1</w:t>
            </w:r>
            <w:r w:rsidR="005C399E" w:rsidRPr="00487209">
              <w:rPr>
                <w:rFonts w:ascii="Times New Roman" w:hAnsi="Times New Roman" w:cs="Times New Roman"/>
                <w:sz w:val="18"/>
                <w:szCs w:val="18"/>
                <w:lang w:val="ru-RU"/>
              </w:rPr>
              <w:t>.</w:t>
            </w:r>
            <w:r w:rsidR="00147811" w:rsidRPr="00487209">
              <w:rPr>
                <w:rFonts w:ascii="Times New Roman" w:hAnsi="Times New Roman" w:cs="Times New Roman"/>
                <w:sz w:val="18"/>
                <w:szCs w:val="18"/>
                <w:lang w:val="ru-RU"/>
              </w:rPr>
              <w:t>7</w:t>
            </w:r>
            <w:r w:rsidR="005C399E" w:rsidRPr="00487209">
              <w:rPr>
                <w:rFonts w:ascii="Times New Roman" w:hAnsi="Times New Roman" w:cs="Times New Roman"/>
                <w:sz w:val="18"/>
                <w:szCs w:val="18"/>
                <w:lang w:val="ru-RU"/>
              </w:rPr>
              <w:t>)</w:t>
            </w:r>
          </w:p>
        </w:tc>
        <w:tc>
          <w:tcPr>
            <w:tcW w:w="1231" w:type="pct"/>
            <w:gridSpan w:val="2"/>
            <w:shd w:val="clear" w:color="auto" w:fill="auto"/>
            <w:vAlign w:val="center"/>
          </w:tcPr>
          <w:p w14:paraId="78837FEE" w14:textId="0DB08743" w:rsidR="00147811" w:rsidRPr="00487209" w:rsidRDefault="00D36C60" w:rsidP="00BD1E56">
            <w:pPr>
              <w:spacing w:before="120"/>
              <w:ind w:left="151" w:right="-23" w:hanging="151"/>
              <w:jc w:val="both"/>
              <w:rPr>
                <w:rFonts w:ascii="Times New Roman" w:eastAsia="Batang" w:hAnsi="Times New Roman" w:cs="Times New Roman"/>
                <w:sz w:val="18"/>
                <w:szCs w:val="18"/>
                <w:lang w:eastAsia="ko-KR"/>
              </w:rPr>
            </w:pPr>
            <w:r w:rsidRPr="00D36C60">
              <w:rPr>
                <w:rFonts w:ascii="Times New Roman" w:eastAsia="Batang" w:hAnsi="Times New Roman" w:cs="Times New Roman"/>
                <w:sz w:val="18"/>
                <w:szCs w:val="18"/>
                <w:lang w:eastAsia="ko-KR"/>
              </w:rPr>
              <w:t>7) његова запослена и друга радно ангажована лица обављају задатке независне треће стране у поступку оцењивања и верификације сталности перформанси уз највећи степен професионалног интегритета и потребне техничке стручности у одређеној области и ослобођено свих притисака и подстицаја, нарочито финансијских, који могу да утичу на њихово доношење одлука или резултате њихових активности оцењивања и/или верификације, посебно када то чине лица или групе лица која имају интерес у погледу резултата тих активности;</w:t>
            </w:r>
          </w:p>
          <w:p w14:paraId="6263F84B" w14:textId="58A2CC46" w:rsidR="004D3E72" w:rsidRPr="00487209" w:rsidRDefault="004D3E72" w:rsidP="004D3E72">
            <w:pPr>
              <w:spacing w:before="120"/>
              <w:ind w:left="151" w:right="-23" w:hanging="284"/>
              <w:jc w:val="both"/>
              <w:rPr>
                <w:rFonts w:ascii="Times New Roman" w:eastAsia="Batang" w:hAnsi="Times New Roman" w:cs="Times New Roman"/>
                <w:sz w:val="18"/>
                <w:szCs w:val="18"/>
                <w:lang w:eastAsia="ko-KR"/>
              </w:rPr>
            </w:pPr>
          </w:p>
        </w:tc>
        <w:tc>
          <w:tcPr>
            <w:tcW w:w="458" w:type="pct"/>
            <w:shd w:val="clear" w:color="auto" w:fill="auto"/>
            <w:vAlign w:val="center"/>
          </w:tcPr>
          <w:p w14:paraId="30394BEF"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2122DEE0"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1CD030D"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30F57779" w14:textId="77777777" w:rsidTr="007D5144">
        <w:trPr>
          <w:trHeight w:val="771"/>
          <w:jc w:val="center"/>
        </w:trPr>
        <w:tc>
          <w:tcPr>
            <w:tcW w:w="435" w:type="pct"/>
            <w:shd w:val="clear" w:color="auto" w:fill="auto"/>
            <w:vAlign w:val="center"/>
          </w:tcPr>
          <w:p w14:paraId="76997EB8"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43.6. (a)</w:t>
            </w:r>
          </w:p>
        </w:tc>
        <w:tc>
          <w:tcPr>
            <w:tcW w:w="1369" w:type="pct"/>
            <w:gridSpan w:val="2"/>
            <w:shd w:val="clear" w:color="auto" w:fill="auto"/>
            <w:vAlign w:val="center"/>
          </w:tcPr>
          <w:p w14:paraId="799F5359"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notified body shall be capable of carrying out all the third party tasks in the process of assessment and verification of constancy of performance assigned to it in accordance with Annex V in relation to which it has been notified, whether those tasks are carried out by the notified body itself or on its behalf and under its responsibility.</w:t>
            </w:r>
          </w:p>
          <w:p w14:paraId="704D7CEF"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At all times and for each system of assessment and verification of constancy of performance and for each kind or category of construction products, essential characteristics and tasks in relation to which it has been notified, the notified body shall have the following at its disposal:</w:t>
            </w:r>
          </w:p>
          <w:p w14:paraId="67BEC38C"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the necessary personnel with technical knowledge and sufficient and appropriate experience to perform the third party tasks in the process of assessment and verification of constancy of performance;</w:t>
            </w:r>
          </w:p>
          <w:p w14:paraId="1C60D343"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p w14:paraId="49957F6A"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57B4E73A" w14:textId="42773207" w:rsidR="00644BD2" w:rsidRPr="00487209" w:rsidRDefault="004D3E72"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t>01</w:t>
            </w:r>
          </w:p>
          <w:p w14:paraId="52179108" w14:textId="4EC39AF8" w:rsidR="00943424" w:rsidRPr="00487209" w:rsidRDefault="00644BD2"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4D3E72" w:rsidRPr="00487209">
              <w:rPr>
                <w:rFonts w:ascii="Times New Roman" w:hAnsi="Times New Roman" w:cs="Times New Roman"/>
                <w:sz w:val="18"/>
                <w:szCs w:val="18"/>
                <w:lang w:val="sr-Latn-CS"/>
              </w:rPr>
              <w:t>39</w:t>
            </w:r>
            <w:r w:rsidR="00943424" w:rsidRPr="00487209">
              <w:rPr>
                <w:rFonts w:ascii="Times New Roman" w:hAnsi="Times New Roman" w:cs="Times New Roman"/>
                <w:sz w:val="18"/>
                <w:szCs w:val="18"/>
                <w:lang w:val="ru-RU"/>
              </w:rPr>
              <w:t>.</w:t>
            </w:r>
            <w:r w:rsidR="004D3E72" w:rsidRPr="00487209">
              <w:rPr>
                <w:rFonts w:ascii="Times New Roman" w:hAnsi="Times New Roman" w:cs="Times New Roman"/>
                <w:sz w:val="18"/>
                <w:szCs w:val="18"/>
                <w:lang w:val="sr-Latn-CS"/>
              </w:rPr>
              <w:t>1</w:t>
            </w:r>
            <w:r w:rsidR="00943424" w:rsidRPr="00487209">
              <w:rPr>
                <w:rFonts w:ascii="Times New Roman" w:hAnsi="Times New Roman" w:cs="Times New Roman"/>
                <w:sz w:val="18"/>
                <w:szCs w:val="18"/>
                <w:lang w:val="ru-RU"/>
              </w:rPr>
              <w:t>.8)</w:t>
            </w:r>
          </w:p>
          <w:p w14:paraId="6D23CE7F" w14:textId="77777777" w:rsidR="00943424" w:rsidRPr="00487209" w:rsidRDefault="00943424" w:rsidP="006C6323">
            <w:pPr>
              <w:spacing w:before="120" w:after="120"/>
              <w:ind w:firstLine="5"/>
              <w:rPr>
                <w:rFonts w:ascii="Times New Roman" w:hAnsi="Times New Roman" w:cs="Times New Roman"/>
                <w:sz w:val="18"/>
                <w:szCs w:val="18"/>
                <w:lang w:val="ru-RU"/>
              </w:rPr>
            </w:pPr>
          </w:p>
          <w:p w14:paraId="11B5E23D" w14:textId="77777777" w:rsidR="00287082" w:rsidRPr="00487209" w:rsidRDefault="00287082" w:rsidP="006C6323">
            <w:pPr>
              <w:spacing w:before="120" w:after="120"/>
              <w:ind w:firstLine="5"/>
              <w:rPr>
                <w:rFonts w:ascii="Times New Roman" w:hAnsi="Times New Roman" w:cs="Times New Roman"/>
                <w:sz w:val="18"/>
                <w:szCs w:val="18"/>
                <w:lang w:val="ru-RU"/>
              </w:rPr>
            </w:pPr>
          </w:p>
          <w:p w14:paraId="09B4FAA2" w14:textId="77777777" w:rsidR="00287082" w:rsidRPr="00487209" w:rsidRDefault="00287082" w:rsidP="006C6323">
            <w:pPr>
              <w:spacing w:before="120" w:after="120"/>
              <w:ind w:firstLine="5"/>
              <w:rPr>
                <w:rFonts w:ascii="Times New Roman" w:hAnsi="Times New Roman" w:cs="Times New Roman"/>
                <w:sz w:val="18"/>
                <w:szCs w:val="18"/>
                <w:lang w:val="ru-RU"/>
              </w:rPr>
            </w:pPr>
          </w:p>
          <w:p w14:paraId="7EFFBC5D" w14:textId="77777777" w:rsidR="00287082" w:rsidRPr="00487209" w:rsidRDefault="00287082" w:rsidP="006C6323">
            <w:pPr>
              <w:spacing w:before="120" w:after="120"/>
              <w:ind w:firstLine="5"/>
              <w:rPr>
                <w:rFonts w:ascii="Times New Roman" w:hAnsi="Times New Roman" w:cs="Times New Roman"/>
                <w:sz w:val="18"/>
                <w:szCs w:val="18"/>
                <w:lang w:val="ru-RU"/>
              </w:rPr>
            </w:pPr>
          </w:p>
          <w:p w14:paraId="33EA3FBC" w14:textId="77777777" w:rsidR="00287082" w:rsidRPr="00487209" w:rsidRDefault="00287082" w:rsidP="006C6323">
            <w:pPr>
              <w:spacing w:before="120" w:after="120"/>
              <w:ind w:firstLine="5"/>
              <w:rPr>
                <w:rFonts w:ascii="Times New Roman" w:hAnsi="Times New Roman" w:cs="Times New Roman"/>
                <w:sz w:val="18"/>
                <w:szCs w:val="18"/>
                <w:lang w:val="ru-RU"/>
              </w:rPr>
            </w:pPr>
          </w:p>
          <w:p w14:paraId="3C9BE431" w14:textId="77777777" w:rsidR="00287082" w:rsidRPr="00487209" w:rsidRDefault="00287082" w:rsidP="006C6323">
            <w:pPr>
              <w:spacing w:before="120" w:after="120"/>
              <w:ind w:firstLine="5"/>
              <w:rPr>
                <w:rFonts w:ascii="Times New Roman" w:hAnsi="Times New Roman" w:cs="Times New Roman"/>
                <w:sz w:val="18"/>
                <w:szCs w:val="18"/>
                <w:lang w:val="ru-RU"/>
              </w:rPr>
            </w:pPr>
          </w:p>
          <w:p w14:paraId="438DFDEC" w14:textId="77777777" w:rsidR="00287082" w:rsidRPr="00487209" w:rsidRDefault="00287082" w:rsidP="006C6323">
            <w:pPr>
              <w:spacing w:before="120" w:after="120"/>
              <w:ind w:firstLine="5"/>
              <w:rPr>
                <w:rFonts w:ascii="Times New Roman" w:hAnsi="Times New Roman" w:cs="Times New Roman"/>
                <w:sz w:val="18"/>
                <w:szCs w:val="18"/>
                <w:lang w:val="ru-RU"/>
              </w:rPr>
            </w:pPr>
          </w:p>
          <w:p w14:paraId="39532392" w14:textId="77777777" w:rsidR="00287082" w:rsidRPr="00487209" w:rsidRDefault="00287082" w:rsidP="006C6323">
            <w:pPr>
              <w:spacing w:before="120" w:after="120"/>
              <w:ind w:firstLine="5"/>
              <w:rPr>
                <w:rFonts w:ascii="Times New Roman" w:hAnsi="Times New Roman" w:cs="Times New Roman"/>
                <w:sz w:val="18"/>
                <w:szCs w:val="18"/>
                <w:lang w:val="ru-RU"/>
              </w:rPr>
            </w:pPr>
          </w:p>
          <w:p w14:paraId="458873E7" w14:textId="5F7441CC" w:rsidR="00644BD2" w:rsidRPr="00487209" w:rsidRDefault="004D3E72"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t>01</w:t>
            </w:r>
          </w:p>
          <w:p w14:paraId="1ED332EC" w14:textId="4C16FFC3" w:rsidR="00147811" w:rsidRPr="00487209" w:rsidRDefault="00644BD2" w:rsidP="004D3E72">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4D3E72" w:rsidRPr="00487209">
              <w:rPr>
                <w:rFonts w:ascii="Times New Roman" w:hAnsi="Times New Roman" w:cs="Times New Roman"/>
                <w:sz w:val="18"/>
                <w:szCs w:val="18"/>
                <w:lang w:val="sr-Latn-CS"/>
              </w:rPr>
              <w:t>39</w:t>
            </w:r>
            <w:r w:rsidR="00943424" w:rsidRPr="00487209">
              <w:rPr>
                <w:rFonts w:ascii="Times New Roman" w:hAnsi="Times New Roman" w:cs="Times New Roman"/>
                <w:sz w:val="18"/>
                <w:szCs w:val="18"/>
                <w:lang w:val="ru-RU"/>
              </w:rPr>
              <w:t>.</w:t>
            </w:r>
            <w:r w:rsidR="004D3E72" w:rsidRPr="00487209">
              <w:rPr>
                <w:rFonts w:ascii="Times New Roman" w:hAnsi="Times New Roman" w:cs="Times New Roman"/>
                <w:sz w:val="18"/>
                <w:szCs w:val="18"/>
                <w:lang w:val="sr-Latn-CS"/>
              </w:rPr>
              <w:t>2</w:t>
            </w:r>
            <w:r w:rsidR="00943424" w:rsidRPr="00487209">
              <w:rPr>
                <w:rFonts w:ascii="Times New Roman" w:hAnsi="Times New Roman" w:cs="Times New Roman"/>
                <w:sz w:val="18"/>
                <w:szCs w:val="18"/>
                <w:lang w:val="ru-RU"/>
              </w:rPr>
              <w:t>.</w:t>
            </w:r>
            <w:r w:rsidR="009C0C23" w:rsidRPr="00487209">
              <w:rPr>
                <w:rFonts w:ascii="Times New Roman" w:hAnsi="Times New Roman" w:cs="Times New Roman"/>
                <w:sz w:val="18"/>
                <w:szCs w:val="18"/>
                <w:lang w:val="ru-RU"/>
              </w:rPr>
              <w:t>1</w:t>
            </w:r>
            <w:r w:rsidR="00943424" w:rsidRPr="00487209">
              <w:rPr>
                <w:rFonts w:ascii="Times New Roman" w:hAnsi="Times New Roman" w:cs="Times New Roman"/>
                <w:sz w:val="18"/>
                <w:szCs w:val="18"/>
                <w:lang w:val="ru-RU"/>
              </w:rPr>
              <w:t>)</w:t>
            </w:r>
          </w:p>
        </w:tc>
        <w:tc>
          <w:tcPr>
            <w:tcW w:w="1231" w:type="pct"/>
            <w:gridSpan w:val="2"/>
            <w:shd w:val="clear" w:color="auto" w:fill="auto"/>
            <w:vAlign w:val="center"/>
          </w:tcPr>
          <w:p w14:paraId="2203EECA" w14:textId="7F65D0BC" w:rsidR="00D36C60" w:rsidRDefault="00D36C60" w:rsidP="004D3E72">
            <w:pPr>
              <w:spacing w:before="120"/>
              <w:ind w:right="-23"/>
              <w:jc w:val="both"/>
              <w:rPr>
                <w:rFonts w:ascii="Times New Roman" w:eastAsia="Batang" w:hAnsi="Times New Roman" w:cs="Times New Roman"/>
                <w:sz w:val="18"/>
                <w:szCs w:val="18"/>
                <w:lang w:eastAsia="ko-KR"/>
              </w:rPr>
            </w:pPr>
            <w:r w:rsidRPr="00D36C60">
              <w:rPr>
                <w:rFonts w:ascii="Times New Roman" w:eastAsia="Batang" w:hAnsi="Times New Roman" w:cs="Times New Roman"/>
                <w:sz w:val="18"/>
                <w:szCs w:val="18"/>
                <w:lang w:eastAsia="ko-KR"/>
              </w:rPr>
              <w:t xml:space="preserve">8) има капацитет да обавља све задатке независне треће стране у поступку оцењивања и верификације сталности перформанси грађевинског производа, за које је поднео захтев из члана 38. став 1. овог </w:t>
            </w:r>
            <w:r w:rsidR="008C74F5">
              <w:rPr>
                <w:rFonts w:ascii="Times New Roman" w:eastAsia="Batang" w:hAnsi="Times New Roman" w:cs="Times New Roman"/>
                <w:sz w:val="18"/>
                <w:szCs w:val="18"/>
                <w:lang w:val="sr-Cyrl-CS" w:eastAsia="ko-KR"/>
              </w:rPr>
              <w:t>закона</w:t>
            </w:r>
            <w:r w:rsidRPr="00D36C60">
              <w:rPr>
                <w:rFonts w:ascii="Times New Roman" w:eastAsia="Batang" w:hAnsi="Times New Roman" w:cs="Times New Roman"/>
                <w:sz w:val="18"/>
                <w:szCs w:val="18"/>
                <w:lang w:eastAsia="ko-KR"/>
              </w:rPr>
              <w:t xml:space="preserve">; </w:t>
            </w:r>
          </w:p>
          <w:p w14:paraId="7183631C" w14:textId="551F84DE" w:rsidR="004D3E72" w:rsidRPr="00487209" w:rsidRDefault="004D3E72" w:rsidP="004D3E72">
            <w:pPr>
              <w:spacing w:before="120"/>
              <w:ind w:right="-23"/>
              <w:jc w:val="both"/>
              <w:rPr>
                <w:rFonts w:ascii="Times New Roman" w:eastAsia="Batang" w:hAnsi="Times New Roman" w:cs="Times New Roman"/>
                <w:sz w:val="18"/>
                <w:szCs w:val="18"/>
                <w:lang w:eastAsia="ko-KR"/>
              </w:rPr>
            </w:pPr>
            <w:r w:rsidRPr="00487209">
              <w:rPr>
                <w:rFonts w:ascii="Times New Roman" w:eastAsia="Batang" w:hAnsi="Times New Roman" w:cs="Times New Roman"/>
                <w:sz w:val="18"/>
                <w:szCs w:val="18"/>
                <w:lang w:eastAsia="ko-KR"/>
              </w:rPr>
              <w:t xml:space="preserve">Именовано тело за оцењивање и верификацију сталности перформанси дужно је да у сваком тренутку и за сваки систем оцењивања и верификације сталности перформанси и за сваку врсту или категорију грађевинских производа за коју су технички захтеви утврђени техничком спецификацијом или техничким прописом, а у вези са битним карактеристикама и задацима за које је издато </w:t>
            </w:r>
            <w:r w:rsidRPr="00487209">
              <w:rPr>
                <w:rFonts w:ascii="Times New Roman" w:eastAsia="Batang" w:hAnsi="Times New Roman" w:cs="Times New Roman"/>
                <w:sz w:val="18"/>
                <w:szCs w:val="18"/>
                <w:lang w:val="sr-Latn-BA" w:eastAsia="ko-KR"/>
              </w:rPr>
              <w:t xml:space="preserve">решење из </w:t>
            </w:r>
            <w:r w:rsidRPr="00487209">
              <w:rPr>
                <w:rFonts w:ascii="Times New Roman" w:eastAsia="Batang" w:hAnsi="Times New Roman" w:cs="Times New Roman"/>
                <w:sz w:val="18"/>
                <w:szCs w:val="18"/>
                <w:lang w:eastAsia="ko-KR"/>
              </w:rPr>
              <w:t xml:space="preserve">става </w:t>
            </w:r>
            <w:r w:rsidRPr="00487209">
              <w:rPr>
                <w:rFonts w:ascii="Times New Roman" w:eastAsia="Batang" w:hAnsi="Times New Roman" w:cs="Times New Roman"/>
                <w:sz w:val="18"/>
                <w:szCs w:val="18"/>
                <w:lang w:val="sr-Latn-BA" w:eastAsia="ko-KR"/>
              </w:rPr>
              <w:t>1.</w:t>
            </w:r>
            <w:r w:rsidRPr="00487209">
              <w:rPr>
                <w:rFonts w:ascii="Times New Roman" w:eastAsia="Batang" w:hAnsi="Times New Roman" w:cs="Times New Roman"/>
                <w:sz w:val="18"/>
                <w:szCs w:val="18"/>
                <w:lang w:eastAsia="ko-KR"/>
              </w:rPr>
              <w:t xml:space="preserve"> овог члана, има на располагању следеће: </w:t>
            </w:r>
          </w:p>
          <w:p w14:paraId="4221855A" w14:textId="42354161" w:rsidR="00147811" w:rsidRPr="00487209" w:rsidRDefault="004D3E72" w:rsidP="004D3E72">
            <w:pPr>
              <w:numPr>
                <w:ilvl w:val="0"/>
                <w:numId w:val="35"/>
              </w:numPr>
              <w:spacing w:before="120"/>
              <w:ind w:left="434" w:right="-23"/>
              <w:jc w:val="both"/>
              <w:rPr>
                <w:rFonts w:ascii="Times New Roman" w:eastAsia="Batang" w:hAnsi="Times New Roman" w:cs="Times New Roman"/>
                <w:sz w:val="18"/>
                <w:szCs w:val="18"/>
                <w:lang w:eastAsia="ko-KR"/>
              </w:rPr>
            </w:pPr>
            <w:r w:rsidRPr="00487209">
              <w:rPr>
                <w:rFonts w:ascii="Times New Roman" w:eastAsia="Batang" w:hAnsi="Times New Roman" w:cs="Times New Roman"/>
                <w:sz w:val="18"/>
                <w:szCs w:val="18"/>
                <w:lang w:eastAsia="ko-KR"/>
              </w:rPr>
              <w:t>неопходно особље са стручним знањем и довољно одговарајућег искуства за обављање задатака треће стране у поступку оцењивања и верификације сталности перформанси;</w:t>
            </w:r>
          </w:p>
        </w:tc>
        <w:tc>
          <w:tcPr>
            <w:tcW w:w="458" w:type="pct"/>
            <w:shd w:val="clear" w:color="auto" w:fill="auto"/>
            <w:vAlign w:val="center"/>
          </w:tcPr>
          <w:p w14:paraId="1B05ACC8"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43C23B63"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0D6D30CA"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41A88D5E" w14:textId="77777777" w:rsidTr="007D5144">
        <w:trPr>
          <w:trHeight w:val="771"/>
          <w:jc w:val="center"/>
        </w:trPr>
        <w:tc>
          <w:tcPr>
            <w:tcW w:w="435" w:type="pct"/>
            <w:shd w:val="clear" w:color="auto" w:fill="auto"/>
            <w:vAlign w:val="center"/>
          </w:tcPr>
          <w:p w14:paraId="53F51860"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43.6. (b)</w:t>
            </w:r>
          </w:p>
        </w:tc>
        <w:tc>
          <w:tcPr>
            <w:tcW w:w="1369" w:type="pct"/>
            <w:gridSpan w:val="2"/>
            <w:shd w:val="clear" w:color="auto" w:fill="auto"/>
            <w:vAlign w:val="center"/>
          </w:tcPr>
          <w:p w14:paraId="7CB4F649"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(b) the necessary description of procedures according to which the assessment of performance is carried out, ensuring the transparency and the ability of reproduction of these procedures; it shall have appropriate policies and procedures in place that distinguish between the tasks it carries out as a notified body and other activities;</w:t>
            </w:r>
          </w:p>
        </w:tc>
        <w:tc>
          <w:tcPr>
            <w:tcW w:w="429" w:type="pct"/>
            <w:shd w:val="clear" w:color="auto" w:fill="auto"/>
            <w:vAlign w:val="center"/>
          </w:tcPr>
          <w:p w14:paraId="45593F70" w14:textId="1950A289" w:rsidR="00644BD2" w:rsidRPr="00487209" w:rsidRDefault="004D3E72"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t>01</w:t>
            </w:r>
          </w:p>
          <w:p w14:paraId="0BE37B57" w14:textId="46C83150" w:rsidR="00147811" w:rsidRPr="00487209" w:rsidRDefault="00644BD2" w:rsidP="004D3E72">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4D3E72" w:rsidRPr="00487209">
              <w:rPr>
                <w:rFonts w:ascii="Times New Roman" w:hAnsi="Times New Roman" w:cs="Times New Roman"/>
                <w:sz w:val="18"/>
                <w:szCs w:val="18"/>
                <w:lang w:val="sr-Latn-CS"/>
              </w:rPr>
              <w:t>39</w:t>
            </w:r>
            <w:r w:rsidR="004D3E72" w:rsidRPr="00487209">
              <w:rPr>
                <w:rFonts w:ascii="Times New Roman" w:hAnsi="Times New Roman" w:cs="Times New Roman"/>
                <w:sz w:val="18"/>
                <w:szCs w:val="18"/>
                <w:lang w:val="ru-RU"/>
              </w:rPr>
              <w:t>.2</w:t>
            </w:r>
            <w:r w:rsidR="00E763F8" w:rsidRPr="00487209">
              <w:rPr>
                <w:rFonts w:ascii="Times New Roman" w:hAnsi="Times New Roman" w:cs="Times New Roman"/>
                <w:sz w:val="18"/>
                <w:szCs w:val="18"/>
                <w:lang w:val="ru-RU"/>
              </w:rPr>
              <w:t>.2.)</w:t>
            </w:r>
          </w:p>
        </w:tc>
        <w:tc>
          <w:tcPr>
            <w:tcW w:w="1231" w:type="pct"/>
            <w:gridSpan w:val="2"/>
            <w:shd w:val="clear" w:color="auto" w:fill="auto"/>
            <w:vAlign w:val="center"/>
          </w:tcPr>
          <w:p w14:paraId="69AEC726" w14:textId="1BECCF40" w:rsidR="004D3E72" w:rsidRPr="00487209" w:rsidRDefault="004D3E72" w:rsidP="00BD1E56">
            <w:pPr>
              <w:pStyle w:val="ListParagraph"/>
              <w:numPr>
                <w:ilvl w:val="0"/>
                <w:numId w:val="35"/>
              </w:numPr>
              <w:spacing w:before="120"/>
              <w:ind w:left="292" w:right="-23" w:hanging="255"/>
              <w:jc w:val="both"/>
              <w:rPr>
                <w:rFonts w:eastAsia="Batang"/>
                <w:sz w:val="18"/>
                <w:szCs w:val="18"/>
                <w:lang w:eastAsia="ko-KR"/>
              </w:rPr>
            </w:pPr>
            <w:r w:rsidRPr="00487209">
              <w:rPr>
                <w:rFonts w:eastAsia="Batang"/>
                <w:sz w:val="18"/>
                <w:szCs w:val="18"/>
                <w:lang w:eastAsia="ko-KR"/>
              </w:rPr>
              <w:t>неопходан опис поступака у складу са којима се обавља оцењивање перформанси, а којима се осигурава транспарентност и могућност поновног обављања тих поступака; успостављене одговарајуће политике и поступке којима се могу разграничити задаци које обавља као именовано тело за оцењивање и верификацију сталности перформанси и друге активности;</w:t>
            </w:r>
          </w:p>
          <w:p w14:paraId="525DCDBD"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73AAB3A8"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76BB38BA"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077C2BCA"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6016439" w14:textId="77777777" w:rsidTr="007D5144">
        <w:trPr>
          <w:trHeight w:val="771"/>
          <w:jc w:val="center"/>
        </w:trPr>
        <w:tc>
          <w:tcPr>
            <w:tcW w:w="435" w:type="pct"/>
            <w:shd w:val="clear" w:color="auto" w:fill="auto"/>
            <w:vAlign w:val="center"/>
          </w:tcPr>
          <w:p w14:paraId="7A4436B2"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43.6.(c)</w:t>
            </w:r>
          </w:p>
        </w:tc>
        <w:tc>
          <w:tcPr>
            <w:tcW w:w="1369" w:type="pct"/>
            <w:gridSpan w:val="2"/>
            <w:shd w:val="clear" w:color="auto" w:fill="auto"/>
            <w:vAlign w:val="center"/>
          </w:tcPr>
          <w:p w14:paraId="25F34BEB"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(c) the necessary procedures to perform its activities which take due account of the size of an undertaking, the sector in which it operates, its structure, the degree of complexity of the product technology in question and the mass or serial nature of the production process.</w:t>
            </w:r>
          </w:p>
          <w:p w14:paraId="01B43697"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notified body shall have the means necessary to perform the technical and administrative tasks connected with the activities for which it is notified in an appropriate manner and shall have access to all necessary equipment or facilities.</w:t>
            </w:r>
          </w:p>
          <w:p w14:paraId="799EE584"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5FD7EEAB" w14:textId="07D59CA4" w:rsidR="00644BD2" w:rsidRPr="00487209" w:rsidRDefault="004D3E72"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t>01</w:t>
            </w:r>
          </w:p>
          <w:p w14:paraId="79EBEE4F" w14:textId="63827C9F" w:rsidR="00147811" w:rsidRPr="00487209" w:rsidRDefault="00644BD2"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4D3E72" w:rsidRPr="00487209">
              <w:rPr>
                <w:rFonts w:ascii="Times New Roman" w:hAnsi="Times New Roman" w:cs="Times New Roman"/>
                <w:sz w:val="18"/>
                <w:szCs w:val="18"/>
                <w:lang w:val="sr-Latn-CS"/>
              </w:rPr>
              <w:t>39</w:t>
            </w:r>
            <w:r w:rsidR="000E362E" w:rsidRPr="00487209">
              <w:rPr>
                <w:rFonts w:ascii="Times New Roman" w:hAnsi="Times New Roman" w:cs="Times New Roman"/>
                <w:sz w:val="18"/>
                <w:szCs w:val="18"/>
                <w:lang w:val="ru-RU"/>
              </w:rPr>
              <w:t>.</w:t>
            </w:r>
            <w:r w:rsidR="004D3E72" w:rsidRPr="00487209">
              <w:rPr>
                <w:rFonts w:ascii="Times New Roman" w:hAnsi="Times New Roman" w:cs="Times New Roman"/>
                <w:sz w:val="18"/>
                <w:szCs w:val="18"/>
                <w:lang w:val="sr-Latn-CS"/>
              </w:rPr>
              <w:t>2</w:t>
            </w:r>
            <w:r w:rsidR="000E362E" w:rsidRPr="00487209">
              <w:rPr>
                <w:rFonts w:ascii="Times New Roman" w:hAnsi="Times New Roman" w:cs="Times New Roman"/>
                <w:sz w:val="18"/>
                <w:szCs w:val="18"/>
                <w:lang w:val="ru-RU"/>
              </w:rPr>
              <w:t>.3.)</w:t>
            </w:r>
          </w:p>
          <w:p w14:paraId="6B2244E2" w14:textId="77777777" w:rsidR="00147811" w:rsidRPr="00487209" w:rsidRDefault="00147811" w:rsidP="006C6323">
            <w:pPr>
              <w:spacing w:before="120" w:after="120"/>
              <w:ind w:firstLine="5"/>
              <w:rPr>
                <w:rFonts w:ascii="Times New Roman" w:hAnsi="Times New Roman" w:cs="Times New Roman"/>
                <w:sz w:val="18"/>
                <w:szCs w:val="18"/>
                <w:lang w:val="ru-RU"/>
              </w:rPr>
            </w:pPr>
          </w:p>
          <w:p w14:paraId="1CB9796E" w14:textId="77777777" w:rsidR="00147811" w:rsidRPr="00487209" w:rsidRDefault="00147811" w:rsidP="006C6323">
            <w:pPr>
              <w:spacing w:before="120" w:after="120"/>
              <w:ind w:firstLine="5"/>
              <w:rPr>
                <w:rFonts w:ascii="Times New Roman" w:hAnsi="Times New Roman" w:cs="Times New Roman"/>
                <w:sz w:val="18"/>
                <w:szCs w:val="18"/>
                <w:lang w:val="ru-RU"/>
              </w:rPr>
            </w:pPr>
          </w:p>
          <w:p w14:paraId="12743706" w14:textId="77777777" w:rsidR="00147811" w:rsidRPr="00487209" w:rsidRDefault="00147811" w:rsidP="006C6323">
            <w:pPr>
              <w:spacing w:before="120" w:after="120"/>
              <w:ind w:firstLine="5"/>
              <w:rPr>
                <w:rFonts w:ascii="Times New Roman" w:hAnsi="Times New Roman" w:cs="Times New Roman"/>
                <w:sz w:val="18"/>
                <w:szCs w:val="18"/>
                <w:lang w:val="ru-RU"/>
              </w:rPr>
            </w:pPr>
          </w:p>
          <w:p w14:paraId="0F6F8E4A" w14:textId="77777777" w:rsidR="000E362E" w:rsidRPr="00487209" w:rsidRDefault="000E362E" w:rsidP="006C6323">
            <w:pPr>
              <w:spacing w:before="120" w:after="120"/>
              <w:ind w:firstLine="5"/>
              <w:jc w:val="center"/>
              <w:rPr>
                <w:rFonts w:ascii="Times New Roman" w:hAnsi="Times New Roman" w:cs="Times New Roman"/>
                <w:sz w:val="18"/>
                <w:szCs w:val="18"/>
                <w:lang w:val="ru-RU"/>
              </w:rPr>
            </w:pPr>
          </w:p>
          <w:p w14:paraId="45B26DB2" w14:textId="77777777" w:rsidR="000E362E" w:rsidRPr="00487209" w:rsidRDefault="000E362E" w:rsidP="006C6323">
            <w:pPr>
              <w:spacing w:before="120" w:after="120"/>
              <w:ind w:firstLine="5"/>
              <w:jc w:val="center"/>
              <w:rPr>
                <w:rFonts w:ascii="Times New Roman" w:hAnsi="Times New Roman" w:cs="Times New Roman"/>
                <w:sz w:val="18"/>
                <w:szCs w:val="18"/>
                <w:lang w:val="ru-RU"/>
              </w:rPr>
            </w:pPr>
          </w:p>
          <w:p w14:paraId="69272412" w14:textId="77777777" w:rsidR="000E362E" w:rsidRPr="00487209" w:rsidRDefault="000E362E" w:rsidP="006C6323">
            <w:pPr>
              <w:spacing w:before="120" w:after="120"/>
              <w:ind w:firstLine="5"/>
              <w:jc w:val="center"/>
              <w:rPr>
                <w:rFonts w:ascii="Times New Roman" w:hAnsi="Times New Roman" w:cs="Times New Roman"/>
                <w:sz w:val="18"/>
                <w:szCs w:val="18"/>
                <w:lang w:val="ru-RU"/>
              </w:rPr>
            </w:pPr>
          </w:p>
          <w:p w14:paraId="1D9FC1A6" w14:textId="77777777" w:rsidR="000E362E" w:rsidRPr="00487209" w:rsidRDefault="000E362E" w:rsidP="006C6323">
            <w:pPr>
              <w:spacing w:before="120" w:after="120"/>
              <w:ind w:firstLine="5"/>
              <w:jc w:val="center"/>
              <w:rPr>
                <w:rFonts w:ascii="Times New Roman" w:hAnsi="Times New Roman" w:cs="Times New Roman"/>
                <w:sz w:val="18"/>
                <w:szCs w:val="18"/>
                <w:lang w:val="ru-RU"/>
              </w:rPr>
            </w:pPr>
          </w:p>
          <w:p w14:paraId="14D4C17E" w14:textId="77777777" w:rsidR="000E362E" w:rsidRPr="00487209" w:rsidRDefault="000E362E" w:rsidP="006C6323">
            <w:pPr>
              <w:spacing w:before="120" w:after="120"/>
              <w:ind w:firstLine="5"/>
              <w:jc w:val="center"/>
              <w:rPr>
                <w:rFonts w:ascii="Times New Roman" w:hAnsi="Times New Roman" w:cs="Times New Roman"/>
                <w:sz w:val="18"/>
                <w:szCs w:val="18"/>
                <w:lang w:val="ru-RU"/>
              </w:rPr>
            </w:pPr>
          </w:p>
          <w:p w14:paraId="410FBD7D" w14:textId="14C5A693" w:rsidR="00147811" w:rsidRPr="00487209" w:rsidRDefault="004D3E72"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Latn-CS"/>
              </w:rPr>
              <w:t>39</w:t>
            </w:r>
            <w:r w:rsidR="000E362E" w:rsidRPr="00487209">
              <w:rPr>
                <w:rFonts w:ascii="Times New Roman" w:hAnsi="Times New Roman" w:cs="Times New Roman"/>
                <w:sz w:val="18"/>
                <w:szCs w:val="18"/>
                <w:lang w:val="ru-RU"/>
              </w:rPr>
              <w:t>.</w:t>
            </w:r>
            <w:r w:rsidRPr="00487209">
              <w:rPr>
                <w:rFonts w:ascii="Times New Roman" w:hAnsi="Times New Roman" w:cs="Times New Roman"/>
                <w:sz w:val="18"/>
                <w:szCs w:val="18"/>
                <w:lang w:val="sr-Latn-CS"/>
              </w:rPr>
              <w:t>3</w:t>
            </w:r>
            <w:r w:rsidR="000E362E" w:rsidRPr="00487209">
              <w:rPr>
                <w:rFonts w:ascii="Times New Roman" w:hAnsi="Times New Roman" w:cs="Times New Roman"/>
                <w:sz w:val="18"/>
                <w:szCs w:val="18"/>
                <w:lang w:val="ru-RU"/>
              </w:rPr>
              <w:t>.</w:t>
            </w:r>
          </w:p>
          <w:p w14:paraId="13E53F87"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50DAC78C" w14:textId="2B0ACF7B" w:rsidR="004D3E72" w:rsidRPr="00487209" w:rsidRDefault="004D3E72" w:rsidP="00BD1E56">
            <w:pPr>
              <w:pStyle w:val="ListParagraph"/>
              <w:numPr>
                <w:ilvl w:val="0"/>
                <w:numId w:val="35"/>
              </w:numPr>
              <w:spacing w:before="120"/>
              <w:ind w:left="292" w:right="-23" w:hanging="255"/>
              <w:jc w:val="both"/>
              <w:rPr>
                <w:rFonts w:eastAsia="Batang"/>
                <w:sz w:val="18"/>
                <w:szCs w:val="18"/>
                <w:lang w:eastAsia="ko-KR"/>
              </w:rPr>
            </w:pPr>
            <w:r w:rsidRPr="00487209">
              <w:rPr>
                <w:rFonts w:eastAsia="Batang"/>
                <w:sz w:val="18"/>
                <w:szCs w:val="18"/>
                <w:lang w:eastAsia="ko-KR"/>
              </w:rPr>
              <w:t>неопходне поступке за обављање својих активности којима се на одговарајући начин узимају у обзир величина произвођача, сектор у коме послује, његова организација, степен сложености примењеног технолошког процеса и масовна или серијска природа производног процеса.</w:t>
            </w:r>
          </w:p>
          <w:p w14:paraId="591AC64C" w14:textId="5003346E" w:rsidR="00147811" w:rsidRPr="00487209" w:rsidRDefault="004D3E72" w:rsidP="004D3E72">
            <w:pPr>
              <w:spacing w:before="120"/>
              <w:ind w:right="-23"/>
              <w:jc w:val="both"/>
              <w:rPr>
                <w:rFonts w:ascii="Times New Roman" w:eastAsia="Batang" w:hAnsi="Times New Roman" w:cs="Times New Roman"/>
                <w:sz w:val="18"/>
                <w:szCs w:val="18"/>
                <w:lang w:eastAsia="ko-KR"/>
              </w:rPr>
            </w:pPr>
            <w:r w:rsidRPr="00487209">
              <w:rPr>
                <w:rFonts w:ascii="Times New Roman" w:eastAsia="Batang" w:hAnsi="Times New Roman" w:cs="Times New Roman"/>
                <w:sz w:val="18"/>
                <w:szCs w:val="18"/>
                <w:lang w:eastAsia="ko-KR"/>
              </w:rPr>
              <w:t xml:space="preserve">Именовано тело за оцењивање и верификацију сталности перформанси мора да располаже неопходним средствима како би на одговарајући начин обављало техничке и административне послове у вези са активностима за које је издато </w:t>
            </w:r>
            <w:r w:rsidRPr="00487209">
              <w:rPr>
                <w:rFonts w:ascii="Times New Roman" w:eastAsia="Batang" w:hAnsi="Times New Roman" w:cs="Times New Roman"/>
                <w:sz w:val="18"/>
                <w:szCs w:val="18"/>
                <w:lang w:val="sr-Latn-BA" w:eastAsia="ko-KR"/>
              </w:rPr>
              <w:t xml:space="preserve">решење </w:t>
            </w:r>
            <w:r w:rsidRPr="00487209">
              <w:rPr>
                <w:rFonts w:ascii="Times New Roman" w:eastAsia="Batang" w:hAnsi="Times New Roman" w:cs="Times New Roman"/>
                <w:sz w:val="18"/>
                <w:szCs w:val="18"/>
                <w:lang w:eastAsia="ko-KR"/>
              </w:rPr>
              <w:t>из члана 38. став</w:t>
            </w:r>
            <w:r w:rsidRPr="00487209">
              <w:rPr>
                <w:rFonts w:ascii="Times New Roman" w:eastAsia="Batang" w:hAnsi="Times New Roman" w:cs="Times New Roman"/>
                <w:sz w:val="18"/>
                <w:szCs w:val="18"/>
                <w:lang w:val="sr-Latn-BA" w:eastAsia="ko-KR"/>
              </w:rPr>
              <w:t xml:space="preserve"> 1.</w:t>
            </w:r>
            <w:r w:rsidRPr="00487209">
              <w:rPr>
                <w:rFonts w:ascii="Times New Roman" w:eastAsia="Batang" w:hAnsi="Times New Roman" w:cs="Times New Roman"/>
                <w:sz w:val="18"/>
                <w:szCs w:val="18"/>
                <w:lang w:eastAsia="ko-KR"/>
              </w:rPr>
              <w:t xml:space="preserve"> овог закона и има приступ свој потребној опреми или капацитетима.</w:t>
            </w:r>
          </w:p>
        </w:tc>
        <w:tc>
          <w:tcPr>
            <w:tcW w:w="458" w:type="pct"/>
            <w:shd w:val="clear" w:color="auto" w:fill="auto"/>
            <w:vAlign w:val="center"/>
          </w:tcPr>
          <w:p w14:paraId="73362E38"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009807AB"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36ADF32"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2C0AE71" w14:textId="77777777" w:rsidTr="007D5144">
        <w:trPr>
          <w:trHeight w:val="771"/>
          <w:jc w:val="center"/>
        </w:trPr>
        <w:tc>
          <w:tcPr>
            <w:tcW w:w="435" w:type="pct"/>
            <w:shd w:val="clear" w:color="auto" w:fill="auto"/>
            <w:vAlign w:val="center"/>
          </w:tcPr>
          <w:p w14:paraId="4E6EA297"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43.7.(a)</w:t>
            </w:r>
          </w:p>
        </w:tc>
        <w:tc>
          <w:tcPr>
            <w:tcW w:w="1369" w:type="pct"/>
            <w:gridSpan w:val="2"/>
            <w:shd w:val="clear" w:color="auto" w:fill="auto"/>
            <w:vAlign w:val="center"/>
          </w:tcPr>
          <w:p w14:paraId="05606A6D"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 xml:space="preserve">The personnel responsible for carrying out the activities in relation to which the body has been notified, shall have the following: </w:t>
            </w:r>
          </w:p>
          <w:p w14:paraId="5EDF9CD4"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sound technical and vocational training covering all the third party tasks in the process of assessment and verification of constancy of performance within the relevant scope for which the body has been notified;</w:t>
            </w:r>
          </w:p>
          <w:p w14:paraId="43906AED"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1662CDE2" w14:textId="2B021F56" w:rsidR="00193167" w:rsidRPr="00487209" w:rsidRDefault="004D3E72"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t>01</w:t>
            </w:r>
          </w:p>
          <w:p w14:paraId="67810B06" w14:textId="0A84DAAF" w:rsidR="00147811" w:rsidRPr="00487209" w:rsidRDefault="00193167"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4D3E72" w:rsidRPr="00487209">
              <w:rPr>
                <w:rFonts w:ascii="Times New Roman" w:hAnsi="Times New Roman" w:cs="Times New Roman"/>
                <w:sz w:val="18"/>
                <w:szCs w:val="18"/>
                <w:lang w:val="sr-Latn-CS"/>
              </w:rPr>
              <w:t>39</w:t>
            </w:r>
            <w:r w:rsidR="004B1351" w:rsidRPr="00487209">
              <w:rPr>
                <w:rFonts w:ascii="Times New Roman" w:hAnsi="Times New Roman" w:cs="Times New Roman"/>
                <w:sz w:val="18"/>
                <w:szCs w:val="18"/>
                <w:lang w:val="ru-RU"/>
              </w:rPr>
              <w:t>.</w:t>
            </w:r>
            <w:r w:rsidR="004D3E72" w:rsidRPr="00487209">
              <w:rPr>
                <w:rFonts w:ascii="Times New Roman" w:hAnsi="Times New Roman" w:cs="Times New Roman"/>
                <w:sz w:val="18"/>
                <w:szCs w:val="18"/>
                <w:lang w:val="sr-Latn-CS"/>
              </w:rPr>
              <w:t>4</w:t>
            </w:r>
            <w:r w:rsidR="004B1351" w:rsidRPr="00487209">
              <w:rPr>
                <w:rFonts w:ascii="Times New Roman" w:hAnsi="Times New Roman" w:cs="Times New Roman"/>
                <w:sz w:val="18"/>
                <w:szCs w:val="18"/>
                <w:lang w:val="ru-RU"/>
              </w:rPr>
              <w:t>.</w:t>
            </w:r>
            <w:r w:rsidR="00147811" w:rsidRPr="00487209">
              <w:rPr>
                <w:rFonts w:ascii="Times New Roman" w:hAnsi="Times New Roman" w:cs="Times New Roman"/>
                <w:sz w:val="18"/>
                <w:szCs w:val="18"/>
                <w:lang w:val="ru-RU"/>
              </w:rPr>
              <w:t>1)</w:t>
            </w:r>
          </w:p>
          <w:p w14:paraId="5C90E0A9"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34A5E270" w14:textId="77777777" w:rsidR="00442132" w:rsidRPr="00487209" w:rsidRDefault="00442132" w:rsidP="00442132">
            <w:pPr>
              <w:spacing w:before="120"/>
              <w:ind w:right="-23"/>
              <w:jc w:val="both"/>
              <w:rPr>
                <w:rFonts w:ascii="Times New Roman" w:eastAsia="Batang" w:hAnsi="Times New Roman" w:cs="Times New Roman"/>
                <w:sz w:val="18"/>
                <w:szCs w:val="18"/>
                <w:lang w:eastAsia="ko-KR"/>
              </w:rPr>
            </w:pPr>
            <w:r w:rsidRPr="00487209">
              <w:rPr>
                <w:rFonts w:ascii="Times New Roman" w:eastAsia="Batang" w:hAnsi="Times New Roman" w:cs="Times New Roman"/>
                <w:sz w:val="18"/>
                <w:szCs w:val="18"/>
                <w:lang w:eastAsia="ko-KR"/>
              </w:rPr>
              <w:t>Особље именован</w:t>
            </w:r>
            <w:r w:rsidRPr="00487209">
              <w:rPr>
                <w:rFonts w:ascii="Times New Roman" w:eastAsia="Batang" w:hAnsi="Times New Roman" w:cs="Times New Roman"/>
                <w:sz w:val="18"/>
                <w:szCs w:val="18"/>
                <w:lang w:val="sr-Latn-CS" w:eastAsia="ko-KR"/>
              </w:rPr>
              <w:t>o</w:t>
            </w:r>
            <w:r w:rsidRPr="00487209">
              <w:rPr>
                <w:rFonts w:ascii="Times New Roman" w:eastAsia="Batang" w:hAnsi="Times New Roman" w:cs="Times New Roman"/>
                <w:sz w:val="18"/>
                <w:szCs w:val="18"/>
                <w:lang w:eastAsia="ko-KR"/>
              </w:rPr>
              <w:t>г тела за оцењивање и верификацију сталности перформанси грађевинског производа одговорно за обављање активности у вези са оцењивањем и верификацијом сталности перформанси поседује следеће:</w:t>
            </w:r>
          </w:p>
          <w:p w14:paraId="5AECA632" w14:textId="46DCDDAF" w:rsidR="00442132" w:rsidRPr="00487209" w:rsidRDefault="00442132" w:rsidP="00BD1E56">
            <w:pPr>
              <w:pStyle w:val="ListParagraph"/>
              <w:numPr>
                <w:ilvl w:val="0"/>
                <w:numId w:val="66"/>
              </w:numPr>
              <w:spacing w:before="120"/>
              <w:ind w:left="292" w:right="-23" w:hanging="255"/>
              <w:jc w:val="both"/>
              <w:rPr>
                <w:rFonts w:eastAsia="Batang"/>
                <w:sz w:val="18"/>
                <w:szCs w:val="18"/>
                <w:lang w:eastAsia="ko-KR"/>
              </w:rPr>
            </w:pPr>
            <w:r w:rsidRPr="00487209">
              <w:rPr>
                <w:rFonts w:eastAsia="Batang"/>
                <w:sz w:val="18"/>
                <w:szCs w:val="18"/>
                <w:lang w:eastAsia="ko-KR"/>
              </w:rPr>
              <w:t>поуздану техничку и стручну обуку којом су обухваћени сви задаци треће стране у поступку оцењивања и верификације сталности перформанси у оквиру одговарајућег обима примене за које је издато решење из члана 38. став</w:t>
            </w:r>
            <w:r w:rsidRPr="00487209">
              <w:rPr>
                <w:rFonts w:eastAsia="Batang"/>
                <w:sz w:val="18"/>
                <w:szCs w:val="18"/>
                <w:lang w:val="sr-Latn-BA" w:eastAsia="ko-KR"/>
              </w:rPr>
              <w:t xml:space="preserve"> 1.</w:t>
            </w:r>
            <w:r w:rsidRPr="00487209">
              <w:rPr>
                <w:rFonts w:eastAsia="Batang"/>
                <w:sz w:val="18"/>
                <w:szCs w:val="18"/>
                <w:lang w:eastAsia="ko-KR"/>
              </w:rPr>
              <w:t xml:space="preserve"> овог закона;</w:t>
            </w:r>
          </w:p>
          <w:p w14:paraId="303489BE"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6A950175"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7165D19F"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A27C515"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EF2E931" w14:textId="77777777" w:rsidTr="007D5144">
        <w:trPr>
          <w:trHeight w:val="771"/>
          <w:jc w:val="center"/>
        </w:trPr>
        <w:tc>
          <w:tcPr>
            <w:tcW w:w="435" w:type="pct"/>
            <w:shd w:val="clear" w:color="auto" w:fill="auto"/>
            <w:vAlign w:val="center"/>
          </w:tcPr>
          <w:p w14:paraId="04F0E98A"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43.7.(b)</w:t>
            </w:r>
          </w:p>
        </w:tc>
        <w:tc>
          <w:tcPr>
            <w:tcW w:w="1369" w:type="pct"/>
            <w:gridSpan w:val="2"/>
            <w:shd w:val="clear" w:color="auto" w:fill="auto"/>
            <w:vAlign w:val="center"/>
          </w:tcPr>
          <w:p w14:paraId="293C075C"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 xml:space="preserve">(b) satisfactory knowledge of the requirements of the assessments and verifications they carry out and adequate authority to carry out such </w:t>
            </w:r>
            <w:r w:rsidRPr="00487209">
              <w:rPr>
                <w:rFonts w:ascii="Times New Roman" w:hAnsi="Times New Roman" w:cs="Times New Roman"/>
                <w:sz w:val="18"/>
                <w:szCs w:val="18"/>
              </w:rPr>
              <w:lastRenderedPageBreak/>
              <w:t>operations;</w:t>
            </w:r>
          </w:p>
          <w:p w14:paraId="7EF31F0C"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4FFB0C44" w14:textId="23146CA8" w:rsidR="00193167" w:rsidRPr="00487209" w:rsidRDefault="006F70D1"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lastRenderedPageBreak/>
              <w:t>01</w:t>
            </w:r>
          </w:p>
          <w:p w14:paraId="6D125EBF" w14:textId="25736A7B" w:rsidR="004B1351" w:rsidRPr="00487209" w:rsidRDefault="00193167"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6F70D1" w:rsidRPr="00487209">
              <w:rPr>
                <w:rFonts w:ascii="Times New Roman" w:hAnsi="Times New Roman" w:cs="Times New Roman"/>
                <w:sz w:val="18"/>
                <w:szCs w:val="18"/>
                <w:lang w:val="sr-Latn-CS"/>
              </w:rPr>
              <w:t>39</w:t>
            </w:r>
            <w:r w:rsidR="006F70D1" w:rsidRPr="00487209">
              <w:rPr>
                <w:rFonts w:ascii="Times New Roman" w:hAnsi="Times New Roman" w:cs="Times New Roman"/>
                <w:sz w:val="18"/>
                <w:szCs w:val="18"/>
                <w:lang w:val="ru-RU"/>
              </w:rPr>
              <w:t>.4</w:t>
            </w:r>
            <w:r w:rsidR="004B1351" w:rsidRPr="00487209">
              <w:rPr>
                <w:rFonts w:ascii="Times New Roman" w:hAnsi="Times New Roman" w:cs="Times New Roman"/>
                <w:sz w:val="18"/>
                <w:szCs w:val="18"/>
                <w:lang w:val="ru-RU"/>
              </w:rPr>
              <w:t>.2)</w:t>
            </w:r>
          </w:p>
          <w:p w14:paraId="74C9C19D"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3DB4E693" w14:textId="3B8CFFC9" w:rsidR="006F70D1" w:rsidRPr="00487209" w:rsidRDefault="006F70D1" w:rsidP="00BD1E56">
            <w:pPr>
              <w:pStyle w:val="ListParagraph"/>
              <w:numPr>
                <w:ilvl w:val="0"/>
                <w:numId w:val="66"/>
              </w:numPr>
              <w:spacing w:before="120"/>
              <w:ind w:left="292" w:right="-23" w:hanging="255"/>
              <w:jc w:val="both"/>
              <w:rPr>
                <w:rFonts w:eastAsia="Batang"/>
                <w:sz w:val="18"/>
                <w:szCs w:val="18"/>
                <w:lang w:eastAsia="ko-KR"/>
              </w:rPr>
            </w:pPr>
            <w:r w:rsidRPr="00487209">
              <w:rPr>
                <w:rFonts w:eastAsia="Batang"/>
                <w:sz w:val="18"/>
                <w:szCs w:val="18"/>
                <w:lang w:eastAsia="ko-KR"/>
              </w:rPr>
              <w:lastRenderedPageBreak/>
              <w:t xml:space="preserve">задовољавајуће познавање захтева за оцењивање и верификацију које обављају и одговарајуће </w:t>
            </w:r>
            <w:r w:rsidRPr="00487209">
              <w:rPr>
                <w:rFonts w:eastAsia="Batang"/>
                <w:sz w:val="18"/>
                <w:szCs w:val="18"/>
                <w:lang w:eastAsia="ko-KR"/>
              </w:rPr>
              <w:lastRenderedPageBreak/>
              <w:t>овлашћење за обављање тих послова;</w:t>
            </w:r>
          </w:p>
          <w:p w14:paraId="093BFF0C" w14:textId="77777777" w:rsidR="00147811" w:rsidRPr="00487209" w:rsidRDefault="00147811" w:rsidP="006C6323">
            <w:pPr>
              <w:spacing w:before="240"/>
              <w:rPr>
                <w:rFonts w:ascii="Times New Roman" w:hAnsi="Times New Roman" w:cs="Times New Roman"/>
                <w:sz w:val="18"/>
                <w:szCs w:val="18"/>
                <w:lang w:val="sr-Cyrl-CS"/>
              </w:rPr>
            </w:pPr>
          </w:p>
        </w:tc>
        <w:tc>
          <w:tcPr>
            <w:tcW w:w="458" w:type="pct"/>
            <w:shd w:val="clear" w:color="auto" w:fill="auto"/>
            <w:vAlign w:val="center"/>
          </w:tcPr>
          <w:p w14:paraId="5DB42887"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lastRenderedPageBreak/>
              <w:t>ПУ</w:t>
            </w:r>
          </w:p>
        </w:tc>
        <w:tc>
          <w:tcPr>
            <w:tcW w:w="598" w:type="pct"/>
            <w:gridSpan w:val="2"/>
            <w:shd w:val="clear" w:color="auto" w:fill="auto"/>
            <w:vAlign w:val="center"/>
          </w:tcPr>
          <w:p w14:paraId="6383B395"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4E8D5496"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77284F18" w14:textId="77777777" w:rsidTr="007D5144">
        <w:trPr>
          <w:trHeight w:val="771"/>
          <w:jc w:val="center"/>
        </w:trPr>
        <w:tc>
          <w:tcPr>
            <w:tcW w:w="435" w:type="pct"/>
            <w:shd w:val="clear" w:color="auto" w:fill="auto"/>
            <w:vAlign w:val="center"/>
          </w:tcPr>
          <w:p w14:paraId="67E8C973"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43.7.(c)</w:t>
            </w:r>
          </w:p>
        </w:tc>
        <w:tc>
          <w:tcPr>
            <w:tcW w:w="1369" w:type="pct"/>
            <w:gridSpan w:val="2"/>
            <w:shd w:val="clear" w:color="auto" w:fill="auto"/>
            <w:vAlign w:val="center"/>
          </w:tcPr>
          <w:p w14:paraId="68853A02"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(c) appropriate knowledge and understanding of the applicable harmonised standards and of the relevant provisions of the Regulation;</w:t>
            </w:r>
          </w:p>
        </w:tc>
        <w:tc>
          <w:tcPr>
            <w:tcW w:w="429" w:type="pct"/>
            <w:shd w:val="clear" w:color="auto" w:fill="auto"/>
            <w:vAlign w:val="center"/>
          </w:tcPr>
          <w:p w14:paraId="5A0F5AE2" w14:textId="45360B4A" w:rsidR="00193167" w:rsidRPr="00487209" w:rsidRDefault="006F70D1"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t>01</w:t>
            </w:r>
          </w:p>
          <w:p w14:paraId="1A1E691E" w14:textId="21744418" w:rsidR="00147811" w:rsidRPr="00487209" w:rsidRDefault="00193167"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6F70D1" w:rsidRPr="00487209">
              <w:rPr>
                <w:rFonts w:ascii="Times New Roman" w:hAnsi="Times New Roman" w:cs="Times New Roman"/>
                <w:sz w:val="18"/>
                <w:szCs w:val="18"/>
                <w:lang w:val="sr-Latn-CS"/>
              </w:rPr>
              <w:t>39</w:t>
            </w:r>
            <w:r w:rsidR="006F70D1" w:rsidRPr="00487209">
              <w:rPr>
                <w:rFonts w:ascii="Times New Roman" w:hAnsi="Times New Roman" w:cs="Times New Roman"/>
                <w:sz w:val="18"/>
                <w:szCs w:val="18"/>
                <w:lang w:val="ru-RU"/>
              </w:rPr>
              <w:t>.4</w:t>
            </w:r>
            <w:r w:rsidR="001B4AA1" w:rsidRPr="00487209">
              <w:rPr>
                <w:rFonts w:ascii="Times New Roman" w:hAnsi="Times New Roman" w:cs="Times New Roman"/>
                <w:sz w:val="18"/>
                <w:szCs w:val="18"/>
                <w:lang w:val="ru-RU"/>
              </w:rPr>
              <w:t>.</w:t>
            </w:r>
            <w:r w:rsidR="00147811" w:rsidRPr="00487209">
              <w:rPr>
                <w:rFonts w:ascii="Times New Roman" w:hAnsi="Times New Roman" w:cs="Times New Roman"/>
                <w:sz w:val="18"/>
                <w:szCs w:val="18"/>
                <w:lang w:val="ru-RU"/>
              </w:rPr>
              <w:t>3)</w:t>
            </w:r>
          </w:p>
          <w:p w14:paraId="1BB375A6"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4EB51B4C" w14:textId="5A9E139A" w:rsidR="00147811" w:rsidRPr="00487209" w:rsidRDefault="00147811" w:rsidP="006F70D1">
            <w:pPr>
              <w:pStyle w:val="Style6"/>
              <w:numPr>
                <w:ilvl w:val="0"/>
                <w:numId w:val="66"/>
              </w:numPr>
              <w:spacing w:before="240" w:line="240" w:lineRule="auto"/>
              <w:ind w:left="292" w:right="-23" w:hanging="283"/>
              <w:rPr>
                <w:rStyle w:val="FontStyle41"/>
                <w:rFonts w:ascii="Times New Roman" w:hAnsi="Times New Roman" w:cs="Times New Roman"/>
                <w:sz w:val="18"/>
                <w:szCs w:val="18"/>
                <w:lang w:val="sr-Cyrl-CS"/>
              </w:rPr>
            </w:pPr>
            <w:r w:rsidRPr="00487209">
              <w:rPr>
                <w:rFonts w:ascii="Times New Roman" w:hAnsi="Times New Roman"/>
                <w:sz w:val="18"/>
                <w:szCs w:val="18"/>
                <w:lang w:val="sr-Cyrl-CS"/>
              </w:rPr>
              <w:t xml:space="preserve">одговарајуће познавање и разумевање техничких спецификација и техничких прописа и одговарајућих одредби </w:t>
            </w:r>
            <w:r w:rsidR="003D0DBF" w:rsidRPr="00487209">
              <w:rPr>
                <w:rFonts w:ascii="Times New Roman" w:hAnsi="Times New Roman"/>
                <w:sz w:val="18"/>
                <w:szCs w:val="18"/>
                <w:lang w:val="sr-Cyrl-CS"/>
              </w:rPr>
              <w:t>овог закона</w:t>
            </w:r>
            <w:r w:rsidRPr="00487209">
              <w:rPr>
                <w:rFonts w:ascii="Times New Roman" w:hAnsi="Times New Roman"/>
                <w:sz w:val="18"/>
                <w:szCs w:val="18"/>
                <w:lang w:val="sr-Cyrl-CS"/>
              </w:rPr>
              <w:t xml:space="preserve">; </w:t>
            </w:r>
          </w:p>
          <w:p w14:paraId="14E52314" w14:textId="77777777" w:rsidR="00147811" w:rsidRPr="00487209" w:rsidRDefault="00147811" w:rsidP="006C6323">
            <w:pPr>
              <w:spacing w:before="240"/>
              <w:ind w:left="590"/>
              <w:jc w:val="center"/>
              <w:rPr>
                <w:rFonts w:ascii="Times New Roman" w:hAnsi="Times New Roman" w:cs="Times New Roman"/>
                <w:sz w:val="18"/>
                <w:szCs w:val="18"/>
                <w:lang w:val="sr-Cyrl-CS"/>
              </w:rPr>
            </w:pPr>
          </w:p>
        </w:tc>
        <w:tc>
          <w:tcPr>
            <w:tcW w:w="458" w:type="pct"/>
            <w:shd w:val="clear" w:color="auto" w:fill="auto"/>
            <w:vAlign w:val="center"/>
          </w:tcPr>
          <w:p w14:paraId="357F8265" w14:textId="77777777" w:rsidR="00147811" w:rsidRPr="00487209" w:rsidRDefault="001B4AA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П</w:t>
            </w:r>
            <w:r w:rsidR="00147811" w:rsidRPr="00487209">
              <w:rPr>
                <w:rFonts w:ascii="Times New Roman" w:hAnsi="Times New Roman" w:cs="Times New Roman"/>
                <w:sz w:val="18"/>
                <w:szCs w:val="18"/>
                <w:lang w:val="sr-Cyrl-CS"/>
              </w:rPr>
              <w:t>У</w:t>
            </w:r>
          </w:p>
        </w:tc>
        <w:tc>
          <w:tcPr>
            <w:tcW w:w="598" w:type="pct"/>
            <w:gridSpan w:val="2"/>
            <w:shd w:val="clear" w:color="auto" w:fill="auto"/>
            <w:vAlign w:val="center"/>
          </w:tcPr>
          <w:p w14:paraId="3B2FEF15" w14:textId="77777777" w:rsidR="001B4AA1" w:rsidRPr="00487209" w:rsidRDefault="001B4AA1"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Напомена:</w:t>
            </w:r>
          </w:p>
          <w:p w14:paraId="38F3CF2C" w14:textId="4DA520B3" w:rsidR="00147811" w:rsidRPr="00487209" w:rsidRDefault="00295C9D" w:rsidP="006C6323">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 xml:space="preserve">Члан </w:t>
            </w:r>
            <w:r w:rsidR="001B4AA1" w:rsidRPr="00487209">
              <w:rPr>
                <w:rFonts w:ascii="Times New Roman" w:hAnsi="Times New Roman" w:cs="Times New Roman"/>
                <w:sz w:val="18"/>
                <w:szCs w:val="18"/>
                <w:lang w:val="ru-RU"/>
              </w:rPr>
              <w:t>3</w:t>
            </w:r>
            <w:r w:rsidR="00BD1E56" w:rsidRPr="00487209">
              <w:rPr>
                <w:rFonts w:ascii="Times New Roman" w:hAnsi="Times New Roman" w:cs="Times New Roman"/>
                <w:sz w:val="18"/>
                <w:szCs w:val="18"/>
                <w:lang w:val="ru-RU"/>
              </w:rPr>
              <w:t>9</w:t>
            </w:r>
            <w:r>
              <w:rPr>
                <w:rFonts w:ascii="Times New Roman" w:hAnsi="Times New Roman" w:cs="Times New Roman"/>
                <w:sz w:val="18"/>
                <w:szCs w:val="18"/>
                <w:lang w:val="ru-RU"/>
              </w:rPr>
              <w:t>. став</w:t>
            </w:r>
            <w:r w:rsidR="001B4AA1" w:rsidRPr="00487209">
              <w:rPr>
                <w:rFonts w:ascii="Times New Roman" w:hAnsi="Times New Roman" w:cs="Times New Roman"/>
                <w:sz w:val="18"/>
                <w:szCs w:val="18"/>
                <w:lang w:val="ru-RU"/>
              </w:rPr>
              <w:t xml:space="preserve"> </w:t>
            </w:r>
            <w:r w:rsidR="00BD1E56" w:rsidRPr="00487209">
              <w:rPr>
                <w:rFonts w:ascii="Times New Roman" w:hAnsi="Times New Roman" w:cs="Times New Roman"/>
                <w:sz w:val="18"/>
                <w:szCs w:val="18"/>
                <w:lang w:val="ru-RU"/>
              </w:rPr>
              <w:t>4</w:t>
            </w:r>
            <w:r>
              <w:rPr>
                <w:rFonts w:ascii="Times New Roman" w:hAnsi="Times New Roman" w:cs="Times New Roman"/>
                <w:sz w:val="18"/>
                <w:szCs w:val="18"/>
                <w:lang w:val="ru-RU"/>
              </w:rPr>
              <w:t>. тачка</w:t>
            </w:r>
            <w:r w:rsidR="001B4AA1" w:rsidRPr="00487209">
              <w:rPr>
                <w:rFonts w:ascii="Times New Roman" w:hAnsi="Times New Roman" w:cs="Times New Roman"/>
                <w:sz w:val="18"/>
                <w:szCs w:val="18"/>
                <w:lang w:val="ru-RU"/>
              </w:rPr>
              <w:t xml:space="preserve"> </w:t>
            </w:r>
            <w:r w:rsidR="001B4AA1" w:rsidRPr="00487209">
              <w:rPr>
                <w:rFonts w:ascii="Times New Roman" w:hAnsi="Times New Roman" w:cs="Times New Roman"/>
                <w:sz w:val="18"/>
                <w:szCs w:val="18"/>
                <w:lang w:val="sr-Cyrl-CS"/>
              </w:rPr>
              <w:t xml:space="preserve">3)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001B4AA1" w:rsidRPr="00487209">
              <w:rPr>
                <w:rFonts w:ascii="Times New Roman" w:hAnsi="Times New Roman" w:cs="Times New Roman"/>
                <w:sz w:val="18"/>
                <w:szCs w:val="18"/>
                <w:lang w:val="sr-Cyrl-CS"/>
              </w:rPr>
              <w:t xml:space="preserve"> </w:t>
            </w:r>
            <w:r w:rsidR="001B4AA1" w:rsidRPr="00487209">
              <w:rPr>
                <w:rFonts w:ascii="Times New Roman" w:hAnsi="Times New Roman" w:cs="Times New Roman"/>
                <w:sz w:val="18"/>
                <w:szCs w:val="18"/>
              </w:rPr>
              <w:t>je</w:t>
            </w:r>
            <w:r>
              <w:rPr>
                <w:rFonts w:ascii="Times New Roman" w:hAnsi="Times New Roman" w:cs="Times New Roman"/>
                <w:sz w:val="18"/>
                <w:szCs w:val="18"/>
                <w:lang w:val="sr-Cyrl-CS"/>
              </w:rPr>
              <w:t xml:space="preserve"> потпуно усклађен са чланом</w:t>
            </w:r>
            <w:r w:rsidR="001B4AA1" w:rsidRPr="00487209">
              <w:rPr>
                <w:rFonts w:ascii="Times New Roman" w:hAnsi="Times New Roman" w:cs="Times New Roman"/>
                <w:sz w:val="18"/>
                <w:szCs w:val="18"/>
                <w:lang w:val="sr-Cyrl-CS"/>
              </w:rPr>
              <w:t xml:space="preserve"> </w:t>
            </w:r>
            <w:r w:rsidR="001B4AA1" w:rsidRPr="00487209">
              <w:rPr>
                <w:rFonts w:ascii="Times New Roman" w:hAnsi="Times New Roman" w:cs="Times New Roman"/>
                <w:sz w:val="18"/>
                <w:szCs w:val="18"/>
                <w:lang w:val="ru-RU"/>
              </w:rPr>
              <w:t>43.7.(</w:t>
            </w:r>
            <w:r w:rsidR="001B4AA1" w:rsidRPr="00487209">
              <w:rPr>
                <w:rFonts w:ascii="Times New Roman" w:hAnsi="Times New Roman" w:cs="Times New Roman"/>
                <w:sz w:val="18"/>
                <w:szCs w:val="18"/>
              </w:rPr>
              <w:t>c</w:t>
            </w:r>
            <w:r w:rsidR="001B4AA1" w:rsidRPr="00487209">
              <w:rPr>
                <w:rFonts w:ascii="Times New Roman" w:hAnsi="Times New Roman" w:cs="Times New Roman"/>
                <w:sz w:val="18"/>
                <w:szCs w:val="18"/>
                <w:lang w:val="ru-RU"/>
              </w:rPr>
              <w:t>)</w:t>
            </w:r>
            <w:r w:rsidR="001B4AA1" w:rsidRPr="00487209">
              <w:rPr>
                <w:rFonts w:ascii="Times New Roman" w:hAnsi="Times New Roman" w:cs="Times New Roman"/>
                <w:sz w:val="18"/>
                <w:szCs w:val="18"/>
                <w:lang w:val="sr-Cyrl-CS"/>
              </w:rPr>
              <w:t xml:space="preserve"> Уредбе 305/2011 (ЕУ), а пошто се </w:t>
            </w:r>
            <w:r w:rsidR="0073105A">
              <w:rPr>
                <w:rFonts w:ascii="Times New Roman" w:hAnsi="Times New Roman" w:cs="Times New Roman"/>
                <w:sz w:val="18"/>
                <w:szCs w:val="18"/>
                <w:lang w:val="sr-Cyrl-CS"/>
              </w:rPr>
              <w:t>Предлог</w:t>
            </w:r>
            <w:r w:rsidR="00BC196E" w:rsidRPr="00487209">
              <w:rPr>
                <w:rFonts w:ascii="Times New Roman" w:hAnsi="Times New Roman" w:cs="Times New Roman"/>
                <w:sz w:val="18"/>
                <w:szCs w:val="18"/>
                <w:lang w:val="sr-Cyrl-CS"/>
              </w:rPr>
              <w:t xml:space="preserve"> закона</w:t>
            </w:r>
            <w:r w:rsidR="001B4AA1" w:rsidRPr="00487209">
              <w:rPr>
                <w:rFonts w:ascii="Times New Roman" w:hAnsi="Times New Roman" w:cs="Times New Roman"/>
                <w:sz w:val="18"/>
                <w:szCs w:val="18"/>
                <w:lang w:val="sr-Cyrl-CS"/>
              </w:rPr>
              <w:t xml:space="preserve"> о грађевинским производима односи и на нехармонизовано подручје грађевинских производа област примене је шира. </w:t>
            </w:r>
          </w:p>
          <w:p w14:paraId="7C5F9CF4" w14:textId="77777777" w:rsidR="006718D9" w:rsidRPr="00487209" w:rsidRDefault="006718D9"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7B1531E6"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54825187" w14:textId="77777777" w:rsidTr="007D5144">
        <w:trPr>
          <w:trHeight w:val="771"/>
          <w:jc w:val="center"/>
        </w:trPr>
        <w:tc>
          <w:tcPr>
            <w:tcW w:w="435" w:type="pct"/>
            <w:shd w:val="clear" w:color="auto" w:fill="auto"/>
            <w:vAlign w:val="center"/>
          </w:tcPr>
          <w:p w14:paraId="606F4660"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43.7.(d)</w:t>
            </w:r>
          </w:p>
        </w:tc>
        <w:tc>
          <w:tcPr>
            <w:tcW w:w="1369" w:type="pct"/>
            <w:gridSpan w:val="2"/>
            <w:shd w:val="clear" w:color="auto" w:fill="auto"/>
            <w:vAlign w:val="center"/>
          </w:tcPr>
          <w:p w14:paraId="27EBB80E"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d) the ability required to draw up the certificates, records and reports to demonstrate that the assessments and the verifications have been carried out.</w:t>
            </w:r>
          </w:p>
        </w:tc>
        <w:tc>
          <w:tcPr>
            <w:tcW w:w="429" w:type="pct"/>
            <w:shd w:val="clear" w:color="auto" w:fill="auto"/>
            <w:vAlign w:val="center"/>
          </w:tcPr>
          <w:p w14:paraId="1900A923" w14:textId="453937D7" w:rsidR="00193167"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49655218" w14:textId="1CEE2658" w:rsidR="00147811" w:rsidRPr="00487209" w:rsidRDefault="00193167" w:rsidP="006F70D1">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6F70D1" w:rsidRPr="00487209">
              <w:rPr>
                <w:rFonts w:ascii="Times New Roman" w:hAnsi="Times New Roman" w:cs="Times New Roman"/>
                <w:sz w:val="18"/>
                <w:szCs w:val="18"/>
                <w:lang w:val="sr-Latn-CS"/>
              </w:rPr>
              <w:t>39</w:t>
            </w:r>
            <w:r w:rsidR="001B4AA1" w:rsidRPr="00487209">
              <w:rPr>
                <w:rFonts w:ascii="Times New Roman" w:hAnsi="Times New Roman" w:cs="Times New Roman"/>
                <w:sz w:val="18"/>
                <w:szCs w:val="18"/>
                <w:lang w:val="ru-RU"/>
              </w:rPr>
              <w:t>.</w:t>
            </w:r>
            <w:r w:rsidR="006F70D1" w:rsidRPr="00487209">
              <w:rPr>
                <w:rFonts w:ascii="Times New Roman" w:hAnsi="Times New Roman" w:cs="Times New Roman"/>
                <w:sz w:val="18"/>
                <w:szCs w:val="18"/>
                <w:lang w:val="sr-Latn-CS"/>
              </w:rPr>
              <w:t>4</w:t>
            </w:r>
            <w:r w:rsidR="001B4AA1" w:rsidRPr="00487209">
              <w:rPr>
                <w:rFonts w:ascii="Times New Roman" w:hAnsi="Times New Roman" w:cs="Times New Roman"/>
                <w:sz w:val="18"/>
                <w:szCs w:val="18"/>
                <w:lang w:val="ru-RU"/>
              </w:rPr>
              <w:t>.</w:t>
            </w:r>
            <w:r w:rsidR="00147811" w:rsidRPr="00487209">
              <w:rPr>
                <w:rFonts w:ascii="Times New Roman" w:hAnsi="Times New Roman" w:cs="Times New Roman"/>
                <w:sz w:val="18"/>
                <w:szCs w:val="18"/>
                <w:lang w:val="ru-RU"/>
              </w:rPr>
              <w:t>4)</w:t>
            </w:r>
          </w:p>
        </w:tc>
        <w:tc>
          <w:tcPr>
            <w:tcW w:w="1231" w:type="pct"/>
            <w:gridSpan w:val="2"/>
            <w:shd w:val="clear" w:color="auto" w:fill="auto"/>
            <w:vAlign w:val="center"/>
          </w:tcPr>
          <w:p w14:paraId="4F0B4D44" w14:textId="542FC532" w:rsidR="00147811" w:rsidRPr="00487209" w:rsidRDefault="00147811" w:rsidP="006F70D1">
            <w:pPr>
              <w:pStyle w:val="Style6"/>
              <w:numPr>
                <w:ilvl w:val="0"/>
                <w:numId w:val="66"/>
              </w:numPr>
              <w:spacing w:before="240" w:line="240" w:lineRule="auto"/>
              <w:ind w:left="292" w:right="-23" w:hanging="283"/>
              <w:rPr>
                <w:rStyle w:val="FontStyle41"/>
                <w:rFonts w:ascii="Times New Roman" w:hAnsi="Times New Roman" w:cs="Times New Roman"/>
                <w:sz w:val="18"/>
                <w:szCs w:val="18"/>
                <w:lang w:val="sr-Cyrl-CS"/>
              </w:rPr>
            </w:pPr>
            <w:r w:rsidRPr="00487209">
              <w:rPr>
                <w:rFonts w:ascii="Times New Roman" w:hAnsi="Times New Roman"/>
                <w:sz w:val="18"/>
                <w:szCs w:val="18"/>
                <w:lang w:val="sr-Cyrl-CS"/>
              </w:rPr>
              <w:t>способност неопходну за израду сертификата, записа и извештаја којима се доказује да су оцењивање и верификација спроведени.</w:t>
            </w:r>
          </w:p>
          <w:p w14:paraId="7FA00EC7" w14:textId="77777777" w:rsidR="00147811" w:rsidRPr="00487209" w:rsidRDefault="00147811" w:rsidP="006C6323">
            <w:pPr>
              <w:spacing w:before="240"/>
              <w:ind w:left="590"/>
              <w:jc w:val="center"/>
              <w:rPr>
                <w:rFonts w:ascii="Times New Roman" w:hAnsi="Times New Roman" w:cs="Times New Roman"/>
                <w:sz w:val="18"/>
                <w:szCs w:val="18"/>
                <w:lang w:val="sr-Cyrl-CS"/>
              </w:rPr>
            </w:pPr>
          </w:p>
        </w:tc>
        <w:tc>
          <w:tcPr>
            <w:tcW w:w="458" w:type="pct"/>
            <w:shd w:val="clear" w:color="auto" w:fill="auto"/>
            <w:vAlign w:val="center"/>
          </w:tcPr>
          <w:p w14:paraId="3A63E9C5"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260BFF9D"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559E3BB"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2B242C9F" w14:textId="77777777" w:rsidTr="007D5144">
        <w:trPr>
          <w:trHeight w:val="771"/>
          <w:jc w:val="center"/>
        </w:trPr>
        <w:tc>
          <w:tcPr>
            <w:tcW w:w="435" w:type="pct"/>
            <w:shd w:val="clear" w:color="auto" w:fill="auto"/>
            <w:vAlign w:val="center"/>
          </w:tcPr>
          <w:p w14:paraId="267E84A8"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43.8.</w:t>
            </w:r>
          </w:p>
        </w:tc>
        <w:tc>
          <w:tcPr>
            <w:tcW w:w="1369" w:type="pct"/>
            <w:gridSpan w:val="2"/>
            <w:shd w:val="clear" w:color="auto" w:fill="auto"/>
            <w:vAlign w:val="center"/>
          </w:tcPr>
          <w:p w14:paraId="5EB3E7FD" w14:textId="77777777" w:rsidR="00353083" w:rsidRPr="00487209" w:rsidRDefault="00353083" w:rsidP="006C6323">
            <w:pPr>
              <w:spacing w:before="100" w:beforeAutospacing="1" w:after="100" w:afterAutospacing="1"/>
              <w:jc w:val="both"/>
              <w:rPr>
                <w:rFonts w:ascii="Times New Roman" w:hAnsi="Times New Roman" w:cs="Times New Roman"/>
                <w:sz w:val="18"/>
                <w:szCs w:val="18"/>
              </w:rPr>
            </w:pPr>
          </w:p>
          <w:p w14:paraId="36D7AF46"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 xml:space="preserve">The impartiality of the notified body, its top-level management and assessment personnel </w:t>
            </w:r>
            <w:r w:rsidRPr="00487209">
              <w:rPr>
                <w:rFonts w:ascii="Times New Roman" w:hAnsi="Times New Roman" w:cs="Times New Roman"/>
                <w:sz w:val="18"/>
                <w:szCs w:val="18"/>
              </w:rPr>
              <w:lastRenderedPageBreak/>
              <w:t>shall be guaranteed.</w:t>
            </w:r>
          </w:p>
          <w:p w14:paraId="0B6BEC85"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remuneration of the notified body’s top-level management and assessment personnel shall not depend on the number of assessments carried out or on the results of such assessments.</w:t>
            </w:r>
          </w:p>
          <w:p w14:paraId="465D66DC"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083FD6C6" w14:textId="36D75958" w:rsidR="00193167" w:rsidRPr="00487209" w:rsidRDefault="00386B8B"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lastRenderedPageBreak/>
              <w:t>01</w:t>
            </w:r>
          </w:p>
          <w:p w14:paraId="141F1D09" w14:textId="37D49FF6" w:rsidR="00147811" w:rsidRPr="00487209" w:rsidRDefault="00193167"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386B8B" w:rsidRPr="00487209">
              <w:rPr>
                <w:rFonts w:ascii="Times New Roman" w:hAnsi="Times New Roman" w:cs="Times New Roman"/>
                <w:sz w:val="18"/>
                <w:szCs w:val="18"/>
                <w:lang w:val="sr-Latn-CS"/>
              </w:rPr>
              <w:t>39.5</w:t>
            </w:r>
            <w:r w:rsidR="00FD192C" w:rsidRPr="00487209">
              <w:rPr>
                <w:rFonts w:ascii="Times New Roman" w:hAnsi="Times New Roman" w:cs="Times New Roman"/>
                <w:sz w:val="18"/>
                <w:szCs w:val="18"/>
                <w:lang w:val="ru-RU"/>
              </w:rPr>
              <w:t>.</w:t>
            </w:r>
          </w:p>
          <w:p w14:paraId="08A9911A" w14:textId="77777777" w:rsidR="00BB572B" w:rsidRPr="00487209" w:rsidRDefault="00BB572B" w:rsidP="006C6323">
            <w:pPr>
              <w:spacing w:before="120" w:after="120"/>
              <w:ind w:firstLine="5"/>
              <w:jc w:val="center"/>
              <w:rPr>
                <w:rFonts w:ascii="Times New Roman" w:hAnsi="Times New Roman" w:cs="Times New Roman"/>
                <w:sz w:val="18"/>
                <w:szCs w:val="18"/>
                <w:lang w:val="ru-RU"/>
              </w:rPr>
            </w:pPr>
          </w:p>
          <w:p w14:paraId="6C305A13" w14:textId="77777777" w:rsidR="00BB572B" w:rsidRPr="00487209" w:rsidRDefault="00BB572B" w:rsidP="006C6323">
            <w:pPr>
              <w:spacing w:before="120" w:after="120"/>
              <w:ind w:firstLine="5"/>
              <w:jc w:val="center"/>
              <w:rPr>
                <w:rFonts w:ascii="Times New Roman" w:hAnsi="Times New Roman" w:cs="Times New Roman"/>
                <w:sz w:val="18"/>
                <w:szCs w:val="18"/>
                <w:lang w:val="ru-RU"/>
              </w:rPr>
            </w:pPr>
          </w:p>
          <w:p w14:paraId="15FC7D9F" w14:textId="67BD6503" w:rsidR="00FD192C" w:rsidRPr="00487209" w:rsidRDefault="00386B8B" w:rsidP="00386B8B">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Latn-CS"/>
              </w:rPr>
              <w:t>39.6.</w:t>
            </w:r>
          </w:p>
        </w:tc>
        <w:tc>
          <w:tcPr>
            <w:tcW w:w="1231" w:type="pct"/>
            <w:gridSpan w:val="2"/>
            <w:shd w:val="clear" w:color="auto" w:fill="auto"/>
            <w:vAlign w:val="center"/>
          </w:tcPr>
          <w:p w14:paraId="126BF3D6" w14:textId="2A3BA229" w:rsidR="006718D9" w:rsidRPr="00487209" w:rsidRDefault="00D36C60" w:rsidP="006C6323">
            <w:pPr>
              <w:pStyle w:val="Style10"/>
              <w:spacing w:before="240" w:line="240" w:lineRule="auto"/>
              <w:ind w:right="-23"/>
              <w:rPr>
                <w:rFonts w:ascii="Times New Roman" w:hAnsi="Times New Roman"/>
                <w:sz w:val="18"/>
                <w:szCs w:val="18"/>
              </w:rPr>
            </w:pPr>
            <w:r w:rsidRPr="00D36C60">
              <w:rPr>
                <w:rFonts w:ascii="Times New Roman" w:hAnsi="Times New Roman"/>
                <w:sz w:val="18"/>
                <w:szCs w:val="18"/>
                <w:lang w:val="sr-Cyrl-CS"/>
              </w:rPr>
              <w:lastRenderedPageBreak/>
              <w:t xml:space="preserve">Непристрасност именованог тела за оцењивање и верфикацију сталности перформанси, његовог руководства и запослених и других радно ангажованих лица за оцењивање мора </w:t>
            </w:r>
            <w:r w:rsidRPr="00D36C60">
              <w:rPr>
                <w:rFonts w:ascii="Times New Roman" w:hAnsi="Times New Roman"/>
                <w:sz w:val="18"/>
                <w:szCs w:val="18"/>
                <w:lang w:val="sr-Cyrl-CS"/>
              </w:rPr>
              <w:lastRenderedPageBreak/>
              <w:t>бити загарантована.</w:t>
            </w:r>
            <w:r w:rsidR="006718D9" w:rsidRPr="00487209">
              <w:rPr>
                <w:rFonts w:ascii="Times New Roman" w:hAnsi="Times New Roman"/>
                <w:sz w:val="18"/>
                <w:szCs w:val="18"/>
                <w:lang w:val="sr-Cyrl-CS"/>
              </w:rPr>
              <w:t xml:space="preserve"> </w:t>
            </w:r>
          </w:p>
          <w:p w14:paraId="18A81086" w14:textId="5C3FABCF" w:rsidR="00147811" w:rsidRPr="00487209" w:rsidRDefault="00D36C60" w:rsidP="007D5144">
            <w:pPr>
              <w:spacing w:before="240"/>
              <w:jc w:val="both"/>
              <w:rPr>
                <w:rFonts w:ascii="Times New Roman" w:hAnsi="Times New Roman" w:cs="Times New Roman"/>
                <w:sz w:val="18"/>
                <w:szCs w:val="18"/>
                <w:lang w:val="sr-Cyrl-CS"/>
              </w:rPr>
            </w:pPr>
            <w:r w:rsidRPr="00D36C60">
              <w:rPr>
                <w:rFonts w:ascii="Times New Roman" w:hAnsi="Times New Roman"/>
                <w:sz w:val="18"/>
                <w:szCs w:val="18"/>
                <w:lang w:val="sr-Cyrl-CS"/>
              </w:rPr>
              <w:t>Накнада за рад руководства именованог тела за оцењивање и верификацију сталности перформанси и његових запослених и других радно ангажованих лица за оцењивање не зависи од броја спроведених оцењивања нити од резултата таквих оцењивања</w:t>
            </w:r>
          </w:p>
        </w:tc>
        <w:tc>
          <w:tcPr>
            <w:tcW w:w="458" w:type="pct"/>
            <w:shd w:val="clear" w:color="auto" w:fill="auto"/>
            <w:vAlign w:val="center"/>
          </w:tcPr>
          <w:p w14:paraId="028E9E87"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lastRenderedPageBreak/>
              <w:t>ПУ</w:t>
            </w:r>
          </w:p>
        </w:tc>
        <w:tc>
          <w:tcPr>
            <w:tcW w:w="598" w:type="pct"/>
            <w:gridSpan w:val="2"/>
            <w:shd w:val="clear" w:color="auto" w:fill="auto"/>
            <w:vAlign w:val="center"/>
          </w:tcPr>
          <w:p w14:paraId="34645D36"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0958B4FE"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73DA1E03" w14:textId="77777777" w:rsidTr="007D5144">
        <w:trPr>
          <w:trHeight w:val="771"/>
          <w:jc w:val="center"/>
        </w:trPr>
        <w:tc>
          <w:tcPr>
            <w:tcW w:w="435" w:type="pct"/>
            <w:shd w:val="clear" w:color="auto" w:fill="auto"/>
            <w:vAlign w:val="center"/>
          </w:tcPr>
          <w:p w14:paraId="25D09A05"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43.9.</w:t>
            </w:r>
          </w:p>
        </w:tc>
        <w:tc>
          <w:tcPr>
            <w:tcW w:w="1369" w:type="pct"/>
            <w:gridSpan w:val="2"/>
            <w:shd w:val="clear" w:color="auto" w:fill="auto"/>
            <w:vAlign w:val="center"/>
          </w:tcPr>
          <w:p w14:paraId="4EB16584" w14:textId="77777777" w:rsidR="00353083" w:rsidRPr="00487209" w:rsidRDefault="00353083" w:rsidP="006C6323">
            <w:pPr>
              <w:spacing w:before="100" w:beforeAutospacing="1" w:after="100" w:afterAutospacing="1"/>
              <w:jc w:val="both"/>
              <w:rPr>
                <w:rFonts w:ascii="Times New Roman" w:hAnsi="Times New Roman" w:cs="Times New Roman"/>
                <w:sz w:val="18"/>
                <w:szCs w:val="18"/>
              </w:rPr>
            </w:pPr>
          </w:p>
          <w:p w14:paraId="06905F89"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notified body shall take out liability insurance unless liability is assumed by the Member State in accordance with national law, or the Member State itself is directly responsible for the assessment and/or the verification performed.</w:t>
            </w:r>
          </w:p>
          <w:p w14:paraId="6BADB16E" w14:textId="77777777" w:rsidR="00353083" w:rsidRPr="00487209" w:rsidRDefault="00353083"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017CBEAD" w14:textId="2EDED606" w:rsidR="00193167" w:rsidRPr="00487209" w:rsidRDefault="00386B8B"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t>01</w:t>
            </w:r>
          </w:p>
          <w:p w14:paraId="29ABB41D" w14:textId="52726190" w:rsidR="00147811" w:rsidRPr="00487209" w:rsidRDefault="00193167" w:rsidP="00386B8B">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386B8B" w:rsidRPr="00487209">
              <w:rPr>
                <w:rFonts w:ascii="Times New Roman" w:hAnsi="Times New Roman" w:cs="Times New Roman"/>
                <w:sz w:val="18"/>
                <w:szCs w:val="18"/>
                <w:lang w:val="sr-Latn-CS"/>
              </w:rPr>
              <w:t>39</w:t>
            </w:r>
            <w:r w:rsidR="00386B8B" w:rsidRPr="00487209">
              <w:rPr>
                <w:rFonts w:ascii="Times New Roman" w:hAnsi="Times New Roman" w:cs="Times New Roman"/>
                <w:sz w:val="18"/>
                <w:szCs w:val="18"/>
                <w:lang w:val="ru-RU"/>
              </w:rPr>
              <w:t>.7</w:t>
            </w:r>
            <w:r w:rsidR="0018649D" w:rsidRPr="00487209">
              <w:rPr>
                <w:rFonts w:ascii="Times New Roman" w:hAnsi="Times New Roman" w:cs="Times New Roman"/>
                <w:sz w:val="18"/>
                <w:szCs w:val="18"/>
                <w:lang w:val="ru-RU"/>
              </w:rPr>
              <w:t>.</w:t>
            </w:r>
          </w:p>
        </w:tc>
        <w:tc>
          <w:tcPr>
            <w:tcW w:w="1231" w:type="pct"/>
            <w:gridSpan w:val="2"/>
            <w:shd w:val="clear" w:color="auto" w:fill="auto"/>
            <w:vAlign w:val="center"/>
          </w:tcPr>
          <w:p w14:paraId="3B297808" w14:textId="77777777" w:rsidR="006718D9" w:rsidRPr="00487209" w:rsidRDefault="006718D9" w:rsidP="006C6323">
            <w:pPr>
              <w:pStyle w:val="Style10"/>
              <w:spacing w:before="240" w:line="240" w:lineRule="auto"/>
              <w:ind w:right="-23"/>
              <w:rPr>
                <w:rFonts w:ascii="Times New Roman" w:hAnsi="Times New Roman"/>
                <w:sz w:val="18"/>
                <w:szCs w:val="18"/>
              </w:rPr>
            </w:pPr>
            <w:r w:rsidRPr="00487209">
              <w:rPr>
                <w:rFonts w:ascii="Times New Roman" w:hAnsi="Times New Roman"/>
                <w:sz w:val="18"/>
                <w:szCs w:val="18"/>
                <w:lang w:val="sr-Cyrl-CS"/>
              </w:rPr>
              <w:t>Именовано тело за оцењивање и верификацију сталности перформанси поседује осигурање од одговорности за спроведено оцењивање и/или верификацију.</w:t>
            </w:r>
          </w:p>
          <w:p w14:paraId="40EE926D"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1B7434B8"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54173782"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19B946B4"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7CD88404" w14:textId="77777777" w:rsidTr="007D5144">
        <w:trPr>
          <w:trHeight w:val="771"/>
          <w:jc w:val="center"/>
        </w:trPr>
        <w:tc>
          <w:tcPr>
            <w:tcW w:w="435" w:type="pct"/>
            <w:shd w:val="clear" w:color="auto" w:fill="auto"/>
            <w:vAlign w:val="center"/>
          </w:tcPr>
          <w:p w14:paraId="11BE42E4"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43.10.</w:t>
            </w:r>
          </w:p>
        </w:tc>
        <w:tc>
          <w:tcPr>
            <w:tcW w:w="1369" w:type="pct"/>
            <w:gridSpan w:val="2"/>
            <w:shd w:val="clear" w:color="auto" w:fill="auto"/>
            <w:vAlign w:val="center"/>
          </w:tcPr>
          <w:p w14:paraId="4B18EA96"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personnel of the notified body shall be bound to observe professional secrecy with regard to all information gained in carrying out its tasks under Annex V, except in relation to the competent administrative authorities of the Member State in which its activities are carried out. Proprietary rights shall be protected.</w:t>
            </w:r>
          </w:p>
        </w:tc>
        <w:tc>
          <w:tcPr>
            <w:tcW w:w="429" w:type="pct"/>
            <w:shd w:val="clear" w:color="auto" w:fill="auto"/>
            <w:vAlign w:val="center"/>
          </w:tcPr>
          <w:p w14:paraId="15EC5A75" w14:textId="1437428D" w:rsidR="00193167" w:rsidRPr="00487209" w:rsidRDefault="00386B8B"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t>01</w:t>
            </w:r>
          </w:p>
          <w:p w14:paraId="2756E571" w14:textId="24C1F13C" w:rsidR="00147811" w:rsidRPr="00487209" w:rsidRDefault="00193167" w:rsidP="00386B8B">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386B8B" w:rsidRPr="00487209">
              <w:rPr>
                <w:rFonts w:ascii="Times New Roman" w:hAnsi="Times New Roman" w:cs="Times New Roman"/>
                <w:sz w:val="18"/>
                <w:szCs w:val="18"/>
                <w:lang w:val="sr-Latn-CS"/>
              </w:rPr>
              <w:t>39</w:t>
            </w:r>
            <w:r w:rsidR="00206321" w:rsidRPr="00487209">
              <w:rPr>
                <w:rFonts w:ascii="Times New Roman" w:hAnsi="Times New Roman" w:cs="Times New Roman"/>
                <w:sz w:val="18"/>
                <w:szCs w:val="18"/>
                <w:lang w:val="ru-RU"/>
              </w:rPr>
              <w:t>.</w:t>
            </w:r>
            <w:r w:rsidR="00386B8B" w:rsidRPr="00487209">
              <w:rPr>
                <w:rFonts w:ascii="Times New Roman" w:hAnsi="Times New Roman" w:cs="Times New Roman"/>
                <w:sz w:val="18"/>
                <w:szCs w:val="18"/>
                <w:lang w:val="sr-Latn-CS"/>
              </w:rPr>
              <w:t>8</w:t>
            </w:r>
            <w:r w:rsidR="00206321" w:rsidRPr="00487209">
              <w:rPr>
                <w:rFonts w:ascii="Times New Roman" w:hAnsi="Times New Roman" w:cs="Times New Roman"/>
                <w:sz w:val="18"/>
                <w:szCs w:val="18"/>
                <w:lang w:val="ru-RU"/>
              </w:rPr>
              <w:t>.</w:t>
            </w:r>
          </w:p>
        </w:tc>
        <w:tc>
          <w:tcPr>
            <w:tcW w:w="1231" w:type="pct"/>
            <w:gridSpan w:val="2"/>
            <w:shd w:val="clear" w:color="auto" w:fill="auto"/>
            <w:vAlign w:val="center"/>
          </w:tcPr>
          <w:p w14:paraId="44A1DCBF" w14:textId="77777777" w:rsidR="00D36C60" w:rsidRPr="00D36C60" w:rsidRDefault="00D36C60" w:rsidP="00D36C60">
            <w:pPr>
              <w:pStyle w:val="Style10"/>
              <w:rPr>
                <w:rFonts w:ascii="Times New Roman" w:hAnsi="Times New Roman"/>
                <w:sz w:val="18"/>
                <w:szCs w:val="18"/>
                <w:lang w:val="sr-Cyrl-CS"/>
              </w:rPr>
            </w:pPr>
            <w:r w:rsidRPr="00D36C60">
              <w:rPr>
                <w:rFonts w:ascii="Times New Roman" w:hAnsi="Times New Roman"/>
                <w:sz w:val="18"/>
                <w:szCs w:val="18"/>
                <w:lang w:val="sr-Latn-CS"/>
              </w:rPr>
              <w:t>Запослен</w:t>
            </w:r>
            <w:r w:rsidRPr="00D36C60">
              <w:rPr>
                <w:rFonts w:ascii="Times New Roman" w:hAnsi="Times New Roman"/>
                <w:sz w:val="18"/>
                <w:szCs w:val="18"/>
                <w:lang w:val="sr-Cyrl-CS"/>
              </w:rPr>
              <w:t>а</w:t>
            </w:r>
            <w:r w:rsidRPr="00D36C60">
              <w:rPr>
                <w:rFonts w:ascii="Times New Roman" w:hAnsi="Times New Roman"/>
                <w:sz w:val="18"/>
                <w:szCs w:val="18"/>
                <w:lang w:val="sr-Latn-CS"/>
              </w:rPr>
              <w:t xml:space="preserve"> и друг</w:t>
            </w:r>
            <w:r w:rsidRPr="00D36C60">
              <w:rPr>
                <w:rFonts w:ascii="Times New Roman" w:hAnsi="Times New Roman"/>
                <w:sz w:val="18"/>
                <w:szCs w:val="18"/>
                <w:lang w:val="sr-Cyrl-CS"/>
              </w:rPr>
              <w:t>а</w:t>
            </w:r>
            <w:r w:rsidRPr="00D36C60">
              <w:rPr>
                <w:rFonts w:ascii="Times New Roman" w:hAnsi="Times New Roman"/>
                <w:sz w:val="18"/>
                <w:szCs w:val="18"/>
                <w:lang w:val="sr-Latn-CS"/>
              </w:rPr>
              <w:t xml:space="preserve"> </w:t>
            </w:r>
            <w:r w:rsidRPr="00D36C60">
              <w:rPr>
                <w:rFonts w:ascii="Times New Roman" w:hAnsi="Times New Roman"/>
                <w:sz w:val="18"/>
                <w:szCs w:val="18"/>
                <w:lang w:val="sr-Cyrl-CS"/>
              </w:rPr>
              <w:t xml:space="preserve">радно </w:t>
            </w:r>
            <w:r w:rsidRPr="00D36C60">
              <w:rPr>
                <w:rFonts w:ascii="Times New Roman" w:hAnsi="Times New Roman"/>
                <w:sz w:val="18"/>
                <w:szCs w:val="18"/>
                <w:lang w:val="sr-Latn-CS"/>
              </w:rPr>
              <w:t>ангажован</w:t>
            </w:r>
            <w:r w:rsidRPr="00D36C60">
              <w:rPr>
                <w:rFonts w:ascii="Times New Roman" w:hAnsi="Times New Roman"/>
                <w:sz w:val="18"/>
                <w:szCs w:val="18"/>
                <w:lang w:val="sr-Cyrl-CS"/>
              </w:rPr>
              <w:t>а</w:t>
            </w:r>
            <w:r w:rsidRPr="00D36C60">
              <w:rPr>
                <w:rFonts w:ascii="Times New Roman" w:hAnsi="Times New Roman"/>
                <w:sz w:val="18"/>
                <w:szCs w:val="18"/>
                <w:lang w:val="sr-Latn-CS"/>
              </w:rPr>
              <w:t xml:space="preserve"> лица</w:t>
            </w:r>
            <w:r w:rsidRPr="00D36C60" w:rsidDel="00603545">
              <w:rPr>
                <w:rFonts w:ascii="Times New Roman" w:hAnsi="Times New Roman"/>
                <w:sz w:val="18"/>
                <w:szCs w:val="18"/>
                <w:lang w:val="sr-Cyrl-CS"/>
              </w:rPr>
              <w:t xml:space="preserve"> </w:t>
            </w:r>
            <w:r w:rsidRPr="00D36C60">
              <w:rPr>
                <w:rFonts w:ascii="Times New Roman" w:hAnsi="Times New Roman"/>
                <w:sz w:val="18"/>
                <w:szCs w:val="18"/>
                <w:lang w:val="sr-Cyrl-CS"/>
              </w:rPr>
              <w:t>именованог тела за оцењивање и верификацију сталности перформанси је обавезно да чува пословну тајну у вези са свим информацијама добијеним приликом обављања задатака независне треће стране у поступку оцењивања и верификације сталности перформанси, осим када то захтева надлежни орган тржишног надзора, при чему права својине произвођача морају бити заштићена.</w:t>
            </w:r>
          </w:p>
          <w:p w14:paraId="40B18E6A"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76B14262"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094CAD8E"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DAACF1D"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04051886" w14:textId="77777777" w:rsidTr="007D5144">
        <w:trPr>
          <w:trHeight w:val="2389"/>
          <w:jc w:val="center"/>
        </w:trPr>
        <w:tc>
          <w:tcPr>
            <w:tcW w:w="435" w:type="pct"/>
            <w:shd w:val="clear" w:color="auto" w:fill="auto"/>
            <w:vAlign w:val="center"/>
          </w:tcPr>
          <w:p w14:paraId="194D90A8"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43.11.</w:t>
            </w:r>
          </w:p>
        </w:tc>
        <w:tc>
          <w:tcPr>
            <w:tcW w:w="1369" w:type="pct"/>
            <w:gridSpan w:val="2"/>
            <w:shd w:val="clear" w:color="auto" w:fill="auto"/>
            <w:vAlign w:val="center"/>
          </w:tcPr>
          <w:p w14:paraId="4FB3329B" w14:textId="77777777" w:rsidR="00353083" w:rsidRPr="00487209" w:rsidRDefault="00353083" w:rsidP="006C6323">
            <w:pPr>
              <w:spacing w:before="100" w:beforeAutospacing="1" w:after="100" w:afterAutospacing="1"/>
              <w:jc w:val="both"/>
              <w:rPr>
                <w:rFonts w:ascii="Times New Roman" w:hAnsi="Times New Roman" w:cs="Times New Roman"/>
                <w:sz w:val="18"/>
                <w:szCs w:val="18"/>
              </w:rPr>
            </w:pPr>
          </w:p>
          <w:p w14:paraId="28A93947"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notified body shall participate in, or ensure that its assessment personnel is informed of, the relevant standardisation activities and the activities of the notified body coordination group established under this Regulation and shall apply as general guidance the administrative decisions and documents produced as a work result of that group.</w:t>
            </w:r>
          </w:p>
          <w:p w14:paraId="7F0731E1" w14:textId="77777777" w:rsidR="00353083" w:rsidRPr="00487209" w:rsidRDefault="00353083"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521183D1"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04FAC52B"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236AA6BD"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w:t>
            </w:r>
            <w:r w:rsidR="003E4B01" w:rsidRPr="00487209">
              <w:rPr>
                <w:rFonts w:ascii="Times New Roman" w:hAnsi="Times New Roman" w:cs="Times New Roman"/>
                <w:sz w:val="18"/>
                <w:szCs w:val="18"/>
                <w:lang w:val="sr-Cyrl-CS"/>
              </w:rPr>
              <w:t>У</w:t>
            </w:r>
          </w:p>
        </w:tc>
        <w:tc>
          <w:tcPr>
            <w:tcW w:w="598" w:type="pct"/>
            <w:gridSpan w:val="2"/>
            <w:shd w:val="clear" w:color="auto" w:fill="auto"/>
            <w:vAlign w:val="center"/>
          </w:tcPr>
          <w:p w14:paraId="4D8B6944" w14:textId="7C29D67D" w:rsidR="00147811" w:rsidRPr="00487209" w:rsidRDefault="00295C9D"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43.11.</w:t>
            </w:r>
            <w:r w:rsidR="00147811" w:rsidRPr="00487209">
              <w:rPr>
                <w:rFonts w:ascii="Times New Roman" w:hAnsi="Times New Roman" w:cs="Times New Roman"/>
                <w:sz w:val="18"/>
                <w:szCs w:val="18"/>
                <w:lang w:val="sr-Cyrl-CS"/>
              </w:rPr>
              <w:t xml:space="preserve"> Уредбе 305/2011 (ЕУ) није пренет, због статуса нечланице ЕУ. </w:t>
            </w:r>
            <w:r w:rsidR="00157B44" w:rsidRPr="00487209">
              <w:rPr>
                <w:rFonts w:ascii="Times New Roman" w:hAnsi="Times New Roman" w:cs="Times New Roman"/>
                <w:sz w:val="18"/>
                <w:szCs w:val="18"/>
                <w:lang w:val="sr-Cyrl-CS"/>
              </w:rPr>
              <w:t xml:space="preserve">Усклађивање </w:t>
            </w:r>
            <w:r w:rsidR="00147811" w:rsidRPr="00487209">
              <w:rPr>
                <w:rFonts w:ascii="Times New Roman" w:hAnsi="Times New Roman" w:cs="Times New Roman"/>
                <w:sz w:val="18"/>
                <w:szCs w:val="18"/>
                <w:lang w:val="sr-Cyrl-CS"/>
              </w:rPr>
              <w:t xml:space="preserve">ће </w:t>
            </w:r>
            <w:r w:rsidR="00157B44" w:rsidRPr="00487209">
              <w:rPr>
                <w:rFonts w:ascii="Times New Roman" w:hAnsi="Times New Roman" w:cs="Times New Roman"/>
                <w:sz w:val="18"/>
                <w:szCs w:val="18"/>
                <w:lang w:val="sr-Cyrl-CS"/>
              </w:rPr>
              <w:t xml:space="preserve">бити </w:t>
            </w:r>
            <w:r w:rsidR="00147811" w:rsidRPr="00487209">
              <w:rPr>
                <w:rFonts w:ascii="Times New Roman" w:hAnsi="Times New Roman" w:cs="Times New Roman"/>
                <w:sz w:val="18"/>
                <w:szCs w:val="18"/>
                <w:lang w:val="sr-Cyrl-CS"/>
              </w:rPr>
              <w:t>могуће након приступања ЕУ.</w:t>
            </w:r>
          </w:p>
        </w:tc>
        <w:tc>
          <w:tcPr>
            <w:tcW w:w="480" w:type="pct"/>
            <w:shd w:val="clear" w:color="auto" w:fill="auto"/>
            <w:vAlign w:val="center"/>
          </w:tcPr>
          <w:p w14:paraId="78522FEA"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419B82BD" w14:textId="77777777" w:rsidTr="007D5144">
        <w:trPr>
          <w:trHeight w:val="771"/>
          <w:jc w:val="center"/>
        </w:trPr>
        <w:tc>
          <w:tcPr>
            <w:tcW w:w="435" w:type="pct"/>
            <w:shd w:val="clear" w:color="auto" w:fill="auto"/>
            <w:vAlign w:val="center"/>
          </w:tcPr>
          <w:p w14:paraId="528A918A"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44</w:t>
            </w:r>
            <w:r w:rsidR="004A45BE" w:rsidRPr="00487209">
              <w:rPr>
                <w:rFonts w:ascii="Times New Roman" w:hAnsi="Times New Roman" w:cs="Times New Roman"/>
                <w:sz w:val="18"/>
                <w:szCs w:val="18"/>
              </w:rPr>
              <w:t>.</w:t>
            </w:r>
          </w:p>
        </w:tc>
        <w:tc>
          <w:tcPr>
            <w:tcW w:w="1369" w:type="pct"/>
            <w:gridSpan w:val="2"/>
            <w:shd w:val="clear" w:color="auto" w:fill="auto"/>
            <w:vAlign w:val="center"/>
          </w:tcPr>
          <w:p w14:paraId="28FE3234" w14:textId="77777777" w:rsidR="00147811" w:rsidRPr="00487209" w:rsidRDefault="00147811" w:rsidP="006C6323">
            <w:pPr>
              <w:spacing w:before="100" w:beforeAutospacing="1" w:after="100" w:afterAutospacing="1"/>
              <w:rPr>
                <w:rFonts w:ascii="Times New Roman" w:hAnsi="Times New Roman" w:cs="Times New Roman"/>
                <w:sz w:val="18"/>
                <w:szCs w:val="18"/>
              </w:rPr>
            </w:pPr>
            <w:r w:rsidRPr="00487209">
              <w:rPr>
                <w:rFonts w:ascii="Times New Roman" w:hAnsi="Times New Roman" w:cs="Times New Roman"/>
                <w:sz w:val="18"/>
                <w:szCs w:val="18"/>
              </w:rPr>
              <w:t>A notified body to be authorised to carry out third party tasks in the process of assessment and verification of constancy of performance which demonstrates its conformity with the criteria laid down in the relevant harmonised standards or parts thereof, the references of which have been published in the Official Journal of the European Union, shall be presumed to comply with the requirements set out in Article 43 in so far as the applicable harmonised standards cover those requirements.</w:t>
            </w:r>
          </w:p>
        </w:tc>
        <w:tc>
          <w:tcPr>
            <w:tcW w:w="429" w:type="pct"/>
            <w:shd w:val="clear" w:color="auto" w:fill="auto"/>
            <w:vAlign w:val="center"/>
          </w:tcPr>
          <w:p w14:paraId="3AD8AAEA" w14:textId="4B986FFE" w:rsidR="00193167" w:rsidRPr="00487209" w:rsidRDefault="00386B8B"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t>01</w:t>
            </w:r>
          </w:p>
          <w:p w14:paraId="2521AB6D" w14:textId="42DF686E" w:rsidR="00147811" w:rsidRPr="00487209" w:rsidRDefault="00193167" w:rsidP="00386B8B">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386B8B" w:rsidRPr="00487209">
              <w:rPr>
                <w:rFonts w:ascii="Times New Roman" w:hAnsi="Times New Roman" w:cs="Times New Roman"/>
                <w:sz w:val="18"/>
                <w:szCs w:val="18"/>
                <w:lang w:val="sr-Latn-CS"/>
              </w:rPr>
              <w:t>40</w:t>
            </w:r>
            <w:r w:rsidR="00147811" w:rsidRPr="00487209">
              <w:rPr>
                <w:rFonts w:ascii="Times New Roman" w:hAnsi="Times New Roman" w:cs="Times New Roman"/>
                <w:sz w:val="18"/>
                <w:szCs w:val="18"/>
                <w:lang w:val="ru-RU"/>
              </w:rPr>
              <w:t>.</w:t>
            </w:r>
          </w:p>
        </w:tc>
        <w:tc>
          <w:tcPr>
            <w:tcW w:w="1231" w:type="pct"/>
            <w:gridSpan w:val="2"/>
            <w:shd w:val="clear" w:color="auto" w:fill="auto"/>
            <w:vAlign w:val="center"/>
          </w:tcPr>
          <w:p w14:paraId="5F0DBED8" w14:textId="4FCD67A6" w:rsidR="00353083" w:rsidRPr="00487209" w:rsidRDefault="00386B8B" w:rsidP="00386B8B">
            <w:pPr>
              <w:spacing w:before="120"/>
              <w:ind w:right="-23"/>
              <w:jc w:val="both"/>
              <w:rPr>
                <w:rFonts w:ascii="Times New Roman" w:eastAsia="Times New Roman" w:hAnsi="Times New Roman" w:cs="Times New Roman"/>
                <w:sz w:val="18"/>
                <w:szCs w:val="18"/>
                <w:lang w:val="sr-Cyrl-CS"/>
              </w:rPr>
            </w:pPr>
            <w:r w:rsidRPr="00487209">
              <w:rPr>
                <w:rFonts w:ascii="Times New Roman" w:eastAsia="Times New Roman" w:hAnsi="Times New Roman" w:cs="Times New Roman"/>
                <w:sz w:val="18"/>
                <w:szCs w:val="18"/>
                <w:lang w:val="sr-Cyrl-CS"/>
              </w:rPr>
              <w:t xml:space="preserve"> </w:t>
            </w:r>
            <w:r w:rsidR="0019631A" w:rsidRPr="0019631A">
              <w:rPr>
                <w:rFonts w:ascii="Times New Roman" w:eastAsia="Times New Roman" w:hAnsi="Times New Roman" w:cs="Times New Roman"/>
                <w:sz w:val="18"/>
                <w:szCs w:val="18"/>
                <w:lang w:val="sr-Cyrl-CS"/>
              </w:rPr>
              <w:t>Именовано тело за оцењивање и верификацију сталности перформанси, које поседује сертификат о акредитацији испуњава прописане захтеве из члана 39. овог закона у мери у којој су прописани захтеви обухваћени обимом акредитације, узимајући у обзир поступке оцењивања и верификације сталности перформанси за грађевинске производе обухваћене акредитацијом.</w:t>
            </w:r>
          </w:p>
        </w:tc>
        <w:tc>
          <w:tcPr>
            <w:tcW w:w="458" w:type="pct"/>
            <w:shd w:val="clear" w:color="auto" w:fill="auto"/>
            <w:vAlign w:val="center"/>
          </w:tcPr>
          <w:p w14:paraId="2D5F5EAE" w14:textId="77777777" w:rsidR="00147811" w:rsidRPr="00487209" w:rsidRDefault="004A45BE"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ДУ</w:t>
            </w:r>
          </w:p>
        </w:tc>
        <w:tc>
          <w:tcPr>
            <w:tcW w:w="598" w:type="pct"/>
            <w:gridSpan w:val="2"/>
            <w:shd w:val="clear" w:color="auto" w:fill="auto"/>
            <w:vAlign w:val="center"/>
          </w:tcPr>
          <w:p w14:paraId="3EBFF681" w14:textId="2A9FB66A" w:rsidR="00147811" w:rsidRPr="00487209" w:rsidRDefault="00295C9D" w:rsidP="00BD1E56">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4A45BE" w:rsidRPr="00487209">
              <w:rPr>
                <w:rFonts w:ascii="Times New Roman" w:hAnsi="Times New Roman" w:cs="Times New Roman"/>
                <w:sz w:val="18"/>
                <w:szCs w:val="18"/>
                <w:lang w:val="ru-RU"/>
              </w:rPr>
              <w:t xml:space="preserve"> </w:t>
            </w:r>
            <w:r w:rsidR="00BD1E56" w:rsidRPr="00487209">
              <w:rPr>
                <w:rFonts w:ascii="Times New Roman" w:hAnsi="Times New Roman" w:cs="Times New Roman"/>
                <w:sz w:val="18"/>
                <w:szCs w:val="18"/>
                <w:lang w:val="ru-RU"/>
              </w:rPr>
              <w:t>40</w:t>
            </w:r>
            <w:r w:rsidR="004A45BE" w:rsidRPr="00487209">
              <w:rPr>
                <w:rFonts w:ascii="Times New Roman" w:hAnsi="Times New Roman" w:cs="Times New Roman"/>
                <w:sz w:val="18"/>
                <w:szCs w:val="18"/>
                <w:lang w:val="ru-RU"/>
              </w:rPr>
              <w:t xml:space="preserve">.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Pr>
                <w:rFonts w:ascii="Times New Roman" w:hAnsi="Times New Roman" w:cs="Times New Roman"/>
                <w:sz w:val="18"/>
                <w:szCs w:val="18"/>
                <w:lang w:val="ru-RU"/>
              </w:rPr>
              <w:t xml:space="preserve"> је делимично усклађен са чланом</w:t>
            </w:r>
            <w:r w:rsidR="004A45BE" w:rsidRPr="00487209">
              <w:rPr>
                <w:rFonts w:ascii="Times New Roman" w:hAnsi="Times New Roman" w:cs="Times New Roman"/>
                <w:sz w:val="18"/>
                <w:szCs w:val="18"/>
                <w:lang w:val="ru-RU"/>
              </w:rPr>
              <w:t xml:space="preserve"> </w:t>
            </w:r>
            <w:r w:rsidR="004A45BE" w:rsidRPr="00487209">
              <w:rPr>
                <w:rFonts w:ascii="Times New Roman" w:hAnsi="Times New Roman" w:cs="Times New Roman"/>
                <w:sz w:val="18"/>
                <w:szCs w:val="18"/>
                <w:lang w:val="sr-Cyrl-CS"/>
              </w:rPr>
              <w:t>44. Уредбе 305/2011 (ЕУ)</w:t>
            </w:r>
            <w:r w:rsidR="00310933" w:rsidRPr="00487209">
              <w:rPr>
                <w:rFonts w:ascii="Times New Roman" w:hAnsi="Times New Roman" w:cs="Times New Roman"/>
                <w:sz w:val="18"/>
                <w:szCs w:val="18"/>
                <w:lang w:val="sr-Cyrl-CS"/>
              </w:rPr>
              <w:t>.</w:t>
            </w:r>
            <w:r w:rsidR="004A45BE" w:rsidRPr="00487209">
              <w:rPr>
                <w:rFonts w:ascii="Times New Roman" w:hAnsi="Times New Roman" w:cs="Times New Roman"/>
                <w:sz w:val="18"/>
                <w:szCs w:val="18"/>
                <w:lang w:val="sr-Cyrl-CS"/>
              </w:rPr>
              <w:t xml:space="preserve"> Потпуно усклађивање биће могуће након приступања ЕУ.</w:t>
            </w:r>
          </w:p>
        </w:tc>
        <w:tc>
          <w:tcPr>
            <w:tcW w:w="480" w:type="pct"/>
            <w:shd w:val="clear" w:color="auto" w:fill="auto"/>
            <w:vAlign w:val="center"/>
          </w:tcPr>
          <w:p w14:paraId="65607CAA"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537D505D" w14:textId="77777777" w:rsidTr="007D5144">
        <w:trPr>
          <w:trHeight w:val="771"/>
          <w:jc w:val="center"/>
        </w:trPr>
        <w:tc>
          <w:tcPr>
            <w:tcW w:w="435" w:type="pct"/>
            <w:shd w:val="clear" w:color="auto" w:fill="auto"/>
            <w:vAlign w:val="center"/>
          </w:tcPr>
          <w:p w14:paraId="05F3659B"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45.1</w:t>
            </w:r>
          </w:p>
        </w:tc>
        <w:tc>
          <w:tcPr>
            <w:tcW w:w="1369" w:type="pct"/>
            <w:gridSpan w:val="2"/>
            <w:shd w:val="clear" w:color="auto" w:fill="auto"/>
            <w:vAlign w:val="center"/>
          </w:tcPr>
          <w:p w14:paraId="658D8FB9" w14:textId="77777777" w:rsidR="00353083" w:rsidRPr="00487209" w:rsidRDefault="00353083" w:rsidP="006C6323">
            <w:pPr>
              <w:spacing w:before="100" w:beforeAutospacing="1" w:after="100" w:afterAutospacing="1"/>
              <w:jc w:val="both"/>
              <w:rPr>
                <w:rFonts w:ascii="Times New Roman" w:hAnsi="Times New Roman" w:cs="Times New Roman"/>
                <w:sz w:val="18"/>
                <w:szCs w:val="18"/>
              </w:rPr>
            </w:pPr>
          </w:p>
          <w:p w14:paraId="02CF90B1"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Where a notified body subcontracts specific tasks connected with the third party tasks in the process of assessment and verification of constancy of performance or has recourse to a subsidiary, it shall ensure that the subcontractor or the subsidiary meets the requirements set out in Article 43, and shall inform the notifying authority accordingly.</w:t>
            </w:r>
          </w:p>
        </w:tc>
        <w:tc>
          <w:tcPr>
            <w:tcW w:w="429" w:type="pct"/>
            <w:shd w:val="clear" w:color="auto" w:fill="auto"/>
            <w:vAlign w:val="center"/>
          </w:tcPr>
          <w:p w14:paraId="6FEE79AA" w14:textId="3E9C4895" w:rsidR="00193167" w:rsidRPr="00487209" w:rsidRDefault="00C14F6A"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t>01</w:t>
            </w:r>
          </w:p>
          <w:p w14:paraId="2ABE64C6" w14:textId="387A10BE" w:rsidR="00147811" w:rsidRPr="00487209" w:rsidRDefault="00193167" w:rsidP="00C14F6A">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C14F6A" w:rsidRPr="00487209">
              <w:rPr>
                <w:rFonts w:ascii="Times New Roman" w:hAnsi="Times New Roman" w:cs="Times New Roman"/>
                <w:sz w:val="18"/>
                <w:szCs w:val="18"/>
                <w:lang w:val="sr-Latn-CS"/>
              </w:rPr>
              <w:t>41</w:t>
            </w:r>
            <w:r w:rsidR="006512B9" w:rsidRPr="00487209">
              <w:rPr>
                <w:rFonts w:ascii="Times New Roman" w:hAnsi="Times New Roman" w:cs="Times New Roman"/>
                <w:sz w:val="18"/>
                <w:szCs w:val="18"/>
                <w:lang w:val="ru-RU"/>
              </w:rPr>
              <w:t>.</w:t>
            </w:r>
            <w:r w:rsidR="00147811" w:rsidRPr="00487209">
              <w:rPr>
                <w:rFonts w:ascii="Times New Roman" w:hAnsi="Times New Roman" w:cs="Times New Roman"/>
                <w:sz w:val="18"/>
                <w:szCs w:val="18"/>
                <w:lang w:val="ru-RU"/>
              </w:rPr>
              <w:t>1.</w:t>
            </w:r>
          </w:p>
        </w:tc>
        <w:tc>
          <w:tcPr>
            <w:tcW w:w="1231" w:type="pct"/>
            <w:gridSpan w:val="2"/>
            <w:shd w:val="clear" w:color="auto" w:fill="auto"/>
            <w:vAlign w:val="center"/>
          </w:tcPr>
          <w:p w14:paraId="652CCDA1" w14:textId="77777777" w:rsidR="00353083" w:rsidRPr="00487209" w:rsidRDefault="00353083" w:rsidP="006C6323">
            <w:pPr>
              <w:pStyle w:val="Style10"/>
              <w:spacing w:before="240" w:line="240" w:lineRule="auto"/>
              <w:ind w:right="-23"/>
              <w:rPr>
                <w:rFonts w:ascii="Times New Roman" w:hAnsi="Times New Roman"/>
                <w:sz w:val="18"/>
                <w:szCs w:val="18"/>
                <w:lang w:val="sr-Cyrl-CS"/>
              </w:rPr>
            </w:pPr>
          </w:p>
          <w:p w14:paraId="7D43A399" w14:textId="78D0F2E7" w:rsidR="00147811" w:rsidRPr="00487209" w:rsidRDefault="00C14F6A" w:rsidP="0019631A">
            <w:pPr>
              <w:spacing w:before="120"/>
              <w:ind w:right="-23"/>
              <w:jc w:val="both"/>
              <w:rPr>
                <w:rFonts w:ascii="Times New Roman" w:eastAsia="Batang" w:hAnsi="Times New Roman" w:cs="Times New Roman"/>
                <w:b/>
                <w:bCs/>
                <w:sz w:val="18"/>
                <w:szCs w:val="18"/>
                <w:lang w:val="sr-Cyrl-CS" w:eastAsia="ko-KR"/>
              </w:rPr>
            </w:pPr>
            <w:r w:rsidRPr="00487209">
              <w:rPr>
                <w:rFonts w:ascii="Times New Roman" w:eastAsia="Batang" w:hAnsi="Times New Roman" w:cs="Times New Roman"/>
                <w:sz w:val="18"/>
                <w:szCs w:val="18"/>
                <w:lang w:val="sr-Cyrl-CS" w:eastAsia="ko-KR"/>
              </w:rPr>
              <w:t xml:space="preserve">Када именовано тело за оцењивање и верификацију сталности перформанси подуговори одређене послове у вези са задацима </w:t>
            </w:r>
            <w:r w:rsidR="0019631A">
              <w:rPr>
                <w:rFonts w:ascii="Times New Roman" w:eastAsia="Batang" w:hAnsi="Times New Roman" w:cs="Times New Roman"/>
                <w:sz w:val="18"/>
                <w:szCs w:val="18"/>
                <w:lang w:val="sr-Cyrl-CS" w:eastAsia="ko-KR"/>
              </w:rPr>
              <w:t xml:space="preserve">независне </w:t>
            </w:r>
            <w:r w:rsidRPr="00487209">
              <w:rPr>
                <w:rFonts w:ascii="Times New Roman" w:eastAsia="Batang" w:hAnsi="Times New Roman" w:cs="Times New Roman"/>
                <w:sz w:val="18"/>
                <w:szCs w:val="18"/>
                <w:lang w:val="sr-Cyrl-CS" w:eastAsia="ko-KR"/>
              </w:rPr>
              <w:t xml:space="preserve">треће стране у поступку оцењивања и верификације сталности перформанси грађевинског производа или их повери неком повезаном правном лицу, </w:t>
            </w:r>
            <w:r w:rsidR="0019631A">
              <w:rPr>
                <w:rFonts w:ascii="Times New Roman" w:eastAsia="Batang" w:hAnsi="Times New Roman" w:cs="Times New Roman"/>
                <w:sz w:val="18"/>
                <w:szCs w:val="18"/>
                <w:lang w:val="sr-Cyrl-CS" w:eastAsia="ko-KR"/>
              </w:rPr>
              <w:t>то тело</w:t>
            </w:r>
            <w:r w:rsidR="0019631A" w:rsidRPr="00487209">
              <w:rPr>
                <w:rFonts w:ascii="Times New Roman" w:eastAsia="Batang" w:hAnsi="Times New Roman" w:cs="Times New Roman"/>
                <w:sz w:val="18"/>
                <w:szCs w:val="18"/>
                <w:lang w:val="sr-Cyrl-CS" w:eastAsia="ko-KR"/>
              </w:rPr>
              <w:t xml:space="preserve"> </w:t>
            </w:r>
            <w:r w:rsidRPr="00487209">
              <w:rPr>
                <w:rFonts w:ascii="Times New Roman" w:eastAsia="Batang" w:hAnsi="Times New Roman" w:cs="Times New Roman"/>
                <w:sz w:val="18"/>
                <w:szCs w:val="18"/>
                <w:lang w:val="sr-Cyrl-CS" w:eastAsia="ko-KR"/>
              </w:rPr>
              <w:t xml:space="preserve">осигурава да тај подуговарач или повезано правно лице испуњава захтеве из члана </w:t>
            </w:r>
            <w:r w:rsidRPr="00487209">
              <w:rPr>
                <w:rFonts w:ascii="Times New Roman" w:eastAsia="Batang" w:hAnsi="Times New Roman" w:cs="Times New Roman"/>
                <w:sz w:val="18"/>
                <w:szCs w:val="18"/>
                <w:shd w:val="clear" w:color="auto" w:fill="FFFFFF"/>
                <w:lang w:val="sr-Cyrl-CS" w:eastAsia="ko-KR"/>
              </w:rPr>
              <w:t>39</w:t>
            </w:r>
            <w:r w:rsidRPr="00487209">
              <w:rPr>
                <w:rFonts w:ascii="Times New Roman" w:eastAsia="Batang" w:hAnsi="Times New Roman" w:cs="Times New Roman"/>
                <w:sz w:val="18"/>
                <w:szCs w:val="18"/>
                <w:lang w:val="sr-Cyrl-CS" w:eastAsia="ko-KR"/>
              </w:rPr>
              <w:t xml:space="preserve">. овог </w:t>
            </w:r>
            <w:r w:rsidRPr="00487209">
              <w:rPr>
                <w:rFonts w:ascii="Times New Roman" w:eastAsia="Batang" w:hAnsi="Times New Roman" w:cs="Times New Roman"/>
                <w:sz w:val="18"/>
                <w:szCs w:val="18"/>
                <w:shd w:val="clear" w:color="auto" w:fill="FFFFFF"/>
                <w:lang w:val="sr-Cyrl-CS" w:eastAsia="ko-KR"/>
              </w:rPr>
              <w:t>закона</w:t>
            </w:r>
            <w:r w:rsidRPr="00487209">
              <w:rPr>
                <w:rFonts w:ascii="Times New Roman" w:eastAsia="Batang" w:hAnsi="Times New Roman" w:cs="Times New Roman"/>
                <w:sz w:val="18"/>
                <w:szCs w:val="18"/>
                <w:lang w:val="sr-Cyrl-CS" w:eastAsia="ko-KR"/>
              </w:rPr>
              <w:t xml:space="preserve"> и о </w:t>
            </w:r>
            <w:r w:rsidRPr="00487209">
              <w:rPr>
                <w:rFonts w:ascii="Times New Roman" w:eastAsia="Batang" w:hAnsi="Times New Roman" w:cs="Times New Roman"/>
                <w:sz w:val="18"/>
                <w:szCs w:val="18"/>
                <w:lang w:val="sr-Cyrl-CS" w:eastAsia="ko-KR"/>
              </w:rPr>
              <w:lastRenderedPageBreak/>
              <w:t>томе, обавештава министарство надлежно за послове грађевинарства.</w:t>
            </w:r>
          </w:p>
        </w:tc>
        <w:tc>
          <w:tcPr>
            <w:tcW w:w="458" w:type="pct"/>
            <w:shd w:val="clear" w:color="auto" w:fill="auto"/>
            <w:vAlign w:val="center"/>
          </w:tcPr>
          <w:p w14:paraId="26E828D5"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lastRenderedPageBreak/>
              <w:t>ПУ</w:t>
            </w:r>
          </w:p>
        </w:tc>
        <w:tc>
          <w:tcPr>
            <w:tcW w:w="598" w:type="pct"/>
            <w:gridSpan w:val="2"/>
            <w:shd w:val="clear" w:color="auto" w:fill="auto"/>
            <w:vAlign w:val="center"/>
          </w:tcPr>
          <w:p w14:paraId="33733DC9"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71609A8"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2F7CF2AC" w14:textId="77777777" w:rsidTr="007D5144">
        <w:trPr>
          <w:trHeight w:val="771"/>
          <w:jc w:val="center"/>
        </w:trPr>
        <w:tc>
          <w:tcPr>
            <w:tcW w:w="435" w:type="pct"/>
            <w:shd w:val="clear" w:color="auto" w:fill="auto"/>
            <w:vAlign w:val="center"/>
          </w:tcPr>
          <w:p w14:paraId="0980F3ED"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45.2</w:t>
            </w:r>
          </w:p>
        </w:tc>
        <w:tc>
          <w:tcPr>
            <w:tcW w:w="1369" w:type="pct"/>
            <w:gridSpan w:val="2"/>
            <w:shd w:val="clear" w:color="auto" w:fill="auto"/>
            <w:vAlign w:val="center"/>
          </w:tcPr>
          <w:p w14:paraId="331A9368"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notified body shall take full responsibility for the tasks performed by subcontractors or subsidiaries wherever these are established.</w:t>
            </w:r>
          </w:p>
        </w:tc>
        <w:tc>
          <w:tcPr>
            <w:tcW w:w="429" w:type="pct"/>
            <w:shd w:val="clear" w:color="auto" w:fill="auto"/>
            <w:vAlign w:val="center"/>
          </w:tcPr>
          <w:p w14:paraId="1D95BB20" w14:textId="6A3C368B" w:rsidR="00193167" w:rsidRPr="00487209" w:rsidRDefault="004F3499"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t>01</w:t>
            </w:r>
          </w:p>
          <w:p w14:paraId="143872E6" w14:textId="1BCBC4F3" w:rsidR="00147811" w:rsidRPr="00487209" w:rsidRDefault="00193167" w:rsidP="004F3499">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4F3499" w:rsidRPr="00487209">
              <w:rPr>
                <w:rFonts w:ascii="Times New Roman" w:hAnsi="Times New Roman" w:cs="Times New Roman"/>
                <w:sz w:val="18"/>
                <w:szCs w:val="18"/>
                <w:lang w:val="sr-Latn-CS"/>
              </w:rPr>
              <w:t>41</w:t>
            </w:r>
            <w:r w:rsidR="006512B9" w:rsidRPr="00487209">
              <w:rPr>
                <w:rFonts w:ascii="Times New Roman" w:hAnsi="Times New Roman" w:cs="Times New Roman"/>
                <w:sz w:val="18"/>
                <w:szCs w:val="18"/>
                <w:lang w:val="ru-RU"/>
              </w:rPr>
              <w:t>.2.</w:t>
            </w:r>
          </w:p>
        </w:tc>
        <w:tc>
          <w:tcPr>
            <w:tcW w:w="1231" w:type="pct"/>
            <w:gridSpan w:val="2"/>
            <w:shd w:val="clear" w:color="auto" w:fill="auto"/>
            <w:vAlign w:val="center"/>
          </w:tcPr>
          <w:p w14:paraId="549CA4D7" w14:textId="2F010EA8" w:rsidR="008D68D6" w:rsidRPr="00487209" w:rsidRDefault="008D68D6" w:rsidP="006C6323">
            <w:pPr>
              <w:pStyle w:val="Style10"/>
              <w:spacing w:before="240" w:line="240" w:lineRule="auto"/>
              <w:ind w:right="-23"/>
              <w:rPr>
                <w:rFonts w:ascii="Times New Roman" w:hAnsi="Times New Roman"/>
                <w:sz w:val="18"/>
                <w:szCs w:val="18"/>
              </w:rPr>
            </w:pPr>
            <w:r w:rsidRPr="00487209">
              <w:rPr>
                <w:rFonts w:ascii="Times New Roman" w:hAnsi="Times New Roman"/>
                <w:sz w:val="18"/>
                <w:szCs w:val="18"/>
                <w:lang w:val="sr-Cyrl-CS"/>
              </w:rPr>
              <w:t xml:space="preserve">Именовано тело за оцењивање и верификацију сталности перформанси преузима одговорност за задатке које обављају подуговарачи или </w:t>
            </w:r>
            <w:r w:rsidR="004F3499" w:rsidRPr="00487209">
              <w:rPr>
                <w:rFonts w:ascii="Times New Roman" w:hAnsi="Times New Roman"/>
                <w:sz w:val="18"/>
                <w:szCs w:val="18"/>
              </w:rPr>
              <w:t>повезана правна лица</w:t>
            </w:r>
            <w:r w:rsidRPr="00487209">
              <w:rPr>
                <w:rFonts w:ascii="Times New Roman" w:hAnsi="Times New Roman"/>
                <w:sz w:val="18"/>
                <w:szCs w:val="18"/>
                <w:lang w:val="sr-Cyrl-CS"/>
              </w:rPr>
              <w:t>.</w:t>
            </w:r>
          </w:p>
          <w:p w14:paraId="186CAA4B"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1BCDBF16"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3F287F8A"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0FB1B517"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6923162B" w14:textId="77777777" w:rsidTr="007D5144">
        <w:trPr>
          <w:trHeight w:val="771"/>
          <w:jc w:val="center"/>
        </w:trPr>
        <w:tc>
          <w:tcPr>
            <w:tcW w:w="435" w:type="pct"/>
            <w:shd w:val="clear" w:color="auto" w:fill="auto"/>
            <w:vAlign w:val="center"/>
          </w:tcPr>
          <w:p w14:paraId="6776769D"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45.3</w:t>
            </w:r>
          </w:p>
        </w:tc>
        <w:tc>
          <w:tcPr>
            <w:tcW w:w="1369" w:type="pct"/>
            <w:gridSpan w:val="2"/>
            <w:shd w:val="clear" w:color="auto" w:fill="auto"/>
            <w:vAlign w:val="center"/>
          </w:tcPr>
          <w:p w14:paraId="46B165D6"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Activities may be subcontracted or carried out by a subsidiary only with the agreement of the client.</w:t>
            </w:r>
          </w:p>
        </w:tc>
        <w:tc>
          <w:tcPr>
            <w:tcW w:w="429" w:type="pct"/>
            <w:shd w:val="clear" w:color="auto" w:fill="auto"/>
            <w:vAlign w:val="center"/>
          </w:tcPr>
          <w:p w14:paraId="1E9CA5CD" w14:textId="1FBA7578" w:rsidR="00193167" w:rsidRPr="00487209" w:rsidRDefault="004F3499"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t>01</w:t>
            </w:r>
          </w:p>
          <w:p w14:paraId="7A9161E4" w14:textId="5ADFB399" w:rsidR="00147811" w:rsidRPr="00487209" w:rsidRDefault="00193167" w:rsidP="004F3499">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4F3499" w:rsidRPr="00487209">
              <w:rPr>
                <w:rFonts w:ascii="Times New Roman" w:hAnsi="Times New Roman" w:cs="Times New Roman"/>
                <w:sz w:val="18"/>
                <w:szCs w:val="18"/>
                <w:lang w:val="sr-Latn-CS"/>
              </w:rPr>
              <w:t>41</w:t>
            </w:r>
            <w:r w:rsidR="0076029D" w:rsidRPr="00487209">
              <w:rPr>
                <w:rFonts w:ascii="Times New Roman" w:hAnsi="Times New Roman" w:cs="Times New Roman"/>
                <w:sz w:val="18"/>
                <w:szCs w:val="18"/>
                <w:lang w:val="ru-RU"/>
              </w:rPr>
              <w:t>.</w:t>
            </w:r>
            <w:r w:rsidR="00147811" w:rsidRPr="00487209">
              <w:rPr>
                <w:rFonts w:ascii="Times New Roman" w:hAnsi="Times New Roman" w:cs="Times New Roman"/>
                <w:sz w:val="18"/>
                <w:szCs w:val="18"/>
                <w:lang w:val="ru-RU"/>
              </w:rPr>
              <w:t>3.</w:t>
            </w:r>
          </w:p>
        </w:tc>
        <w:tc>
          <w:tcPr>
            <w:tcW w:w="1231" w:type="pct"/>
            <w:gridSpan w:val="2"/>
            <w:shd w:val="clear" w:color="auto" w:fill="auto"/>
            <w:vAlign w:val="center"/>
          </w:tcPr>
          <w:p w14:paraId="36655F6A" w14:textId="77777777" w:rsidR="00147811" w:rsidRPr="00487209" w:rsidRDefault="00147811" w:rsidP="006C6323">
            <w:pPr>
              <w:pStyle w:val="Style10"/>
              <w:spacing w:before="240" w:line="240" w:lineRule="auto"/>
              <w:ind w:right="-23"/>
              <w:rPr>
                <w:rFonts w:ascii="Times New Roman" w:hAnsi="Times New Roman"/>
                <w:sz w:val="18"/>
                <w:szCs w:val="18"/>
                <w:lang w:val="sr-Cyrl-CS"/>
              </w:rPr>
            </w:pPr>
            <w:r w:rsidRPr="00487209">
              <w:rPr>
                <w:rFonts w:ascii="Times New Roman" w:hAnsi="Times New Roman"/>
                <w:sz w:val="18"/>
                <w:szCs w:val="18"/>
              </w:rPr>
              <w:t>Радње у поступку оцењивања и верификације сталности перформанси могу бити подуговорене само уз сагласност наручиоца тих радњи</w:t>
            </w:r>
            <w:r w:rsidRPr="00487209">
              <w:rPr>
                <w:rFonts w:ascii="Times New Roman" w:hAnsi="Times New Roman"/>
                <w:sz w:val="18"/>
                <w:szCs w:val="18"/>
                <w:lang w:val="sr-Cyrl-CS"/>
              </w:rPr>
              <w:t>.</w:t>
            </w:r>
          </w:p>
          <w:p w14:paraId="6A0A3B73" w14:textId="77777777" w:rsidR="008D68D6" w:rsidRPr="00487209" w:rsidRDefault="008D68D6" w:rsidP="006C6323">
            <w:pPr>
              <w:pStyle w:val="Style10"/>
              <w:spacing w:before="240" w:line="240" w:lineRule="auto"/>
              <w:ind w:right="-23"/>
              <w:rPr>
                <w:rFonts w:ascii="Times New Roman" w:hAnsi="Times New Roman"/>
                <w:sz w:val="18"/>
                <w:szCs w:val="18"/>
              </w:rPr>
            </w:pPr>
          </w:p>
        </w:tc>
        <w:tc>
          <w:tcPr>
            <w:tcW w:w="458" w:type="pct"/>
            <w:shd w:val="clear" w:color="auto" w:fill="auto"/>
            <w:vAlign w:val="center"/>
          </w:tcPr>
          <w:p w14:paraId="259791BB"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42BE7C70"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20B8B5CC"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6ABCFA6A" w14:textId="77777777" w:rsidTr="007D5144">
        <w:trPr>
          <w:trHeight w:val="771"/>
          <w:jc w:val="center"/>
        </w:trPr>
        <w:tc>
          <w:tcPr>
            <w:tcW w:w="435" w:type="pct"/>
            <w:shd w:val="clear" w:color="auto" w:fill="auto"/>
            <w:vAlign w:val="center"/>
          </w:tcPr>
          <w:p w14:paraId="02165F45"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45.4</w:t>
            </w:r>
          </w:p>
        </w:tc>
        <w:tc>
          <w:tcPr>
            <w:tcW w:w="1369" w:type="pct"/>
            <w:gridSpan w:val="2"/>
            <w:shd w:val="clear" w:color="auto" w:fill="auto"/>
            <w:vAlign w:val="center"/>
          </w:tcPr>
          <w:p w14:paraId="2F517FE8"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notified body shall keep at the disposal of the notifying authority the relevant documents concerning the assessment of the qualifications of any subcontractor or the subsidiary and the tasks carried out by such parties under Annex V.</w:t>
            </w:r>
          </w:p>
          <w:p w14:paraId="64A4B6B5"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1E021CEA" w14:textId="14E27555" w:rsidR="00193167" w:rsidRPr="00487209" w:rsidRDefault="004F3499"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t>01</w:t>
            </w:r>
          </w:p>
          <w:p w14:paraId="521C0AB5" w14:textId="7F37580C" w:rsidR="00147811" w:rsidRPr="00487209" w:rsidRDefault="00193167" w:rsidP="004F3499">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4F3499" w:rsidRPr="00487209">
              <w:rPr>
                <w:rFonts w:ascii="Times New Roman" w:hAnsi="Times New Roman" w:cs="Times New Roman"/>
                <w:sz w:val="18"/>
                <w:szCs w:val="18"/>
                <w:lang w:val="sr-Latn-CS"/>
              </w:rPr>
              <w:t>41</w:t>
            </w:r>
            <w:r w:rsidR="0076029D" w:rsidRPr="00487209">
              <w:rPr>
                <w:rFonts w:ascii="Times New Roman" w:hAnsi="Times New Roman" w:cs="Times New Roman"/>
                <w:sz w:val="18"/>
                <w:szCs w:val="18"/>
                <w:lang w:val="ru-RU"/>
              </w:rPr>
              <w:t>.</w:t>
            </w:r>
            <w:r w:rsidR="00147811" w:rsidRPr="00487209">
              <w:rPr>
                <w:rFonts w:ascii="Times New Roman" w:hAnsi="Times New Roman" w:cs="Times New Roman"/>
                <w:sz w:val="18"/>
                <w:szCs w:val="18"/>
                <w:lang w:val="ru-RU"/>
              </w:rPr>
              <w:t>4.</w:t>
            </w:r>
          </w:p>
        </w:tc>
        <w:tc>
          <w:tcPr>
            <w:tcW w:w="1231" w:type="pct"/>
            <w:gridSpan w:val="2"/>
            <w:shd w:val="clear" w:color="auto" w:fill="auto"/>
            <w:vAlign w:val="center"/>
          </w:tcPr>
          <w:p w14:paraId="18D3A975" w14:textId="0F8CF0BF" w:rsidR="00A7772A" w:rsidRPr="00487209" w:rsidRDefault="00A7772A" w:rsidP="006C6323">
            <w:pPr>
              <w:pStyle w:val="Style10"/>
              <w:spacing w:before="240" w:line="240" w:lineRule="auto"/>
              <w:ind w:right="-23"/>
              <w:rPr>
                <w:rFonts w:ascii="Times New Roman" w:hAnsi="Times New Roman"/>
                <w:sz w:val="18"/>
                <w:szCs w:val="18"/>
              </w:rPr>
            </w:pPr>
            <w:r w:rsidRPr="00487209">
              <w:rPr>
                <w:rFonts w:ascii="Times New Roman" w:hAnsi="Times New Roman"/>
                <w:sz w:val="18"/>
                <w:szCs w:val="18"/>
              </w:rPr>
              <w:t xml:space="preserve">Именовано тело за оцењивање и верификацију сталности перформанси чува документацију која се односи на оцењивање компетентности сваког подуговарача или </w:t>
            </w:r>
            <w:r w:rsidR="004F3499" w:rsidRPr="00487209">
              <w:rPr>
                <w:rFonts w:ascii="Times New Roman" w:hAnsi="Times New Roman"/>
                <w:sz w:val="18"/>
                <w:szCs w:val="18"/>
              </w:rPr>
              <w:t>повезаног правног лица</w:t>
            </w:r>
            <w:r w:rsidRPr="00487209">
              <w:rPr>
                <w:rFonts w:ascii="Times New Roman" w:hAnsi="Times New Roman"/>
                <w:sz w:val="18"/>
                <w:szCs w:val="18"/>
              </w:rPr>
              <w:t xml:space="preserve"> и на задатке које су они обавили  у поступцима оцењивања и верификације сталности перформаниси грађевинског производа и ставља их на располагање министарству надлежном за послове грађевинарства.</w:t>
            </w:r>
          </w:p>
          <w:p w14:paraId="0B18AFF8"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4D2374FD"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644BFB14"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1EC210E"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0154E27E" w14:textId="77777777" w:rsidTr="007D5144">
        <w:trPr>
          <w:trHeight w:val="771"/>
          <w:jc w:val="center"/>
        </w:trPr>
        <w:tc>
          <w:tcPr>
            <w:tcW w:w="435" w:type="pct"/>
            <w:shd w:val="clear" w:color="auto" w:fill="auto"/>
            <w:vAlign w:val="center"/>
          </w:tcPr>
          <w:p w14:paraId="6EDF96A9"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46.1.</w:t>
            </w:r>
          </w:p>
        </w:tc>
        <w:tc>
          <w:tcPr>
            <w:tcW w:w="1369" w:type="pct"/>
            <w:gridSpan w:val="2"/>
            <w:shd w:val="clear" w:color="auto" w:fill="auto"/>
            <w:vAlign w:val="center"/>
          </w:tcPr>
          <w:p w14:paraId="12A3CFA7"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 xml:space="preserve">On request of the manufacturer and where justified by technical, economic or logistic reasons, notified bodies may decide to carry out the tests referred to in Annex V, for the systems of assessment and verification of constancy of performance 1+, 1 and 3 or have such tests carried out under their supervision, either in the manufacturing plants using the test equipments of the internal laboratory of the manufacturer or, with the prior consent of </w:t>
            </w:r>
            <w:r w:rsidRPr="00487209">
              <w:rPr>
                <w:rFonts w:ascii="Times New Roman" w:hAnsi="Times New Roman" w:cs="Times New Roman"/>
                <w:sz w:val="18"/>
                <w:szCs w:val="18"/>
              </w:rPr>
              <w:lastRenderedPageBreak/>
              <w:t>the manufacturer, in an external laboratory, using the test equipments of that laboratory.</w:t>
            </w:r>
          </w:p>
          <w:p w14:paraId="3161EFB1"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Notified bodies carrying out such tests shall be specifically designated as competent to work away from their own accredited test facilities.</w:t>
            </w:r>
          </w:p>
          <w:p w14:paraId="153531B8"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34C12035" w14:textId="002EB74E" w:rsidR="00193167" w:rsidRPr="00487209" w:rsidRDefault="004F3499"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lastRenderedPageBreak/>
              <w:t>01</w:t>
            </w:r>
          </w:p>
          <w:p w14:paraId="6FFD6C37" w14:textId="2375D606" w:rsidR="00147811" w:rsidRPr="00487209" w:rsidRDefault="00193167"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FC616A" w:rsidRPr="00487209">
              <w:rPr>
                <w:rFonts w:ascii="Times New Roman" w:hAnsi="Times New Roman" w:cs="Times New Roman"/>
                <w:sz w:val="18"/>
                <w:szCs w:val="18"/>
                <w:lang w:val="sr-Latn-CS"/>
              </w:rPr>
              <w:t>42</w:t>
            </w:r>
            <w:r w:rsidR="00AE4F8F" w:rsidRPr="00487209">
              <w:rPr>
                <w:rFonts w:ascii="Times New Roman" w:hAnsi="Times New Roman" w:cs="Times New Roman"/>
                <w:sz w:val="18"/>
                <w:szCs w:val="18"/>
                <w:lang w:val="ru-RU"/>
              </w:rPr>
              <w:t>.1.</w:t>
            </w:r>
          </w:p>
          <w:p w14:paraId="682D6773" w14:textId="77777777" w:rsidR="00AE4F8F" w:rsidRPr="00487209" w:rsidRDefault="00AE4F8F" w:rsidP="006C6323">
            <w:pPr>
              <w:spacing w:before="120" w:after="120"/>
              <w:ind w:firstLine="5"/>
              <w:jc w:val="center"/>
              <w:rPr>
                <w:rFonts w:ascii="Times New Roman" w:hAnsi="Times New Roman" w:cs="Times New Roman"/>
                <w:sz w:val="18"/>
                <w:szCs w:val="18"/>
                <w:lang w:val="ru-RU"/>
              </w:rPr>
            </w:pPr>
          </w:p>
          <w:p w14:paraId="30E68F27" w14:textId="77777777" w:rsidR="00AE4F8F" w:rsidRPr="00487209" w:rsidRDefault="00AE4F8F" w:rsidP="006C6323">
            <w:pPr>
              <w:spacing w:before="120" w:after="120"/>
              <w:ind w:firstLine="5"/>
              <w:jc w:val="center"/>
              <w:rPr>
                <w:rFonts w:ascii="Times New Roman" w:hAnsi="Times New Roman" w:cs="Times New Roman"/>
                <w:sz w:val="18"/>
                <w:szCs w:val="18"/>
                <w:lang w:val="ru-RU"/>
              </w:rPr>
            </w:pPr>
          </w:p>
          <w:p w14:paraId="180EA5FC" w14:textId="77777777" w:rsidR="00AE4F8F" w:rsidRPr="00487209" w:rsidRDefault="00AE4F8F" w:rsidP="006C6323">
            <w:pPr>
              <w:spacing w:before="120" w:after="120"/>
              <w:ind w:firstLine="5"/>
              <w:jc w:val="center"/>
              <w:rPr>
                <w:rFonts w:ascii="Times New Roman" w:hAnsi="Times New Roman" w:cs="Times New Roman"/>
                <w:sz w:val="18"/>
                <w:szCs w:val="18"/>
                <w:lang w:val="ru-RU"/>
              </w:rPr>
            </w:pPr>
          </w:p>
          <w:p w14:paraId="05026DB9" w14:textId="41A77F02" w:rsidR="00AE4F8F" w:rsidRPr="00487209" w:rsidRDefault="00FC616A"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Latn-CS"/>
              </w:rPr>
              <w:t>42</w:t>
            </w:r>
            <w:r w:rsidR="00AE4F8F" w:rsidRPr="00487209">
              <w:rPr>
                <w:rFonts w:ascii="Times New Roman" w:hAnsi="Times New Roman" w:cs="Times New Roman"/>
                <w:sz w:val="18"/>
                <w:szCs w:val="18"/>
                <w:lang w:val="ru-RU"/>
              </w:rPr>
              <w:t>.2.</w:t>
            </w:r>
          </w:p>
        </w:tc>
        <w:tc>
          <w:tcPr>
            <w:tcW w:w="1231" w:type="pct"/>
            <w:gridSpan w:val="2"/>
            <w:shd w:val="clear" w:color="auto" w:fill="auto"/>
            <w:vAlign w:val="center"/>
          </w:tcPr>
          <w:p w14:paraId="68639B7C" w14:textId="77777777" w:rsidR="00FC616A" w:rsidRPr="00487209" w:rsidRDefault="00FC616A" w:rsidP="00FC616A">
            <w:pPr>
              <w:spacing w:before="120"/>
              <w:ind w:right="-23"/>
              <w:jc w:val="both"/>
              <w:rPr>
                <w:rFonts w:ascii="Times New Roman" w:eastAsia="Batang" w:hAnsi="Times New Roman" w:cs="Times New Roman"/>
                <w:sz w:val="18"/>
                <w:szCs w:val="18"/>
                <w:lang w:val="sr-Latn-BA" w:eastAsia="ko-KR"/>
              </w:rPr>
            </w:pPr>
            <w:r w:rsidRPr="00487209">
              <w:rPr>
                <w:rFonts w:ascii="Times New Roman" w:eastAsia="Batang" w:hAnsi="Times New Roman" w:cs="Times New Roman"/>
                <w:sz w:val="18"/>
                <w:szCs w:val="18"/>
                <w:lang w:val="sr-Cyrl-CS" w:eastAsia="ko-KR"/>
              </w:rPr>
              <w:t xml:space="preserve">На захтев произвођача и када је то оправдано техничким, економским или логистичким разлозима, именовано тело за оцењивање и верификацију сталности перформанси може да одлучи да спроведе испитивања из члана 29. овог закона, за системе оцењивања и верификације сталности перформанси 1+, 1 и 3 или да допусти </w:t>
            </w:r>
            <w:r w:rsidRPr="00487209">
              <w:rPr>
                <w:rFonts w:ascii="Times New Roman" w:eastAsia="Batang" w:hAnsi="Times New Roman" w:cs="Times New Roman"/>
                <w:sz w:val="18"/>
                <w:szCs w:val="18"/>
                <w:lang w:val="sr-Cyrl-CS" w:eastAsia="ko-KR"/>
              </w:rPr>
              <w:lastRenderedPageBreak/>
              <w:t xml:space="preserve">да се та испитивања спроводе под његовим надзором, било у производним погонима у којима се користи опрема за испитивање интерне лабораторије произвођача или, уз претходни пристанак произвођача, у </w:t>
            </w:r>
            <w:r w:rsidRPr="00487209">
              <w:rPr>
                <w:rFonts w:ascii="Times New Roman" w:eastAsia="Batang" w:hAnsi="Times New Roman" w:cs="Times New Roman"/>
                <w:sz w:val="18"/>
                <w:szCs w:val="18"/>
                <w:lang w:val="sr-Latn-BA" w:eastAsia="ko-KR"/>
              </w:rPr>
              <w:t>екстер</w:t>
            </w:r>
            <w:r w:rsidRPr="00487209">
              <w:rPr>
                <w:rFonts w:ascii="Times New Roman" w:eastAsia="Batang" w:hAnsi="Times New Roman" w:cs="Times New Roman"/>
                <w:sz w:val="18"/>
                <w:szCs w:val="18"/>
                <w:lang w:val="sr-Cyrl-CS" w:eastAsia="ko-KR"/>
              </w:rPr>
              <w:t>ној лабораторији, користећи опрему за испитивање те лабораторије.</w:t>
            </w:r>
          </w:p>
          <w:p w14:paraId="5050C60D" w14:textId="1DA977C9" w:rsidR="00FC616A" w:rsidRPr="00487209" w:rsidRDefault="00FC616A" w:rsidP="00FC616A">
            <w:pPr>
              <w:spacing w:before="120"/>
              <w:ind w:right="-23"/>
              <w:jc w:val="both"/>
              <w:rPr>
                <w:rFonts w:ascii="Times New Roman" w:eastAsia="Batang" w:hAnsi="Times New Roman" w:cs="Times New Roman"/>
                <w:sz w:val="18"/>
                <w:szCs w:val="18"/>
                <w:lang w:val="sr-Latn-BA" w:eastAsia="ko-KR"/>
              </w:rPr>
            </w:pPr>
            <w:r w:rsidRPr="00487209">
              <w:rPr>
                <w:rFonts w:ascii="Times New Roman" w:eastAsia="Batang" w:hAnsi="Times New Roman" w:cs="Times New Roman"/>
                <w:sz w:val="18"/>
                <w:szCs w:val="18"/>
                <w:lang w:val="sr-Cyrl-CS" w:eastAsia="ko-KR"/>
              </w:rPr>
              <w:t>На захтев тела за оцењивање и верификацију сталности перформанси министар надлеж</w:t>
            </w:r>
            <w:r w:rsidR="00187F0E">
              <w:rPr>
                <w:rFonts w:ascii="Times New Roman" w:eastAsia="Batang" w:hAnsi="Times New Roman" w:cs="Times New Roman"/>
                <w:sz w:val="18"/>
                <w:szCs w:val="18"/>
                <w:lang w:val="sr-Cyrl-CS" w:eastAsia="ko-KR"/>
              </w:rPr>
              <w:t>а</w:t>
            </w:r>
            <w:r w:rsidRPr="00487209">
              <w:rPr>
                <w:rFonts w:ascii="Times New Roman" w:eastAsia="Batang" w:hAnsi="Times New Roman" w:cs="Times New Roman"/>
                <w:sz w:val="18"/>
                <w:szCs w:val="18"/>
                <w:lang w:val="sr-Cyrl-CS" w:eastAsia="ko-KR"/>
              </w:rPr>
              <w:t xml:space="preserve">н за послове грађевинарства решењем </w:t>
            </w:r>
            <w:r w:rsidR="00187F0E">
              <w:rPr>
                <w:rFonts w:ascii="Times New Roman" w:eastAsia="Batang" w:hAnsi="Times New Roman" w:cs="Times New Roman"/>
                <w:sz w:val="18"/>
                <w:szCs w:val="18"/>
                <w:lang w:val="sr-Cyrl-CS" w:eastAsia="ko-KR"/>
              </w:rPr>
              <w:t xml:space="preserve">из члан а 38. став 1. овог закона </w:t>
            </w:r>
            <w:r w:rsidRPr="00487209">
              <w:rPr>
                <w:rFonts w:ascii="Times New Roman" w:eastAsia="Batang" w:hAnsi="Times New Roman" w:cs="Times New Roman"/>
                <w:sz w:val="18"/>
                <w:szCs w:val="18"/>
                <w:lang w:val="sr-Cyrl-CS" w:eastAsia="ko-KR"/>
              </w:rPr>
              <w:t>одобрава</w:t>
            </w:r>
            <w:r w:rsidR="00187F0E">
              <w:rPr>
                <w:rFonts w:ascii="Times New Roman" w:eastAsia="Batang" w:hAnsi="Times New Roman" w:cs="Times New Roman"/>
                <w:sz w:val="18"/>
                <w:szCs w:val="18"/>
                <w:lang w:val="sr-Cyrl-CS" w:eastAsia="ko-KR"/>
              </w:rPr>
              <w:t xml:space="preserve"> и</w:t>
            </w:r>
            <w:r w:rsidRPr="00487209">
              <w:rPr>
                <w:rFonts w:ascii="Times New Roman" w:eastAsia="Batang" w:hAnsi="Times New Roman" w:cs="Times New Roman"/>
                <w:sz w:val="18"/>
                <w:szCs w:val="18"/>
                <w:lang w:val="sr-Cyrl-CS" w:eastAsia="ko-KR"/>
              </w:rPr>
              <w:t xml:space="preserve"> обављање испитивања изван његових акредитованих лабораторија за испитивање. </w:t>
            </w:r>
          </w:p>
          <w:p w14:paraId="5017C320" w14:textId="77777777" w:rsidR="00147811" w:rsidRPr="00487209" w:rsidRDefault="00147811" w:rsidP="006C6323">
            <w:pPr>
              <w:jc w:val="center"/>
              <w:rPr>
                <w:rFonts w:ascii="Times New Roman" w:hAnsi="Times New Roman" w:cs="Times New Roman"/>
                <w:sz w:val="18"/>
                <w:szCs w:val="18"/>
                <w:lang w:val="sr-Latn-BA"/>
              </w:rPr>
            </w:pPr>
          </w:p>
        </w:tc>
        <w:tc>
          <w:tcPr>
            <w:tcW w:w="458" w:type="pct"/>
            <w:shd w:val="clear" w:color="auto" w:fill="auto"/>
            <w:vAlign w:val="center"/>
          </w:tcPr>
          <w:p w14:paraId="3AA595A5"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lastRenderedPageBreak/>
              <w:t>ПУ</w:t>
            </w:r>
          </w:p>
        </w:tc>
        <w:tc>
          <w:tcPr>
            <w:tcW w:w="598" w:type="pct"/>
            <w:gridSpan w:val="2"/>
            <w:shd w:val="clear" w:color="auto" w:fill="auto"/>
            <w:vAlign w:val="center"/>
          </w:tcPr>
          <w:p w14:paraId="7D6A9E73"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E4D94DD"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5587BD38" w14:textId="77777777" w:rsidTr="007D5144">
        <w:trPr>
          <w:trHeight w:val="771"/>
          <w:jc w:val="center"/>
        </w:trPr>
        <w:tc>
          <w:tcPr>
            <w:tcW w:w="435" w:type="pct"/>
            <w:shd w:val="clear" w:color="auto" w:fill="auto"/>
            <w:vAlign w:val="center"/>
          </w:tcPr>
          <w:p w14:paraId="3081A728"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46.2 (a)</w:t>
            </w:r>
          </w:p>
        </w:tc>
        <w:tc>
          <w:tcPr>
            <w:tcW w:w="1369" w:type="pct"/>
            <w:gridSpan w:val="2"/>
            <w:shd w:val="clear" w:color="auto" w:fill="auto"/>
            <w:vAlign w:val="center"/>
          </w:tcPr>
          <w:p w14:paraId="78F689E3"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2.  Before carrying out those tests, the notified body shall verify whether the requirements of the test method are satisfied and shall evaluate whether:</w:t>
            </w:r>
          </w:p>
          <w:p w14:paraId="2514C570"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test equipment has an appropriate calibration system and the traceability of the measurements is guaranteed;</w:t>
            </w:r>
          </w:p>
          <w:p w14:paraId="28E70E37"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33B29B9C" w14:textId="77777777" w:rsidR="00BD1E56" w:rsidRPr="00487209" w:rsidRDefault="00BD1E56" w:rsidP="006C6323">
            <w:pPr>
              <w:spacing w:before="120" w:after="120"/>
              <w:jc w:val="center"/>
              <w:rPr>
                <w:rFonts w:ascii="Times New Roman" w:hAnsi="Times New Roman" w:cs="Times New Roman"/>
                <w:sz w:val="18"/>
                <w:szCs w:val="18"/>
                <w:lang w:val="sr-Cyrl-CS"/>
              </w:rPr>
            </w:pPr>
          </w:p>
          <w:p w14:paraId="35BD4385" w14:textId="77777777" w:rsidR="00BD1E56" w:rsidRPr="00487209" w:rsidRDefault="00BD1E56" w:rsidP="006C6323">
            <w:pPr>
              <w:spacing w:before="120" w:after="120"/>
              <w:jc w:val="center"/>
              <w:rPr>
                <w:rFonts w:ascii="Times New Roman" w:hAnsi="Times New Roman" w:cs="Times New Roman"/>
                <w:sz w:val="18"/>
                <w:szCs w:val="18"/>
                <w:lang w:val="sr-Cyrl-CS"/>
              </w:rPr>
            </w:pPr>
          </w:p>
          <w:p w14:paraId="4319141F" w14:textId="290B68B9" w:rsidR="00193167" w:rsidRPr="00487209" w:rsidRDefault="00FC616A"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3425AF52" w14:textId="3BFE68F9" w:rsidR="00147811" w:rsidRPr="00487209" w:rsidRDefault="00193167" w:rsidP="00FC616A">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FC616A" w:rsidRPr="00487209">
              <w:rPr>
                <w:rFonts w:ascii="Times New Roman" w:hAnsi="Times New Roman" w:cs="Times New Roman"/>
                <w:sz w:val="18"/>
                <w:szCs w:val="18"/>
                <w:lang w:val="sr-Latn-CS"/>
              </w:rPr>
              <w:t>42</w:t>
            </w:r>
            <w:r w:rsidR="00363803" w:rsidRPr="00487209">
              <w:rPr>
                <w:rFonts w:ascii="Times New Roman" w:hAnsi="Times New Roman" w:cs="Times New Roman"/>
                <w:sz w:val="18"/>
                <w:szCs w:val="18"/>
                <w:lang w:val="ru-RU"/>
              </w:rPr>
              <w:t>.3.</w:t>
            </w:r>
            <w:r w:rsidR="00147811" w:rsidRPr="00487209">
              <w:rPr>
                <w:rFonts w:ascii="Times New Roman" w:hAnsi="Times New Roman" w:cs="Times New Roman"/>
                <w:sz w:val="18"/>
                <w:szCs w:val="18"/>
                <w:lang w:val="ru-RU"/>
              </w:rPr>
              <w:t>1)</w:t>
            </w:r>
          </w:p>
        </w:tc>
        <w:tc>
          <w:tcPr>
            <w:tcW w:w="1231" w:type="pct"/>
            <w:gridSpan w:val="2"/>
            <w:shd w:val="clear" w:color="auto" w:fill="auto"/>
            <w:vAlign w:val="center"/>
          </w:tcPr>
          <w:p w14:paraId="24C3B043" w14:textId="77777777" w:rsidR="00147811" w:rsidRPr="00487209" w:rsidRDefault="00147811" w:rsidP="006C6323">
            <w:pPr>
              <w:pStyle w:val="Style10"/>
              <w:spacing w:before="240" w:line="240" w:lineRule="auto"/>
              <w:ind w:right="-23"/>
              <w:rPr>
                <w:rStyle w:val="FontStyle41"/>
                <w:rFonts w:ascii="Times New Roman" w:hAnsi="Times New Roman" w:cs="Times New Roman"/>
                <w:sz w:val="18"/>
                <w:szCs w:val="18"/>
                <w:lang w:val="sr-Cyrl-CS"/>
              </w:rPr>
            </w:pPr>
            <w:r w:rsidRPr="00487209">
              <w:rPr>
                <w:rFonts w:ascii="Times New Roman" w:hAnsi="Times New Roman"/>
                <w:sz w:val="18"/>
                <w:szCs w:val="18"/>
                <w:lang w:val="sr-Cyrl-CS"/>
              </w:rPr>
              <w:t xml:space="preserve">Пре спровођења испитивања из става 2. овог члана, </w:t>
            </w:r>
            <w:r w:rsidR="00A7772A" w:rsidRPr="00487209">
              <w:rPr>
                <w:rFonts w:ascii="Times New Roman" w:hAnsi="Times New Roman"/>
                <w:sz w:val="18"/>
                <w:szCs w:val="18"/>
                <w:lang w:val="sr-Cyrl-CS"/>
              </w:rPr>
              <w:t xml:space="preserve">именовно </w:t>
            </w:r>
            <w:r w:rsidRPr="00487209">
              <w:rPr>
                <w:rFonts w:ascii="Times New Roman" w:hAnsi="Times New Roman"/>
                <w:sz w:val="18"/>
                <w:szCs w:val="18"/>
                <w:lang w:val="sr-Cyrl-CS"/>
              </w:rPr>
              <w:t>тело за оцењивање и верификацију сталности перформанси проверава да ли су задовољени захтеви методе испитивања и оцењује да ли:</w:t>
            </w:r>
          </w:p>
          <w:p w14:paraId="024DBB28" w14:textId="77777777" w:rsidR="00147811" w:rsidRPr="00487209" w:rsidRDefault="00147811" w:rsidP="006C6323">
            <w:pPr>
              <w:pStyle w:val="Style6"/>
              <w:numPr>
                <w:ilvl w:val="0"/>
                <w:numId w:val="23"/>
              </w:numPr>
              <w:spacing w:before="240" w:line="240" w:lineRule="auto"/>
              <w:ind w:left="448" w:right="-23"/>
              <w:rPr>
                <w:rStyle w:val="FontStyle41"/>
                <w:rFonts w:ascii="Times New Roman" w:hAnsi="Times New Roman" w:cs="Times New Roman"/>
                <w:sz w:val="18"/>
                <w:szCs w:val="18"/>
                <w:lang w:val="sr-Cyrl-CS"/>
              </w:rPr>
            </w:pPr>
            <w:r w:rsidRPr="00487209">
              <w:rPr>
                <w:rFonts w:ascii="Times New Roman" w:hAnsi="Times New Roman"/>
                <w:sz w:val="18"/>
                <w:szCs w:val="18"/>
                <w:lang w:val="sr-Cyrl-CS"/>
              </w:rPr>
              <w:t xml:space="preserve">опрема за испитивање поседује одговарајући систем еталонирања и да ли је гарантована следљивост мерења; </w:t>
            </w:r>
          </w:p>
          <w:p w14:paraId="7B11A593"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5B66F2D6" w14:textId="77777777" w:rsidR="00BD1E56" w:rsidRPr="00487209" w:rsidRDefault="00BD1E56" w:rsidP="006C6323">
            <w:pPr>
              <w:spacing w:before="120" w:after="120"/>
              <w:jc w:val="center"/>
              <w:rPr>
                <w:rFonts w:ascii="Times New Roman" w:hAnsi="Times New Roman" w:cs="Times New Roman"/>
                <w:sz w:val="18"/>
                <w:szCs w:val="18"/>
                <w:lang w:val="sr-Cyrl-CS"/>
              </w:rPr>
            </w:pPr>
          </w:p>
          <w:p w14:paraId="6C777C41" w14:textId="77777777" w:rsidR="00BD1E56" w:rsidRPr="00487209" w:rsidRDefault="00BD1E56" w:rsidP="006C6323">
            <w:pPr>
              <w:spacing w:before="120" w:after="120"/>
              <w:jc w:val="center"/>
              <w:rPr>
                <w:rFonts w:ascii="Times New Roman" w:hAnsi="Times New Roman" w:cs="Times New Roman"/>
                <w:sz w:val="18"/>
                <w:szCs w:val="18"/>
                <w:lang w:val="sr-Cyrl-CS"/>
              </w:rPr>
            </w:pPr>
          </w:p>
          <w:p w14:paraId="2593A5FB" w14:textId="77777777" w:rsidR="00BD1E56" w:rsidRPr="00487209" w:rsidRDefault="00BD1E56" w:rsidP="006C6323">
            <w:pPr>
              <w:spacing w:before="120" w:after="120"/>
              <w:jc w:val="center"/>
              <w:rPr>
                <w:rFonts w:ascii="Times New Roman" w:hAnsi="Times New Roman" w:cs="Times New Roman"/>
                <w:sz w:val="18"/>
                <w:szCs w:val="18"/>
                <w:lang w:val="sr-Cyrl-CS"/>
              </w:rPr>
            </w:pPr>
          </w:p>
          <w:p w14:paraId="6F09F382" w14:textId="38C9822C"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6BCFC3C6"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1C968562"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7255F19F" w14:textId="77777777" w:rsidTr="007D5144">
        <w:trPr>
          <w:trHeight w:val="771"/>
          <w:jc w:val="center"/>
        </w:trPr>
        <w:tc>
          <w:tcPr>
            <w:tcW w:w="435" w:type="pct"/>
            <w:shd w:val="clear" w:color="auto" w:fill="auto"/>
            <w:vAlign w:val="center"/>
          </w:tcPr>
          <w:p w14:paraId="5372E529"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46.2(b)</w:t>
            </w:r>
          </w:p>
        </w:tc>
        <w:tc>
          <w:tcPr>
            <w:tcW w:w="1369" w:type="pct"/>
            <w:gridSpan w:val="2"/>
            <w:shd w:val="clear" w:color="auto" w:fill="auto"/>
            <w:vAlign w:val="center"/>
          </w:tcPr>
          <w:p w14:paraId="79CE2B3C"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(b) the quality of the test results is ensured.</w:t>
            </w:r>
          </w:p>
        </w:tc>
        <w:tc>
          <w:tcPr>
            <w:tcW w:w="429" w:type="pct"/>
            <w:shd w:val="clear" w:color="auto" w:fill="auto"/>
            <w:vAlign w:val="center"/>
          </w:tcPr>
          <w:p w14:paraId="755D98BA" w14:textId="63D7936D" w:rsidR="00193167" w:rsidRPr="00487209" w:rsidRDefault="00FC616A" w:rsidP="006C6323">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sr-Latn-CS"/>
              </w:rPr>
              <w:t>01</w:t>
            </w:r>
          </w:p>
          <w:p w14:paraId="22B90232" w14:textId="05F630B8" w:rsidR="00147811" w:rsidRPr="00487209" w:rsidRDefault="00193167" w:rsidP="00FC616A">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FC616A" w:rsidRPr="00487209">
              <w:rPr>
                <w:rFonts w:ascii="Times New Roman" w:hAnsi="Times New Roman" w:cs="Times New Roman"/>
                <w:sz w:val="18"/>
                <w:szCs w:val="18"/>
                <w:lang w:val="sr-Latn-CS"/>
              </w:rPr>
              <w:t>42</w:t>
            </w:r>
            <w:r w:rsidR="00D86A1B" w:rsidRPr="00487209">
              <w:rPr>
                <w:rFonts w:ascii="Times New Roman" w:hAnsi="Times New Roman" w:cs="Times New Roman"/>
                <w:sz w:val="18"/>
                <w:szCs w:val="18"/>
                <w:lang w:val="ru-RU"/>
              </w:rPr>
              <w:t>.3.</w:t>
            </w:r>
            <w:r w:rsidR="00147811" w:rsidRPr="00487209">
              <w:rPr>
                <w:rFonts w:ascii="Times New Roman" w:hAnsi="Times New Roman" w:cs="Times New Roman"/>
                <w:sz w:val="18"/>
                <w:szCs w:val="18"/>
                <w:lang w:val="ru-RU"/>
              </w:rPr>
              <w:t>2)</w:t>
            </w:r>
          </w:p>
        </w:tc>
        <w:tc>
          <w:tcPr>
            <w:tcW w:w="1231" w:type="pct"/>
            <w:gridSpan w:val="2"/>
            <w:shd w:val="clear" w:color="auto" w:fill="auto"/>
            <w:vAlign w:val="center"/>
          </w:tcPr>
          <w:p w14:paraId="2E95FDEC" w14:textId="77777777" w:rsidR="00147811" w:rsidRPr="00487209" w:rsidRDefault="00147811" w:rsidP="006C6323">
            <w:pPr>
              <w:pStyle w:val="ListParagraph"/>
              <w:numPr>
                <w:ilvl w:val="0"/>
                <w:numId w:val="23"/>
              </w:numPr>
              <w:spacing w:before="240"/>
              <w:ind w:left="448" w:right="-23" w:hanging="357"/>
              <w:rPr>
                <w:sz w:val="18"/>
                <w:szCs w:val="18"/>
              </w:rPr>
            </w:pPr>
            <w:r w:rsidRPr="00487209">
              <w:rPr>
                <w:sz w:val="18"/>
                <w:szCs w:val="18"/>
              </w:rPr>
              <w:t>је обезбеђен квалитет резултата испитивања.</w:t>
            </w:r>
          </w:p>
        </w:tc>
        <w:tc>
          <w:tcPr>
            <w:tcW w:w="458" w:type="pct"/>
            <w:shd w:val="clear" w:color="auto" w:fill="auto"/>
            <w:vAlign w:val="center"/>
          </w:tcPr>
          <w:p w14:paraId="4B3B24B2"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36FB91F6"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C1B6747"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449A0DAF" w14:textId="77777777" w:rsidTr="007D5144">
        <w:trPr>
          <w:trHeight w:val="771"/>
          <w:jc w:val="center"/>
        </w:trPr>
        <w:tc>
          <w:tcPr>
            <w:tcW w:w="435" w:type="pct"/>
            <w:shd w:val="clear" w:color="auto" w:fill="auto"/>
            <w:vAlign w:val="center"/>
          </w:tcPr>
          <w:p w14:paraId="66235114"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47.1</w:t>
            </w:r>
          </w:p>
        </w:tc>
        <w:tc>
          <w:tcPr>
            <w:tcW w:w="1369" w:type="pct"/>
            <w:gridSpan w:val="2"/>
            <w:shd w:val="clear" w:color="auto" w:fill="auto"/>
            <w:vAlign w:val="center"/>
          </w:tcPr>
          <w:p w14:paraId="73EA50E4"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body to be authorised to carry out third party tasks in the process of assessment and verification of constancy of performance shall submit an application for notification to the notifying authority of the Member State in which it is established.</w:t>
            </w:r>
          </w:p>
        </w:tc>
        <w:tc>
          <w:tcPr>
            <w:tcW w:w="429" w:type="pct"/>
            <w:shd w:val="clear" w:color="auto" w:fill="auto"/>
            <w:vAlign w:val="center"/>
          </w:tcPr>
          <w:p w14:paraId="7F2E38DB" w14:textId="1FCC8E66" w:rsidR="00193167"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2B48177B" w14:textId="5FE6EEB8" w:rsidR="00147811" w:rsidRPr="00487209" w:rsidRDefault="00193167" w:rsidP="00FC616A">
            <w:pPr>
              <w:spacing w:before="120" w:after="120"/>
              <w:ind w:firstLine="5"/>
              <w:jc w:val="center"/>
              <w:rPr>
                <w:rFonts w:ascii="Times New Roman" w:hAnsi="Times New Roman" w:cs="Times New Roman"/>
                <w:sz w:val="18"/>
                <w:szCs w:val="18"/>
                <w:lang w:val="sr-Latn-CS"/>
              </w:rPr>
            </w:pPr>
            <w:r w:rsidRPr="00487209">
              <w:rPr>
                <w:rFonts w:ascii="Times New Roman" w:hAnsi="Times New Roman" w:cs="Times New Roman"/>
                <w:sz w:val="18"/>
                <w:szCs w:val="18"/>
                <w:lang w:val="ru-RU"/>
              </w:rPr>
              <w:t xml:space="preserve"> </w:t>
            </w:r>
            <w:r w:rsidR="00FC616A" w:rsidRPr="00487209">
              <w:rPr>
                <w:rFonts w:ascii="Times New Roman" w:hAnsi="Times New Roman" w:cs="Times New Roman"/>
                <w:sz w:val="18"/>
                <w:szCs w:val="18"/>
                <w:lang w:val="sr-Latn-CS"/>
              </w:rPr>
              <w:t>48</w:t>
            </w:r>
          </w:p>
        </w:tc>
        <w:tc>
          <w:tcPr>
            <w:tcW w:w="1231" w:type="pct"/>
            <w:gridSpan w:val="2"/>
            <w:shd w:val="clear" w:color="auto" w:fill="auto"/>
            <w:vAlign w:val="center"/>
          </w:tcPr>
          <w:p w14:paraId="07B98F25" w14:textId="77777777" w:rsidR="00A7772A" w:rsidRPr="00487209" w:rsidRDefault="00A7772A" w:rsidP="006C6323">
            <w:pPr>
              <w:pStyle w:val="Style10"/>
              <w:spacing w:line="240" w:lineRule="auto"/>
              <w:ind w:right="-23"/>
              <w:rPr>
                <w:rFonts w:ascii="Times New Roman" w:hAnsi="Times New Roman"/>
                <w:sz w:val="18"/>
                <w:szCs w:val="18"/>
                <w:lang w:val="sr-Cyrl-CS"/>
              </w:rPr>
            </w:pPr>
          </w:p>
          <w:p w14:paraId="68795CD2" w14:textId="2B04F3BA" w:rsidR="00A7772A" w:rsidRPr="00487209" w:rsidRDefault="00FC616A" w:rsidP="00FC616A">
            <w:pPr>
              <w:spacing w:before="120"/>
              <w:ind w:right="-23"/>
              <w:jc w:val="both"/>
              <w:rPr>
                <w:rFonts w:ascii="Times New Roman" w:eastAsia="Batang" w:hAnsi="Times New Roman" w:cs="Times New Roman"/>
                <w:sz w:val="18"/>
                <w:szCs w:val="18"/>
                <w:lang w:val="sr-Cyrl-CS" w:eastAsia="ko-KR"/>
              </w:rPr>
            </w:pPr>
            <w:r w:rsidRPr="00487209">
              <w:rPr>
                <w:rFonts w:ascii="Times New Roman" w:eastAsia="Batang" w:hAnsi="Times New Roman" w:cs="Times New Roman"/>
                <w:sz w:val="18"/>
                <w:szCs w:val="18"/>
                <w:lang w:val="sr-Cyrl-CS" w:eastAsia="ko-KR"/>
              </w:rPr>
              <w:t xml:space="preserve">За обављање задатака </w:t>
            </w:r>
            <w:r w:rsidR="00423382">
              <w:rPr>
                <w:rFonts w:ascii="Times New Roman" w:eastAsia="Batang" w:hAnsi="Times New Roman" w:cs="Times New Roman"/>
                <w:sz w:val="18"/>
                <w:szCs w:val="18"/>
                <w:lang w:val="sr-Cyrl-CS" w:eastAsia="ko-KR"/>
              </w:rPr>
              <w:t xml:space="preserve">независне </w:t>
            </w:r>
            <w:r w:rsidRPr="00487209">
              <w:rPr>
                <w:rFonts w:ascii="Times New Roman" w:eastAsia="Batang" w:hAnsi="Times New Roman" w:cs="Times New Roman"/>
                <w:sz w:val="18"/>
                <w:szCs w:val="18"/>
                <w:lang w:val="sr-Cyrl-CS" w:eastAsia="ko-KR"/>
              </w:rPr>
              <w:t xml:space="preserve">треће стране у поступку оцењивања и верификације сталности перформанси у складу са хармонизованом техничком спецификацијом именовано </w:t>
            </w:r>
            <w:r w:rsidRPr="00487209">
              <w:rPr>
                <w:rFonts w:ascii="Times New Roman" w:eastAsia="Batang" w:hAnsi="Times New Roman" w:cs="Times New Roman"/>
                <w:sz w:val="18"/>
                <w:szCs w:val="18"/>
                <w:lang w:val="sr-Cyrl-CS" w:eastAsia="ko-KR"/>
              </w:rPr>
              <w:lastRenderedPageBreak/>
              <w:t xml:space="preserve">тело за оцењивање и верификацију сталности перформанси подноси, органу надлежном за пријављивање, преко министарства надлежног за послове грађевинарства, захтев за пријављивање Европској Комисији и другима државама чланицама, у складу са законом којим се уређују технички захтеви за производе и оцењивање усаглашености и прописима донетим на основу тог закона. </w:t>
            </w:r>
          </w:p>
          <w:p w14:paraId="12EAE625" w14:textId="77777777" w:rsidR="00A7772A" w:rsidRPr="00487209" w:rsidRDefault="00A7772A" w:rsidP="006C6323">
            <w:pPr>
              <w:pStyle w:val="Style10"/>
              <w:spacing w:line="240" w:lineRule="auto"/>
              <w:ind w:right="-23"/>
              <w:rPr>
                <w:rFonts w:ascii="Times New Roman" w:hAnsi="Times New Roman"/>
                <w:sz w:val="18"/>
                <w:szCs w:val="18"/>
              </w:rPr>
            </w:pPr>
          </w:p>
        </w:tc>
        <w:tc>
          <w:tcPr>
            <w:tcW w:w="458" w:type="pct"/>
            <w:shd w:val="clear" w:color="auto" w:fill="auto"/>
            <w:vAlign w:val="center"/>
          </w:tcPr>
          <w:p w14:paraId="588BC499"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lastRenderedPageBreak/>
              <w:t>ПУ</w:t>
            </w:r>
          </w:p>
        </w:tc>
        <w:tc>
          <w:tcPr>
            <w:tcW w:w="598" w:type="pct"/>
            <w:gridSpan w:val="2"/>
            <w:shd w:val="clear" w:color="auto" w:fill="auto"/>
            <w:vAlign w:val="center"/>
          </w:tcPr>
          <w:p w14:paraId="05021367"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BAF0686"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885F4F4" w14:textId="77777777" w:rsidTr="007D5144">
        <w:trPr>
          <w:trHeight w:val="771"/>
          <w:jc w:val="center"/>
        </w:trPr>
        <w:tc>
          <w:tcPr>
            <w:tcW w:w="435" w:type="pct"/>
            <w:shd w:val="clear" w:color="auto" w:fill="auto"/>
            <w:vAlign w:val="center"/>
          </w:tcPr>
          <w:p w14:paraId="650BC598"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47.2</w:t>
            </w:r>
          </w:p>
        </w:tc>
        <w:tc>
          <w:tcPr>
            <w:tcW w:w="1369" w:type="pct"/>
            <w:gridSpan w:val="2"/>
            <w:shd w:val="clear" w:color="auto" w:fill="auto"/>
            <w:vAlign w:val="center"/>
          </w:tcPr>
          <w:p w14:paraId="0FA83BF4"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application shall be accompanied by a description of the activities to be performed, the assessment and/or verification procedures for which the body claims to be competent, an accreditation certificate, where one exists, issued by the national accreditation body within the meaning of Regulation (EC) No 765/2008, attesting that the body meets the requirements laid down in Article 43.</w:t>
            </w:r>
          </w:p>
        </w:tc>
        <w:tc>
          <w:tcPr>
            <w:tcW w:w="429" w:type="pct"/>
            <w:shd w:val="clear" w:color="auto" w:fill="auto"/>
            <w:vAlign w:val="center"/>
          </w:tcPr>
          <w:p w14:paraId="4410AA0D" w14:textId="0D5B5818" w:rsidR="00193167"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5CDF9A99" w14:textId="1B730766" w:rsidR="00147811" w:rsidRDefault="00193167" w:rsidP="00FC616A">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FC616A" w:rsidRPr="00487209">
              <w:rPr>
                <w:rFonts w:ascii="Times New Roman" w:hAnsi="Times New Roman" w:cs="Times New Roman"/>
                <w:sz w:val="18"/>
                <w:szCs w:val="18"/>
                <w:lang w:val="sr-Latn-CS"/>
              </w:rPr>
              <w:t>50</w:t>
            </w:r>
            <w:r w:rsidR="00180FD9" w:rsidRPr="00487209">
              <w:rPr>
                <w:rFonts w:ascii="Times New Roman" w:hAnsi="Times New Roman" w:cs="Times New Roman"/>
                <w:sz w:val="18"/>
                <w:szCs w:val="18"/>
                <w:lang w:val="ru-RU"/>
              </w:rPr>
              <w:t>.</w:t>
            </w:r>
          </w:p>
          <w:p w14:paraId="5C18345D" w14:textId="77777777" w:rsidR="00423382" w:rsidRDefault="00423382" w:rsidP="00FC616A">
            <w:pPr>
              <w:spacing w:before="120" w:after="120"/>
              <w:ind w:firstLine="5"/>
              <w:jc w:val="center"/>
              <w:rPr>
                <w:rFonts w:ascii="Times New Roman" w:hAnsi="Times New Roman" w:cs="Times New Roman"/>
                <w:sz w:val="18"/>
                <w:szCs w:val="18"/>
                <w:lang w:val="ru-RU"/>
              </w:rPr>
            </w:pPr>
          </w:p>
          <w:p w14:paraId="4E588738" w14:textId="68973174" w:rsidR="00423382" w:rsidRPr="00487209" w:rsidRDefault="00423382" w:rsidP="00423382">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49.1</w:t>
            </w:r>
          </w:p>
        </w:tc>
        <w:tc>
          <w:tcPr>
            <w:tcW w:w="1231" w:type="pct"/>
            <w:gridSpan w:val="2"/>
            <w:shd w:val="clear" w:color="auto" w:fill="auto"/>
            <w:vAlign w:val="center"/>
          </w:tcPr>
          <w:p w14:paraId="354848A9" w14:textId="77777777" w:rsidR="00A7772A" w:rsidRPr="00487209" w:rsidRDefault="00A7772A" w:rsidP="006C6323">
            <w:pPr>
              <w:pStyle w:val="Style10"/>
              <w:spacing w:line="240" w:lineRule="auto"/>
              <w:ind w:right="-23"/>
              <w:rPr>
                <w:rFonts w:ascii="Times New Roman" w:hAnsi="Times New Roman"/>
                <w:sz w:val="18"/>
                <w:szCs w:val="18"/>
              </w:rPr>
            </w:pPr>
          </w:p>
          <w:p w14:paraId="4BF7DD64" w14:textId="77777777" w:rsidR="00423382" w:rsidRDefault="00423382" w:rsidP="006C6323">
            <w:pPr>
              <w:pStyle w:val="Style10"/>
              <w:spacing w:line="240" w:lineRule="auto"/>
              <w:ind w:right="-23"/>
              <w:rPr>
                <w:rFonts w:ascii="Times New Roman" w:hAnsi="Times New Roman"/>
                <w:sz w:val="18"/>
                <w:szCs w:val="18"/>
              </w:rPr>
            </w:pPr>
            <w:r w:rsidRPr="00423382">
              <w:rPr>
                <w:rFonts w:ascii="Times New Roman" w:hAnsi="Times New Roman"/>
                <w:sz w:val="18"/>
                <w:szCs w:val="18"/>
              </w:rPr>
              <w:t>Пријављивање тела за оцењивање и верификацију сталности перформанси из члана 48. овог закона, спроводи се у складу са посебним прописом који уређује поступак пријављивања, начин утврђивања испуњености прописаних захтева за пријављивање, надзор над радом тих тела, као и суспензија и повлачење пријављивања, донетим на основу закона којим се уређују технички захтеви за производе и оцењивање усаглашености.</w:t>
            </w:r>
          </w:p>
          <w:p w14:paraId="7D3DA956" w14:textId="77777777" w:rsidR="00423382" w:rsidRDefault="00423382" w:rsidP="006C6323">
            <w:pPr>
              <w:pStyle w:val="Style10"/>
              <w:spacing w:line="240" w:lineRule="auto"/>
              <w:ind w:right="-23"/>
              <w:rPr>
                <w:rFonts w:ascii="Times New Roman" w:hAnsi="Times New Roman"/>
                <w:sz w:val="18"/>
                <w:szCs w:val="18"/>
              </w:rPr>
            </w:pPr>
          </w:p>
          <w:p w14:paraId="142965C4" w14:textId="77777777" w:rsidR="00423382" w:rsidRPr="00423382" w:rsidRDefault="00423382" w:rsidP="00423382">
            <w:pPr>
              <w:pStyle w:val="Style10"/>
              <w:ind w:right="-23"/>
              <w:rPr>
                <w:rFonts w:ascii="Times New Roman" w:hAnsi="Times New Roman"/>
                <w:sz w:val="18"/>
                <w:szCs w:val="18"/>
              </w:rPr>
            </w:pPr>
            <w:r w:rsidRPr="00423382">
              <w:rPr>
                <w:rFonts w:ascii="Times New Roman" w:hAnsi="Times New Roman"/>
                <w:sz w:val="18"/>
                <w:szCs w:val="18"/>
              </w:rPr>
              <w:t>Именовано тело за оцењивање и верфикацију сталности перформанси може бити пријављено као:</w:t>
            </w:r>
          </w:p>
          <w:p w14:paraId="1331DA3C" w14:textId="77777777" w:rsidR="00423382" w:rsidRPr="00423382" w:rsidRDefault="00423382" w:rsidP="00423382">
            <w:pPr>
              <w:pStyle w:val="Style10"/>
              <w:ind w:left="320" w:right="-23"/>
              <w:rPr>
                <w:rFonts w:ascii="Times New Roman" w:hAnsi="Times New Roman"/>
                <w:sz w:val="18"/>
                <w:szCs w:val="18"/>
              </w:rPr>
            </w:pPr>
            <w:r w:rsidRPr="00423382">
              <w:rPr>
                <w:rFonts w:ascii="Times New Roman" w:hAnsi="Times New Roman"/>
                <w:sz w:val="18"/>
                <w:szCs w:val="18"/>
              </w:rPr>
              <w:t>1)</w:t>
            </w:r>
            <w:r w:rsidRPr="00423382">
              <w:rPr>
                <w:rFonts w:ascii="Times New Roman" w:hAnsi="Times New Roman"/>
                <w:sz w:val="18"/>
                <w:szCs w:val="18"/>
              </w:rPr>
              <w:tab/>
              <w:t>тело пријављено за сертификацију сталности перформанси грађевинског производа;</w:t>
            </w:r>
          </w:p>
          <w:p w14:paraId="7A8DF4F4" w14:textId="77777777" w:rsidR="00423382" w:rsidRPr="00423382" w:rsidRDefault="00423382" w:rsidP="00423382">
            <w:pPr>
              <w:pStyle w:val="Style10"/>
              <w:ind w:left="320" w:right="-23"/>
              <w:rPr>
                <w:rFonts w:ascii="Times New Roman" w:hAnsi="Times New Roman"/>
                <w:sz w:val="18"/>
                <w:szCs w:val="18"/>
              </w:rPr>
            </w:pPr>
            <w:r w:rsidRPr="00423382">
              <w:rPr>
                <w:rFonts w:ascii="Times New Roman" w:hAnsi="Times New Roman"/>
                <w:sz w:val="18"/>
                <w:szCs w:val="18"/>
              </w:rPr>
              <w:t>2)</w:t>
            </w:r>
            <w:r w:rsidRPr="00423382">
              <w:rPr>
                <w:rFonts w:ascii="Times New Roman" w:hAnsi="Times New Roman"/>
                <w:sz w:val="18"/>
                <w:szCs w:val="18"/>
              </w:rPr>
              <w:tab/>
              <w:t>тело пријављено за сертификацију фабричке контроле производње и/или</w:t>
            </w:r>
          </w:p>
          <w:p w14:paraId="32FB2795" w14:textId="77777777" w:rsidR="00423382" w:rsidRPr="00423382" w:rsidRDefault="00423382" w:rsidP="00423382">
            <w:pPr>
              <w:pStyle w:val="Style10"/>
              <w:ind w:left="320" w:right="-23"/>
              <w:rPr>
                <w:rFonts w:ascii="Times New Roman" w:hAnsi="Times New Roman"/>
                <w:sz w:val="18"/>
                <w:szCs w:val="18"/>
              </w:rPr>
            </w:pPr>
            <w:r w:rsidRPr="00423382">
              <w:rPr>
                <w:rFonts w:ascii="Times New Roman" w:hAnsi="Times New Roman"/>
                <w:sz w:val="18"/>
                <w:szCs w:val="18"/>
              </w:rPr>
              <w:t>3)</w:t>
            </w:r>
            <w:r w:rsidRPr="00423382">
              <w:rPr>
                <w:rFonts w:ascii="Times New Roman" w:hAnsi="Times New Roman"/>
                <w:sz w:val="18"/>
                <w:szCs w:val="18"/>
              </w:rPr>
              <w:tab/>
              <w:t xml:space="preserve">лабораторија пријављена за мерење, истраживање, испитивање, прорачун или неки други начин оцењивањаперформанси </w:t>
            </w:r>
            <w:r w:rsidRPr="00423382">
              <w:rPr>
                <w:rFonts w:ascii="Times New Roman" w:hAnsi="Times New Roman"/>
                <w:sz w:val="18"/>
                <w:szCs w:val="18"/>
              </w:rPr>
              <w:lastRenderedPageBreak/>
              <w:t>грађевинског производа,</w:t>
            </w:r>
          </w:p>
          <w:p w14:paraId="0AC1D08C" w14:textId="3ED5C916" w:rsidR="00A7772A" w:rsidRPr="00487209" w:rsidRDefault="00423382" w:rsidP="00423382">
            <w:pPr>
              <w:pStyle w:val="Style10"/>
              <w:spacing w:line="240" w:lineRule="auto"/>
              <w:ind w:left="320" w:right="-23"/>
              <w:rPr>
                <w:rFonts w:ascii="Times New Roman" w:hAnsi="Times New Roman"/>
                <w:sz w:val="18"/>
                <w:szCs w:val="18"/>
                <w:lang w:val="sr-Cyrl-CS"/>
              </w:rPr>
            </w:pPr>
            <w:r w:rsidRPr="00423382">
              <w:rPr>
                <w:rFonts w:ascii="Times New Roman" w:hAnsi="Times New Roman"/>
                <w:sz w:val="18"/>
                <w:szCs w:val="18"/>
              </w:rPr>
              <w:t>за обављање задатака независне треће стране у поступку оцењивања и верификације сталности перформанси у складу са одговарајућом хармонизованом техничком спецификацијом.</w:t>
            </w:r>
          </w:p>
          <w:p w14:paraId="486A3019" w14:textId="77777777" w:rsidR="00A7772A" w:rsidRPr="00487209" w:rsidRDefault="00A7772A" w:rsidP="006C6323">
            <w:pPr>
              <w:pStyle w:val="Style10"/>
              <w:spacing w:line="240" w:lineRule="auto"/>
              <w:ind w:right="-23"/>
              <w:rPr>
                <w:rFonts w:ascii="Times New Roman" w:hAnsi="Times New Roman"/>
                <w:sz w:val="18"/>
                <w:szCs w:val="18"/>
                <w:lang w:val="sr-Cyrl-CS"/>
              </w:rPr>
            </w:pPr>
          </w:p>
        </w:tc>
        <w:tc>
          <w:tcPr>
            <w:tcW w:w="458" w:type="pct"/>
            <w:shd w:val="clear" w:color="auto" w:fill="auto"/>
            <w:vAlign w:val="center"/>
          </w:tcPr>
          <w:p w14:paraId="2CC4137D"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lastRenderedPageBreak/>
              <w:t>ПУ</w:t>
            </w:r>
          </w:p>
        </w:tc>
        <w:tc>
          <w:tcPr>
            <w:tcW w:w="598" w:type="pct"/>
            <w:gridSpan w:val="2"/>
            <w:shd w:val="clear" w:color="auto" w:fill="auto"/>
            <w:vAlign w:val="center"/>
          </w:tcPr>
          <w:p w14:paraId="792C652B"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7321CC1"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56C5B6CA" w14:textId="77777777" w:rsidTr="007D5144">
        <w:trPr>
          <w:trHeight w:val="899"/>
          <w:jc w:val="center"/>
        </w:trPr>
        <w:tc>
          <w:tcPr>
            <w:tcW w:w="435" w:type="pct"/>
            <w:shd w:val="clear" w:color="auto" w:fill="auto"/>
            <w:vAlign w:val="center"/>
          </w:tcPr>
          <w:p w14:paraId="6612EA23"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47.3</w:t>
            </w:r>
          </w:p>
        </w:tc>
        <w:tc>
          <w:tcPr>
            <w:tcW w:w="1369" w:type="pct"/>
            <w:gridSpan w:val="2"/>
            <w:shd w:val="clear" w:color="auto" w:fill="auto"/>
            <w:vAlign w:val="center"/>
          </w:tcPr>
          <w:p w14:paraId="7EAD3513" w14:textId="77777777" w:rsidR="00147811" w:rsidRPr="00487209" w:rsidRDefault="00147811" w:rsidP="006C6323">
            <w:pPr>
              <w:spacing w:before="100" w:beforeAutospacing="1" w:after="100" w:afterAutospacing="1"/>
              <w:rPr>
                <w:rFonts w:ascii="Times New Roman" w:hAnsi="Times New Roman" w:cs="Times New Roman"/>
                <w:sz w:val="18"/>
                <w:szCs w:val="18"/>
              </w:rPr>
            </w:pPr>
            <w:r w:rsidRPr="00487209">
              <w:rPr>
                <w:rFonts w:ascii="Times New Roman" w:hAnsi="Times New Roman" w:cs="Times New Roman"/>
                <w:sz w:val="18"/>
                <w:szCs w:val="18"/>
              </w:rPr>
              <w:t>Where the body concerned cannot provide an accreditation certificate, it shall provide the notifying authority with all documentary evidence necessary for the verification, recognition and regular monitoring of its compliance with the requirements laid down in Article 43.</w:t>
            </w:r>
          </w:p>
        </w:tc>
        <w:tc>
          <w:tcPr>
            <w:tcW w:w="429" w:type="pct"/>
            <w:shd w:val="clear" w:color="auto" w:fill="auto"/>
            <w:vAlign w:val="center"/>
          </w:tcPr>
          <w:p w14:paraId="55DA1D7A"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2BA9A9AA"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26DE9828"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w:t>
            </w:r>
            <w:r w:rsidR="00385787" w:rsidRPr="00487209">
              <w:rPr>
                <w:rFonts w:ascii="Times New Roman" w:hAnsi="Times New Roman" w:cs="Times New Roman"/>
                <w:sz w:val="18"/>
                <w:szCs w:val="18"/>
                <w:lang w:val="sr-Cyrl-CS"/>
              </w:rPr>
              <w:t>У</w:t>
            </w:r>
          </w:p>
        </w:tc>
        <w:tc>
          <w:tcPr>
            <w:tcW w:w="598" w:type="pct"/>
            <w:gridSpan w:val="2"/>
            <w:shd w:val="clear" w:color="auto" w:fill="auto"/>
            <w:vAlign w:val="center"/>
          </w:tcPr>
          <w:p w14:paraId="447FEF41" w14:textId="5FA44EA1" w:rsidR="00147811" w:rsidRPr="00487209" w:rsidRDefault="00385787"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sidRPr="00487209">
              <w:rPr>
                <w:rFonts w:ascii="Times New Roman" w:hAnsi="Times New Roman" w:cs="Times New Roman"/>
                <w:sz w:val="18"/>
                <w:szCs w:val="18"/>
                <w:lang w:val="ru-RU"/>
              </w:rPr>
              <w:t xml:space="preserve"> која се може упоредити са чл</w:t>
            </w:r>
            <w:r w:rsidR="00295C9D">
              <w:rPr>
                <w:rFonts w:ascii="Times New Roman" w:hAnsi="Times New Roman" w:cs="Times New Roman"/>
                <w:sz w:val="18"/>
                <w:szCs w:val="18"/>
                <w:lang w:val="ru-RU"/>
              </w:rPr>
              <w:t>аном</w:t>
            </w:r>
            <w:r w:rsidR="00147811" w:rsidRPr="00487209">
              <w:rPr>
                <w:rFonts w:ascii="Times New Roman" w:hAnsi="Times New Roman" w:cs="Times New Roman"/>
                <w:sz w:val="18"/>
                <w:szCs w:val="18"/>
                <w:lang w:val="ru-RU"/>
              </w:rPr>
              <w:t xml:space="preserve"> 4</w:t>
            </w:r>
            <w:r w:rsidRPr="00487209">
              <w:rPr>
                <w:rFonts w:ascii="Times New Roman" w:hAnsi="Times New Roman" w:cs="Times New Roman"/>
                <w:sz w:val="18"/>
                <w:szCs w:val="18"/>
                <w:lang w:val="ru-RU"/>
              </w:rPr>
              <w:t>7</w:t>
            </w:r>
            <w:r w:rsidR="00147811" w:rsidRPr="00487209">
              <w:rPr>
                <w:rFonts w:ascii="Times New Roman" w:hAnsi="Times New Roman" w:cs="Times New Roman"/>
                <w:sz w:val="18"/>
                <w:szCs w:val="18"/>
                <w:lang w:val="ru-RU"/>
              </w:rPr>
              <w:t>.</w:t>
            </w:r>
            <w:r w:rsidRPr="00487209">
              <w:rPr>
                <w:rFonts w:ascii="Times New Roman" w:hAnsi="Times New Roman" w:cs="Times New Roman"/>
                <w:sz w:val="18"/>
                <w:szCs w:val="18"/>
                <w:lang w:val="ru-RU"/>
              </w:rPr>
              <w:t>3</w:t>
            </w:r>
            <w:r w:rsidR="00147811" w:rsidRPr="00487209">
              <w:rPr>
                <w:rFonts w:ascii="Times New Roman" w:hAnsi="Times New Roman" w:cs="Times New Roman"/>
                <w:sz w:val="18"/>
                <w:szCs w:val="18"/>
                <w:lang w:val="ru-RU"/>
              </w:rPr>
              <w:t>.</w:t>
            </w:r>
            <w:r w:rsidRPr="00487209">
              <w:rPr>
                <w:rFonts w:ascii="Times New Roman" w:hAnsi="Times New Roman" w:cs="Times New Roman"/>
                <w:sz w:val="18"/>
                <w:szCs w:val="18"/>
                <w:lang w:val="sr-Cyrl-CS"/>
              </w:rPr>
              <w:t xml:space="preserve"> Уредбе 305/2011 (ЕУ).</w:t>
            </w:r>
            <w:r w:rsidR="00147811"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lang w:val="sr-Cyrl-CS"/>
              </w:rPr>
              <w:t xml:space="preserve">Усклађивање </w:t>
            </w:r>
            <w:r w:rsidR="00147811" w:rsidRPr="00487209">
              <w:rPr>
                <w:rFonts w:ascii="Times New Roman" w:hAnsi="Times New Roman" w:cs="Times New Roman"/>
                <w:sz w:val="18"/>
                <w:szCs w:val="18"/>
                <w:lang w:val="sr-Cyrl-CS"/>
              </w:rPr>
              <w:t xml:space="preserve">ће </w:t>
            </w:r>
            <w:r w:rsidRPr="00487209">
              <w:rPr>
                <w:rFonts w:ascii="Times New Roman" w:hAnsi="Times New Roman" w:cs="Times New Roman"/>
                <w:sz w:val="18"/>
                <w:szCs w:val="18"/>
                <w:lang w:val="sr-Cyrl-CS"/>
              </w:rPr>
              <w:t xml:space="preserve">бити остварено </w:t>
            </w:r>
            <w:r w:rsidR="00147811" w:rsidRPr="00487209">
              <w:rPr>
                <w:rFonts w:ascii="Times New Roman" w:hAnsi="Times New Roman" w:cs="Times New Roman"/>
                <w:sz w:val="18"/>
                <w:szCs w:val="18"/>
                <w:lang w:val="sr-Cyrl-CS"/>
              </w:rPr>
              <w:t>након приступања ЕУ.</w:t>
            </w:r>
          </w:p>
        </w:tc>
        <w:tc>
          <w:tcPr>
            <w:tcW w:w="480" w:type="pct"/>
            <w:shd w:val="clear" w:color="auto" w:fill="auto"/>
            <w:vAlign w:val="center"/>
          </w:tcPr>
          <w:p w14:paraId="7B0A5758"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477F0A9" w14:textId="77777777" w:rsidTr="007D5144">
        <w:trPr>
          <w:trHeight w:val="771"/>
          <w:jc w:val="center"/>
        </w:trPr>
        <w:tc>
          <w:tcPr>
            <w:tcW w:w="435" w:type="pct"/>
            <w:shd w:val="clear" w:color="auto" w:fill="auto"/>
            <w:vAlign w:val="center"/>
          </w:tcPr>
          <w:p w14:paraId="7A024BE8"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48.1</w:t>
            </w:r>
          </w:p>
        </w:tc>
        <w:tc>
          <w:tcPr>
            <w:tcW w:w="1369" w:type="pct"/>
            <w:gridSpan w:val="2"/>
            <w:shd w:val="clear" w:color="auto" w:fill="auto"/>
            <w:vAlign w:val="center"/>
          </w:tcPr>
          <w:p w14:paraId="4526EC08"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Notifying authorities may notify only bodies which have satisfied the requirements laid down in Article 43.</w:t>
            </w:r>
          </w:p>
          <w:p w14:paraId="0139C65A"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207B1D33" w14:textId="77777777" w:rsidR="00147811" w:rsidRPr="00487209" w:rsidRDefault="00147811"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2E1BF157" w14:textId="77777777" w:rsidR="00147811" w:rsidRPr="00487209" w:rsidRDefault="00147811" w:rsidP="006C6323">
            <w:pPr>
              <w:pStyle w:val="Style10"/>
              <w:spacing w:line="240" w:lineRule="auto"/>
              <w:ind w:right="-23"/>
              <w:rPr>
                <w:rFonts w:ascii="Times New Roman" w:hAnsi="Times New Roman"/>
                <w:sz w:val="18"/>
                <w:szCs w:val="18"/>
                <w:lang w:val="sr-Cyrl-CS"/>
              </w:rPr>
            </w:pPr>
          </w:p>
        </w:tc>
        <w:tc>
          <w:tcPr>
            <w:tcW w:w="458" w:type="pct"/>
            <w:shd w:val="clear" w:color="auto" w:fill="auto"/>
            <w:vAlign w:val="center"/>
          </w:tcPr>
          <w:p w14:paraId="01066459" w14:textId="77777777" w:rsidR="00147811" w:rsidRPr="00487209" w:rsidRDefault="00863CF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6D445BF8" w14:textId="1D08BB33" w:rsidR="00147811" w:rsidRPr="00487209" w:rsidRDefault="00863CF1"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sidR="00295C9D">
              <w:rPr>
                <w:rFonts w:ascii="Times New Roman" w:hAnsi="Times New Roman" w:cs="Times New Roman"/>
                <w:sz w:val="18"/>
                <w:szCs w:val="18"/>
                <w:lang w:val="ru-RU"/>
              </w:rPr>
              <w:t xml:space="preserve"> која се може упоредити са чланом</w:t>
            </w:r>
            <w:r w:rsidRPr="00487209">
              <w:rPr>
                <w:rFonts w:ascii="Times New Roman" w:hAnsi="Times New Roman" w:cs="Times New Roman"/>
                <w:sz w:val="18"/>
                <w:szCs w:val="18"/>
                <w:lang w:val="ru-RU"/>
              </w:rPr>
              <w:t xml:space="preserve"> 48.1.</w:t>
            </w:r>
            <w:r w:rsidRPr="00487209">
              <w:rPr>
                <w:rFonts w:ascii="Times New Roman" w:hAnsi="Times New Roman" w:cs="Times New Roman"/>
                <w:sz w:val="18"/>
                <w:szCs w:val="18"/>
                <w:lang w:val="sr-Cyrl-CS"/>
              </w:rPr>
              <w:t xml:space="preserve"> Уредбе 305/2011 (ЕУ). </w:t>
            </w:r>
          </w:p>
        </w:tc>
        <w:tc>
          <w:tcPr>
            <w:tcW w:w="480" w:type="pct"/>
            <w:shd w:val="clear" w:color="auto" w:fill="auto"/>
            <w:vAlign w:val="center"/>
          </w:tcPr>
          <w:p w14:paraId="7289330A"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16969848" w14:textId="77777777" w:rsidTr="007D5144">
        <w:trPr>
          <w:trHeight w:val="771"/>
          <w:jc w:val="center"/>
        </w:trPr>
        <w:tc>
          <w:tcPr>
            <w:tcW w:w="435" w:type="pct"/>
            <w:shd w:val="clear" w:color="auto" w:fill="auto"/>
            <w:vAlign w:val="center"/>
          </w:tcPr>
          <w:p w14:paraId="585837C5" w14:textId="77777777" w:rsidR="00917D13" w:rsidRPr="00487209" w:rsidRDefault="00917D13"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48.2</w:t>
            </w:r>
          </w:p>
        </w:tc>
        <w:tc>
          <w:tcPr>
            <w:tcW w:w="1369" w:type="pct"/>
            <w:gridSpan w:val="2"/>
            <w:shd w:val="clear" w:color="auto" w:fill="auto"/>
            <w:vAlign w:val="center"/>
          </w:tcPr>
          <w:p w14:paraId="4B605922" w14:textId="77777777" w:rsidR="00917D13" w:rsidRPr="00487209" w:rsidRDefault="00917D13" w:rsidP="006C6323">
            <w:pPr>
              <w:spacing w:before="100" w:beforeAutospacing="1" w:after="100" w:afterAutospacing="1"/>
              <w:jc w:val="both"/>
              <w:rPr>
                <w:rFonts w:ascii="Times New Roman" w:hAnsi="Times New Roman" w:cs="Times New Roman"/>
                <w:sz w:val="18"/>
                <w:szCs w:val="18"/>
              </w:rPr>
            </w:pPr>
          </w:p>
          <w:p w14:paraId="4A483BA7" w14:textId="77777777" w:rsidR="00917D13" w:rsidRPr="00487209" w:rsidRDefault="00917D13"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 xml:space="preserve">They shall notify the Commission and the other Member States, notably using the electronic notification tool developed and </w:t>
            </w:r>
            <w:r w:rsidRPr="00487209">
              <w:rPr>
                <w:rFonts w:ascii="Times New Roman" w:hAnsi="Times New Roman" w:cs="Times New Roman"/>
                <w:sz w:val="18"/>
                <w:szCs w:val="18"/>
              </w:rPr>
              <w:lastRenderedPageBreak/>
              <w:t>managed by the Commission.</w:t>
            </w:r>
          </w:p>
          <w:p w14:paraId="3EAFA855" w14:textId="5CB14FDB" w:rsidR="00917D13" w:rsidRPr="00487209" w:rsidRDefault="00917D13"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Exceptionally, for cases set out in point 3 of Annex V, for which the appropriate electronic tool is not available, a hard copy of the notification shall be accepted.</w:t>
            </w:r>
          </w:p>
        </w:tc>
        <w:tc>
          <w:tcPr>
            <w:tcW w:w="429" w:type="pct"/>
            <w:shd w:val="clear" w:color="auto" w:fill="auto"/>
            <w:vAlign w:val="center"/>
          </w:tcPr>
          <w:p w14:paraId="73D995E0" w14:textId="77777777" w:rsidR="00917D13" w:rsidRPr="00487209" w:rsidRDefault="00917D13"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7D5799C6" w14:textId="65526973" w:rsidR="00917D13" w:rsidRPr="00487209" w:rsidRDefault="00917D13" w:rsidP="006C6323">
            <w:pPr>
              <w:jc w:val="center"/>
              <w:rPr>
                <w:rFonts w:ascii="Times New Roman" w:hAnsi="Times New Roman" w:cs="Times New Roman"/>
                <w:sz w:val="18"/>
                <w:szCs w:val="18"/>
                <w:lang w:val="sr-Cyrl-CS"/>
              </w:rPr>
            </w:pPr>
          </w:p>
        </w:tc>
        <w:tc>
          <w:tcPr>
            <w:tcW w:w="458" w:type="pct"/>
            <w:shd w:val="clear" w:color="auto" w:fill="auto"/>
            <w:vAlign w:val="center"/>
          </w:tcPr>
          <w:p w14:paraId="24B3343F" w14:textId="77777777" w:rsidR="00917D13" w:rsidRPr="00487209" w:rsidRDefault="00917D13"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09E81D59" w14:textId="2031D691" w:rsidR="00917D13" w:rsidRPr="00487209" w:rsidRDefault="00917D13"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sidR="00295C9D">
              <w:rPr>
                <w:rFonts w:ascii="Times New Roman" w:hAnsi="Times New Roman" w:cs="Times New Roman"/>
                <w:sz w:val="18"/>
                <w:szCs w:val="18"/>
                <w:lang w:val="ru-RU"/>
              </w:rPr>
              <w:t xml:space="preserve"> која се може </w:t>
            </w:r>
            <w:r w:rsidR="00295C9D">
              <w:rPr>
                <w:rFonts w:ascii="Times New Roman" w:hAnsi="Times New Roman" w:cs="Times New Roman"/>
                <w:sz w:val="18"/>
                <w:szCs w:val="18"/>
                <w:lang w:val="ru-RU"/>
              </w:rPr>
              <w:lastRenderedPageBreak/>
              <w:t>упоредити са чланом</w:t>
            </w:r>
            <w:r w:rsidRPr="00487209">
              <w:rPr>
                <w:rFonts w:ascii="Times New Roman" w:hAnsi="Times New Roman" w:cs="Times New Roman"/>
                <w:sz w:val="18"/>
                <w:szCs w:val="18"/>
                <w:lang w:val="ru-RU"/>
              </w:rPr>
              <w:t xml:space="preserve"> 48.2.</w:t>
            </w:r>
            <w:r w:rsidRPr="00487209">
              <w:rPr>
                <w:rFonts w:ascii="Times New Roman" w:hAnsi="Times New Roman" w:cs="Times New Roman"/>
                <w:sz w:val="18"/>
                <w:szCs w:val="18"/>
                <w:lang w:val="sr-Cyrl-CS"/>
              </w:rPr>
              <w:t xml:space="preserve"> Уредбе 305/2011 (ЕУ). </w:t>
            </w:r>
          </w:p>
        </w:tc>
        <w:tc>
          <w:tcPr>
            <w:tcW w:w="480" w:type="pct"/>
            <w:shd w:val="clear" w:color="auto" w:fill="auto"/>
            <w:vAlign w:val="center"/>
          </w:tcPr>
          <w:p w14:paraId="28BA853F" w14:textId="77777777" w:rsidR="00917D13" w:rsidRPr="00487209" w:rsidRDefault="00917D13" w:rsidP="006C6323">
            <w:pPr>
              <w:spacing w:before="120" w:after="120"/>
              <w:jc w:val="center"/>
              <w:rPr>
                <w:rFonts w:ascii="Times New Roman" w:hAnsi="Times New Roman" w:cs="Times New Roman"/>
                <w:sz w:val="18"/>
                <w:szCs w:val="18"/>
              </w:rPr>
            </w:pPr>
          </w:p>
        </w:tc>
      </w:tr>
      <w:tr w:rsidR="00337554" w:rsidRPr="00487209" w14:paraId="511BD9EC" w14:textId="77777777" w:rsidTr="007D5144">
        <w:trPr>
          <w:trHeight w:val="771"/>
          <w:jc w:val="center"/>
        </w:trPr>
        <w:tc>
          <w:tcPr>
            <w:tcW w:w="435" w:type="pct"/>
            <w:shd w:val="clear" w:color="auto" w:fill="auto"/>
            <w:vAlign w:val="center"/>
          </w:tcPr>
          <w:p w14:paraId="2A5CC631"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48.3</w:t>
            </w:r>
          </w:p>
        </w:tc>
        <w:tc>
          <w:tcPr>
            <w:tcW w:w="1369" w:type="pct"/>
            <w:gridSpan w:val="2"/>
            <w:shd w:val="clear" w:color="auto" w:fill="auto"/>
            <w:vAlign w:val="center"/>
          </w:tcPr>
          <w:p w14:paraId="442C1CF1"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notification shall include full details of the functions to be performed, reference to the relevant harmonised technical specification and, for the purposes of the system set out in Annex V, the essential characteristics for which the body is competent.</w:t>
            </w:r>
          </w:p>
          <w:p w14:paraId="6B5F2CE7"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However, reference to the relevant harmonised technical specification is not required in the cases set out in point 3 of Annex V.</w:t>
            </w:r>
          </w:p>
        </w:tc>
        <w:tc>
          <w:tcPr>
            <w:tcW w:w="429" w:type="pct"/>
            <w:shd w:val="clear" w:color="auto" w:fill="auto"/>
            <w:vAlign w:val="center"/>
          </w:tcPr>
          <w:p w14:paraId="3D4A9493" w14:textId="717EF23F" w:rsidR="00193167"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7132B293" w14:textId="05B9273C" w:rsidR="00917D13" w:rsidRPr="00487209" w:rsidRDefault="00193167" w:rsidP="006C6323">
            <w:pPr>
              <w:pStyle w:val="Style10"/>
              <w:spacing w:line="240" w:lineRule="auto"/>
              <w:ind w:right="-23"/>
              <w:jc w:val="center"/>
              <w:rPr>
                <w:rFonts w:ascii="Times New Roman" w:hAnsi="Times New Roman"/>
                <w:sz w:val="18"/>
                <w:szCs w:val="18"/>
                <w:lang w:val="ru-RU"/>
              </w:rPr>
            </w:pPr>
            <w:r w:rsidRPr="00487209">
              <w:rPr>
                <w:rFonts w:ascii="Times New Roman" w:hAnsi="Times New Roman"/>
                <w:sz w:val="18"/>
                <w:szCs w:val="18"/>
                <w:lang w:val="ru-RU"/>
              </w:rPr>
              <w:t xml:space="preserve"> </w:t>
            </w:r>
            <w:r w:rsidR="00FC616A" w:rsidRPr="00487209">
              <w:rPr>
                <w:rFonts w:ascii="Times New Roman" w:hAnsi="Times New Roman"/>
                <w:sz w:val="18"/>
                <w:szCs w:val="18"/>
                <w:lang w:val="sr-Latn-CS"/>
              </w:rPr>
              <w:t>50</w:t>
            </w:r>
            <w:r w:rsidR="00147811" w:rsidRPr="00487209">
              <w:rPr>
                <w:rFonts w:ascii="Times New Roman" w:hAnsi="Times New Roman"/>
                <w:sz w:val="18"/>
                <w:szCs w:val="18"/>
                <w:lang w:val="ru-RU"/>
              </w:rPr>
              <w:t>.</w:t>
            </w:r>
          </w:p>
          <w:p w14:paraId="40F9B62D" w14:textId="77777777" w:rsidR="00917D13" w:rsidRPr="00487209" w:rsidRDefault="00917D13" w:rsidP="006C6323">
            <w:pPr>
              <w:pStyle w:val="Style10"/>
              <w:spacing w:line="240" w:lineRule="auto"/>
              <w:ind w:right="-23"/>
              <w:rPr>
                <w:rFonts w:ascii="Times New Roman" w:hAnsi="Times New Roman"/>
                <w:sz w:val="18"/>
                <w:szCs w:val="18"/>
                <w:lang w:val="ru-RU"/>
              </w:rPr>
            </w:pPr>
          </w:p>
          <w:p w14:paraId="46CEB117" w14:textId="77777777" w:rsidR="00917D13" w:rsidRPr="00487209" w:rsidRDefault="00917D13" w:rsidP="006C6323">
            <w:pPr>
              <w:pStyle w:val="Style10"/>
              <w:spacing w:line="240" w:lineRule="auto"/>
              <w:ind w:right="-23"/>
              <w:rPr>
                <w:rFonts w:ascii="Times New Roman" w:hAnsi="Times New Roman"/>
                <w:sz w:val="18"/>
                <w:szCs w:val="18"/>
                <w:lang w:val="ru-RU"/>
              </w:rPr>
            </w:pPr>
          </w:p>
          <w:p w14:paraId="026CA9E8" w14:textId="77777777" w:rsidR="00917D13" w:rsidRPr="00487209" w:rsidRDefault="00917D13" w:rsidP="006C6323">
            <w:pPr>
              <w:pStyle w:val="Style10"/>
              <w:spacing w:line="240" w:lineRule="auto"/>
              <w:ind w:right="-23"/>
              <w:rPr>
                <w:rFonts w:ascii="Times New Roman" w:hAnsi="Times New Roman"/>
                <w:sz w:val="18"/>
                <w:szCs w:val="18"/>
                <w:lang w:val="ru-RU"/>
              </w:rPr>
            </w:pPr>
          </w:p>
          <w:p w14:paraId="1DBEE800" w14:textId="77777777" w:rsidR="00917D13" w:rsidRPr="00487209" w:rsidRDefault="00917D13" w:rsidP="006C6323">
            <w:pPr>
              <w:pStyle w:val="Style10"/>
              <w:spacing w:line="240" w:lineRule="auto"/>
              <w:ind w:right="-23"/>
              <w:rPr>
                <w:rFonts w:ascii="Times New Roman" w:hAnsi="Times New Roman"/>
                <w:sz w:val="18"/>
                <w:szCs w:val="18"/>
                <w:lang w:val="ru-RU"/>
              </w:rPr>
            </w:pPr>
          </w:p>
          <w:p w14:paraId="3FD6FCC1" w14:textId="4ADFC9C5" w:rsidR="00147811" w:rsidRPr="00487209" w:rsidRDefault="00E15295" w:rsidP="00E15295">
            <w:pPr>
              <w:pStyle w:val="Style10"/>
              <w:spacing w:line="240" w:lineRule="auto"/>
              <w:ind w:right="-23"/>
              <w:jc w:val="center"/>
              <w:rPr>
                <w:rFonts w:ascii="Times New Roman" w:hAnsi="Times New Roman"/>
                <w:sz w:val="18"/>
                <w:szCs w:val="18"/>
                <w:lang w:val="ru-RU"/>
              </w:rPr>
            </w:pPr>
            <w:r>
              <w:rPr>
                <w:rFonts w:ascii="Times New Roman" w:hAnsi="Times New Roman"/>
                <w:sz w:val="18"/>
                <w:szCs w:val="18"/>
                <w:lang w:val="sr-Cyrl-CS"/>
              </w:rPr>
              <w:t>49.2</w:t>
            </w:r>
            <w:r w:rsidR="00917D13" w:rsidRPr="00487209">
              <w:rPr>
                <w:rFonts w:ascii="Times New Roman" w:hAnsi="Times New Roman"/>
                <w:sz w:val="18"/>
                <w:szCs w:val="18"/>
                <w:lang w:val="ru-RU"/>
              </w:rPr>
              <w:t>.</w:t>
            </w:r>
          </w:p>
        </w:tc>
        <w:tc>
          <w:tcPr>
            <w:tcW w:w="1231" w:type="pct"/>
            <w:gridSpan w:val="2"/>
            <w:shd w:val="clear" w:color="auto" w:fill="auto"/>
            <w:vAlign w:val="center"/>
          </w:tcPr>
          <w:p w14:paraId="13EF2432" w14:textId="77777777" w:rsidR="00E15295" w:rsidRDefault="00E15295" w:rsidP="007D5144">
            <w:pPr>
              <w:spacing w:before="120"/>
              <w:ind w:right="-23"/>
              <w:jc w:val="both"/>
              <w:rPr>
                <w:rFonts w:ascii="Times New Roman" w:eastAsia="Batang" w:hAnsi="Times New Roman" w:cs="Times New Roman"/>
                <w:sz w:val="18"/>
                <w:szCs w:val="18"/>
                <w:lang w:val="sr-Cyrl-CS" w:eastAsia="ko-KR"/>
              </w:rPr>
            </w:pPr>
            <w:r w:rsidRPr="00E15295">
              <w:rPr>
                <w:rFonts w:ascii="Times New Roman" w:eastAsia="Batang" w:hAnsi="Times New Roman" w:cs="Times New Roman"/>
                <w:sz w:val="18"/>
                <w:szCs w:val="18"/>
                <w:lang w:val="sr-Cyrl-CS" w:eastAsia="ko-KR"/>
              </w:rPr>
              <w:t>Пријављивање тела за оцењивање и верификацију сталности перформанси из члана 48. овог закона, спроводи се у складу са посебним прописом који уређује поступак пријављивања, начин утврђивања испуњености прописаних захтева за пријављивање, надзор над радом тих тела, као и суспензија и повлачење пријављивања, донетим на основу закона којим се уређују технички захтеви за производе и оцењивање усаглашености.</w:t>
            </w:r>
          </w:p>
          <w:p w14:paraId="3F782ED2" w14:textId="20326F72" w:rsidR="004E3214" w:rsidRPr="00487209" w:rsidRDefault="00E15295" w:rsidP="007D5144">
            <w:pPr>
              <w:spacing w:before="120"/>
              <w:ind w:right="-23"/>
              <w:jc w:val="both"/>
              <w:rPr>
                <w:rFonts w:ascii="Times New Roman" w:hAnsi="Times New Roman"/>
                <w:sz w:val="18"/>
                <w:szCs w:val="18"/>
                <w:shd w:val="clear" w:color="auto" w:fill="FFFFFF" w:themeFill="background1"/>
              </w:rPr>
            </w:pPr>
            <w:r w:rsidRPr="00E15295">
              <w:rPr>
                <w:rFonts w:ascii="Times New Roman" w:eastAsia="Batang" w:hAnsi="Times New Roman" w:cs="Times New Roman"/>
                <w:sz w:val="18"/>
                <w:szCs w:val="18"/>
                <w:lang w:val="sr-Cyrl-CS" w:eastAsia="ko-KR"/>
              </w:rPr>
              <w:t>У случајевима када није неопходно упућивање на одговарајуће хармонизоване техничке спецификације утврђеним у члану 5. став 4. овог закона, именовано тело из члана 29. овог закона може бити пријављено као лабораторија пријављена за испитивање: реакције на пожар, отпорности на пожар, перформанси при спољашњем пожару, апсорпције буке и емисије опасних материја</w:t>
            </w:r>
          </w:p>
        </w:tc>
        <w:tc>
          <w:tcPr>
            <w:tcW w:w="458" w:type="pct"/>
            <w:shd w:val="clear" w:color="auto" w:fill="auto"/>
            <w:vAlign w:val="center"/>
          </w:tcPr>
          <w:p w14:paraId="00A914B8"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718C95EE"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960C96B"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57A99111" w14:textId="77777777" w:rsidTr="007D5144">
        <w:trPr>
          <w:trHeight w:val="771"/>
          <w:jc w:val="center"/>
        </w:trPr>
        <w:tc>
          <w:tcPr>
            <w:tcW w:w="435" w:type="pct"/>
            <w:shd w:val="clear" w:color="auto" w:fill="auto"/>
            <w:vAlign w:val="center"/>
          </w:tcPr>
          <w:p w14:paraId="34841A96" w14:textId="77777777" w:rsidR="007C6A72" w:rsidRPr="00487209" w:rsidRDefault="007C6A72"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48.4.</w:t>
            </w:r>
          </w:p>
        </w:tc>
        <w:tc>
          <w:tcPr>
            <w:tcW w:w="1369" w:type="pct"/>
            <w:gridSpan w:val="2"/>
            <w:shd w:val="clear" w:color="auto" w:fill="auto"/>
            <w:vAlign w:val="center"/>
          </w:tcPr>
          <w:p w14:paraId="5CE74CD8" w14:textId="3C532B05" w:rsidR="007C6A72" w:rsidRPr="00487209" w:rsidRDefault="007C6A72"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Where a notification is not based on an accreditation certificate as referred to in Article 47(2), the notifying authority shall provide the Commission and the other Member States with all documentary evidence which attests to the notified body’s competence and the arrangements in place to ensure that that body will be monitored regularly and will continue to satisfy the requirements laid down in Article 43.</w:t>
            </w:r>
          </w:p>
        </w:tc>
        <w:tc>
          <w:tcPr>
            <w:tcW w:w="429" w:type="pct"/>
            <w:shd w:val="clear" w:color="auto" w:fill="auto"/>
            <w:vAlign w:val="center"/>
          </w:tcPr>
          <w:p w14:paraId="307BE864" w14:textId="77777777" w:rsidR="007C6A72" w:rsidRPr="00487209" w:rsidRDefault="007C6A72"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1C8F09B7" w14:textId="77777777" w:rsidR="007C6A72" w:rsidRPr="00487209" w:rsidRDefault="007C6A72" w:rsidP="006C6323">
            <w:pPr>
              <w:jc w:val="center"/>
              <w:rPr>
                <w:rFonts w:ascii="Times New Roman" w:hAnsi="Times New Roman" w:cs="Times New Roman"/>
                <w:sz w:val="18"/>
                <w:szCs w:val="18"/>
                <w:lang w:val="sr-Cyrl-CS"/>
              </w:rPr>
            </w:pPr>
          </w:p>
        </w:tc>
        <w:tc>
          <w:tcPr>
            <w:tcW w:w="458" w:type="pct"/>
            <w:shd w:val="clear" w:color="auto" w:fill="auto"/>
            <w:vAlign w:val="center"/>
          </w:tcPr>
          <w:p w14:paraId="36746C9A" w14:textId="77777777" w:rsidR="007C6A72" w:rsidRPr="00487209" w:rsidRDefault="007C6A72"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2B770F7C" w14:textId="53310CDE" w:rsidR="007C6A72" w:rsidRPr="00487209" w:rsidRDefault="007C6A72"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sidR="00295C9D">
              <w:rPr>
                <w:rFonts w:ascii="Times New Roman" w:hAnsi="Times New Roman" w:cs="Times New Roman"/>
                <w:sz w:val="18"/>
                <w:szCs w:val="18"/>
                <w:lang w:val="ru-RU"/>
              </w:rPr>
              <w:t xml:space="preserve"> која се може упоредити са чланом</w:t>
            </w:r>
            <w:r w:rsidRPr="00487209">
              <w:rPr>
                <w:rFonts w:ascii="Times New Roman" w:hAnsi="Times New Roman" w:cs="Times New Roman"/>
                <w:sz w:val="18"/>
                <w:szCs w:val="18"/>
                <w:lang w:val="ru-RU"/>
              </w:rPr>
              <w:t xml:space="preserve"> 48.4.</w:t>
            </w:r>
            <w:r w:rsidRPr="00487209">
              <w:rPr>
                <w:rFonts w:ascii="Times New Roman" w:hAnsi="Times New Roman" w:cs="Times New Roman"/>
                <w:sz w:val="18"/>
                <w:szCs w:val="18"/>
                <w:lang w:val="sr-Cyrl-CS"/>
              </w:rPr>
              <w:t xml:space="preserve"> Уредбе 305/2011 </w:t>
            </w:r>
            <w:r w:rsidRPr="00487209">
              <w:rPr>
                <w:rFonts w:ascii="Times New Roman" w:hAnsi="Times New Roman" w:cs="Times New Roman"/>
                <w:sz w:val="18"/>
                <w:szCs w:val="18"/>
                <w:lang w:val="sr-Cyrl-CS"/>
              </w:rPr>
              <w:lastRenderedPageBreak/>
              <w:t xml:space="preserve">(ЕУ). </w:t>
            </w:r>
          </w:p>
        </w:tc>
        <w:tc>
          <w:tcPr>
            <w:tcW w:w="480" w:type="pct"/>
            <w:shd w:val="clear" w:color="auto" w:fill="auto"/>
            <w:vAlign w:val="center"/>
          </w:tcPr>
          <w:p w14:paraId="1199E317" w14:textId="77777777" w:rsidR="007C6A72" w:rsidRPr="00487209" w:rsidRDefault="007C6A72" w:rsidP="006C6323">
            <w:pPr>
              <w:spacing w:before="120" w:after="120"/>
              <w:jc w:val="center"/>
              <w:rPr>
                <w:rFonts w:ascii="Times New Roman" w:hAnsi="Times New Roman" w:cs="Times New Roman"/>
                <w:sz w:val="18"/>
                <w:szCs w:val="18"/>
              </w:rPr>
            </w:pPr>
          </w:p>
        </w:tc>
      </w:tr>
      <w:tr w:rsidR="00337554" w:rsidRPr="00487209" w14:paraId="264CA9A8" w14:textId="77777777" w:rsidTr="007D5144">
        <w:trPr>
          <w:trHeight w:val="771"/>
          <w:jc w:val="center"/>
        </w:trPr>
        <w:tc>
          <w:tcPr>
            <w:tcW w:w="435" w:type="pct"/>
            <w:shd w:val="clear" w:color="auto" w:fill="auto"/>
            <w:vAlign w:val="center"/>
          </w:tcPr>
          <w:p w14:paraId="1F2F1D5B"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48.5</w:t>
            </w:r>
          </w:p>
        </w:tc>
        <w:tc>
          <w:tcPr>
            <w:tcW w:w="1369" w:type="pct"/>
            <w:gridSpan w:val="2"/>
            <w:shd w:val="clear" w:color="auto" w:fill="auto"/>
            <w:vAlign w:val="center"/>
          </w:tcPr>
          <w:p w14:paraId="6D860047"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body concerned may perform the activities of a notified body only where no objections are raised by the Commission or the other Member States within 2 weeks of notification where an accreditation certificate is used or within 2 months of notification where an accreditation certificate is not used.</w:t>
            </w:r>
          </w:p>
          <w:p w14:paraId="5C62F6BC" w14:textId="247CE2B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Only such a body shall be considered as a notified body for the purpose of this Regulation.</w:t>
            </w:r>
          </w:p>
        </w:tc>
        <w:tc>
          <w:tcPr>
            <w:tcW w:w="429" w:type="pct"/>
            <w:shd w:val="clear" w:color="auto" w:fill="auto"/>
            <w:vAlign w:val="center"/>
          </w:tcPr>
          <w:p w14:paraId="3405FAB0" w14:textId="7B5B7085" w:rsidR="00147811" w:rsidRPr="00487209" w:rsidRDefault="00147811"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646F0927" w14:textId="190293E9" w:rsidR="00147811" w:rsidRPr="00487209" w:rsidRDefault="00147811" w:rsidP="006C6323">
            <w:pPr>
              <w:jc w:val="center"/>
              <w:rPr>
                <w:rFonts w:ascii="Times New Roman" w:hAnsi="Times New Roman" w:cs="Times New Roman"/>
                <w:sz w:val="18"/>
                <w:szCs w:val="18"/>
                <w:lang w:val="sr-Cyrl-CS"/>
              </w:rPr>
            </w:pPr>
          </w:p>
          <w:p w14:paraId="12BF077F" w14:textId="77777777" w:rsidR="00147811" w:rsidRPr="00487209" w:rsidRDefault="00147811" w:rsidP="006C6323">
            <w:pPr>
              <w:jc w:val="center"/>
              <w:rPr>
                <w:rFonts w:ascii="Times New Roman" w:hAnsi="Times New Roman" w:cs="Times New Roman"/>
                <w:sz w:val="18"/>
                <w:szCs w:val="18"/>
                <w:lang w:val="sr-Cyrl-CS"/>
              </w:rPr>
            </w:pPr>
          </w:p>
          <w:p w14:paraId="458F3CF2" w14:textId="77777777" w:rsidR="00147811" w:rsidRPr="00487209" w:rsidRDefault="00147811" w:rsidP="006C6323">
            <w:pPr>
              <w:jc w:val="center"/>
              <w:rPr>
                <w:rFonts w:ascii="Times New Roman" w:hAnsi="Times New Roman" w:cs="Times New Roman"/>
                <w:sz w:val="18"/>
                <w:szCs w:val="18"/>
                <w:lang w:val="sr-Cyrl-CS"/>
              </w:rPr>
            </w:pPr>
          </w:p>
          <w:p w14:paraId="691C8B3F" w14:textId="77777777" w:rsidR="00147811" w:rsidRPr="00487209" w:rsidRDefault="00147811" w:rsidP="00FC616A">
            <w:pPr>
              <w:pStyle w:val="Style10"/>
              <w:spacing w:before="240" w:line="240" w:lineRule="auto"/>
              <w:ind w:right="-23"/>
              <w:rPr>
                <w:rFonts w:ascii="Times New Roman" w:hAnsi="Times New Roman"/>
                <w:sz w:val="18"/>
                <w:szCs w:val="18"/>
                <w:lang w:val="sr-Cyrl-CS"/>
              </w:rPr>
            </w:pPr>
          </w:p>
        </w:tc>
        <w:tc>
          <w:tcPr>
            <w:tcW w:w="458" w:type="pct"/>
            <w:shd w:val="clear" w:color="auto" w:fill="auto"/>
            <w:vAlign w:val="center"/>
          </w:tcPr>
          <w:p w14:paraId="0716DA83" w14:textId="1DDEE21A" w:rsidR="00147811" w:rsidRPr="00487209" w:rsidRDefault="00FC616A"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w:t>
            </w:r>
            <w:r w:rsidR="00147811" w:rsidRPr="00487209">
              <w:rPr>
                <w:rFonts w:ascii="Times New Roman" w:hAnsi="Times New Roman" w:cs="Times New Roman"/>
                <w:sz w:val="18"/>
                <w:szCs w:val="18"/>
                <w:lang w:val="sr-Cyrl-CS"/>
              </w:rPr>
              <w:t>У</w:t>
            </w:r>
          </w:p>
        </w:tc>
        <w:tc>
          <w:tcPr>
            <w:tcW w:w="598" w:type="pct"/>
            <w:gridSpan w:val="2"/>
            <w:shd w:val="clear" w:color="auto" w:fill="auto"/>
            <w:vAlign w:val="center"/>
          </w:tcPr>
          <w:p w14:paraId="12C99947" w14:textId="521CB7C4" w:rsidR="00147811" w:rsidRPr="00487209" w:rsidRDefault="00FC616A" w:rsidP="00295C9D">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а закона о грађевинским производима која се може упоредити са чл</w:t>
            </w:r>
            <w:r w:rsidR="00295C9D">
              <w:rPr>
                <w:rFonts w:ascii="Times New Roman" w:hAnsi="Times New Roman" w:cs="Times New Roman"/>
                <w:sz w:val="18"/>
                <w:szCs w:val="18"/>
                <w:lang w:val="ru-RU"/>
              </w:rPr>
              <w:t>аном</w:t>
            </w:r>
            <w:r w:rsidRPr="00487209">
              <w:rPr>
                <w:rFonts w:ascii="Times New Roman" w:hAnsi="Times New Roman" w:cs="Times New Roman"/>
                <w:sz w:val="18"/>
                <w:szCs w:val="18"/>
                <w:lang w:val="ru-RU"/>
              </w:rPr>
              <w:t xml:space="preserve"> 48.</w:t>
            </w:r>
            <w:r w:rsidR="00BD1E56" w:rsidRPr="00487209">
              <w:rPr>
                <w:rFonts w:ascii="Times New Roman" w:hAnsi="Times New Roman" w:cs="Times New Roman"/>
                <w:sz w:val="18"/>
                <w:szCs w:val="18"/>
                <w:lang w:val="ru-RU"/>
              </w:rPr>
              <w:t>5</w:t>
            </w:r>
            <w:r w:rsidRPr="00487209">
              <w:rPr>
                <w:rFonts w:ascii="Times New Roman" w:hAnsi="Times New Roman" w:cs="Times New Roman"/>
                <w:sz w:val="18"/>
                <w:szCs w:val="18"/>
                <w:lang w:val="ru-RU"/>
              </w:rPr>
              <w:t>.</w:t>
            </w:r>
            <w:r w:rsidRPr="00487209">
              <w:rPr>
                <w:rFonts w:ascii="Times New Roman" w:hAnsi="Times New Roman" w:cs="Times New Roman"/>
                <w:sz w:val="18"/>
                <w:szCs w:val="18"/>
                <w:lang w:val="sr-Cyrl-CS"/>
              </w:rPr>
              <w:t xml:space="preserve"> Уредбе 305/2011 (ЕУ).</w:t>
            </w:r>
          </w:p>
        </w:tc>
        <w:tc>
          <w:tcPr>
            <w:tcW w:w="480" w:type="pct"/>
            <w:shd w:val="clear" w:color="auto" w:fill="auto"/>
            <w:vAlign w:val="center"/>
          </w:tcPr>
          <w:p w14:paraId="5B09E96C"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14555158" w14:textId="77777777" w:rsidTr="007D5144">
        <w:trPr>
          <w:trHeight w:val="771"/>
          <w:jc w:val="center"/>
        </w:trPr>
        <w:tc>
          <w:tcPr>
            <w:tcW w:w="435" w:type="pct"/>
            <w:shd w:val="clear" w:color="auto" w:fill="auto"/>
            <w:vAlign w:val="center"/>
          </w:tcPr>
          <w:p w14:paraId="66154834" w14:textId="77777777" w:rsidR="00FC616A" w:rsidRPr="00487209" w:rsidRDefault="00FC616A" w:rsidP="00FC616A">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48.6</w:t>
            </w:r>
          </w:p>
        </w:tc>
        <w:tc>
          <w:tcPr>
            <w:tcW w:w="1369" w:type="pct"/>
            <w:gridSpan w:val="2"/>
            <w:shd w:val="clear" w:color="auto" w:fill="auto"/>
            <w:vAlign w:val="center"/>
          </w:tcPr>
          <w:p w14:paraId="597FD93E" w14:textId="77777777" w:rsidR="00FC616A" w:rsidRPr="00487209" w:rsidRDefault="00FC616A" w:rsidP="00FC616A">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Commission and the other Member States shall be notified of any subsequent relevant changes to the notification.</w:t>
            </w:r>
          </w:p>
          <w:p w14:paraId="18BDFE03" w14:textId="77777777" w:rsidR="00FC616A" w:rsidRPr="00487209" w:rsidRDefault="00FC616A" w:rsidP="00FC616A">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1687A51E" w14:textId="02308BDA" w:rsidR="00FC616A" w:rsidRPr="00487209" w:rsidRDefault="00FC616A" w:rsidP="00FC616A">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6FD57780" w14:textId="77777777" w:rsidR="00FC616A" w:rsidRPr="00487209" w:rsidRDefault="00FC616A" w:rsidP="00FC616A">
            <w:pPr>
              <w:pStyle w:val="Style10"/>
              <w:spacing w:before="240" w:line="240" w:lineRule="auto"/>
              <w:ind w:right="-23"/>
              <w:rPr>
                <w:rFonts w:ascii="Times New Roman" w:hAnsi="Times New Roman"/>
                <w:sz w:val="18"/>
                <w:szCs w:val="18"/>
                <w:lang w:val="sr-Cyrl-CS"/>
              </w:rPr>
            </w:pPr>
          </w:p>
        </w:tc>
        <w:tc>
          <w:tcPr>
            <w:tcW w:w="458" w:type="pct"/>
            <w:shd w:val="clear" w:color="auto" w:fill="auto"/>
            <w:vAlign w:val="center"/>
          </w:tcPr>
          <w:p w14:paraId="6B565060" w14:textId="26DD60FE" w:rsidR="00FC616A" w:rsidRPr="00487209" w:rsidRDefault="00FC616A" w:rsidP="00FC616A">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69565BD9" w14:textId="5D6B9D47" w:rsidR="00FC616A" w:rsidRPr="00487209" w:rsidRDefault="00FC616A" w:rsidP="00BD1E56">
            <w:pPr>
              <w:spacing w:before="120" w:after="120"/>
              <w:ind w:firstLine="21"/>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а закона о грађевинским производим</w:t>
            </w:r>
            <w:r w:rsidR="00295C9D">
              <w:rPr>
                <w:rFonts w:ascii="Times New Roman" w:hAnsi="Times New Roman" w:cs="Times New Roman"/>
                <w:sz w:val="18"/>
                <w:szCs w:val="18"/>
                <w:lang w:val="ru-RU"/>
              </w:rPr>
              <w:t xml:space="preserve">а која се може упоредити са чланом </w:t>
            </w:r>
            <w:r w:rsidRPr="00487209">
              <w:rPr>
                <w:rFonts w:ascii="Times New Roman" w:hAnsi="Times New Roman" w:cs="Times New Roman"/>
                <w:sz w:val="18"/>
                <w:szCs w:val="18"/>
                <w:lang w:val="ru-RU"/>
              </w:rPr>
              <w:t>48.</w:t>
            </w:r>
            <w:r w:rsidR="00BD1E56" w:rsidRPr="00487209">
              <w:rPr>
                <w:rFonts w:ascii="Times New Roman" w:hAnsi="Times New Roman" w:cs="Times New Roman"/>
                <w:sz w:val="18"/>
                <w:szCs w:val="18"/>
                <w:lang w:val="ru-RU"/>
              </w:rPr>
              <w:t>6</w:t>
            </w:r>
            <w:r w:rsidRPr="00487209">
              <w:rPr>
                <w:rFonts w:ascii="Times New Roman" w:hAnsi="Times New Roman" w:cs="Times New Roman"/>
                <w:sz w:val="18"/>
                <w:szCs w:val="18"/>
                <w:lang w:val="ru-RU"/>
              </w:rPr>
              <w:t>.</w:t>
            </w:r>
            <w:r w:rsidRPr="00487209">
              <w:rPr>
                <w:rFonts w:ascii="Times New Roman" w:hAnsi="Times New Roman" w:cs="Times New Roman"/>
                <w:sz w:val="18"/>
                <w:szCs w:val="18"/>
                <w:lang w:val="sr-Cyrl-CS"/>
              </w:rPr>
              <w:t xml:space="preserve"> Уредбе 305/2011 (ЕУ).</w:t>
            </w:r>
          </w:p>
        </w:tc>
        <w:tc>
          <w:tcPr>
            <w:tcW w:w="480" w:type="pct"/>
            <w:shd w:val="clear" w:color="auto" w:fill="auto"/>
            <w:vAlign w:val="center"/>
          </w:tcPr>
          <w:p w14:paraId="310E801B" w14:textId="77777777" w:rsidR="00FC616A" w:rsidRPr="00487209" w:rsidRDefault="00FC616A" w:rsidP="00FC616A">
            <w:pPr>
              <w:spacing w:before="120" w:after="120"/>
              <w:jc w:val="center"/>
              <w:rPr>
                <w:rFonts w:ascii="Times New Roman" w:hAnsi="Times New Roman" w:cs="Times New Roman"/>
                <w:sz w:val="18"/>
                <w:szCs w:val="18"/>
              </w:rPr>
            </w:pPr>
          </w:p>
        </w:tc>
      </w:tr>
      <w:tr w:rsidR="00337554" w:rsidRPr="00487209" w14:paraId="00272FFA" w14:textId="77777777" w:rsidTr="007D5144">
        <w:trPr>
          <w:trHeight w:val="771"/>
          <w:jc w:val="center"/>
        </w:trPr>
        <w:tc>
          <w:tcPr>
            <w:tcW w:w="435" w:type="pct"/>
            <w:shd w:val="clear" w:color="auto" w:fill="auto"/>
            <w:vAlign w:val="center"/>
          </w:tcPr>
          <w:p w14:paraId="281E6607"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49.1</w:t>
            </w:r>
          </w:p>
        </w:tc>
        <w:tc>
          <w:tcPr>
            <w:tcW w:w="1369" w:type="pct"/>
            <w:gridSpan w:val="2"/>
            <w:shd w:val="clear" w:color="auto" w:fill="auto"/>
            <w:vAlign w:val="center"/>
          </w:tcPr>
          <w:p w14:paraId="313CD1D7" w14:textId="77777777" w:rsidR="002A1095" w:rsidRPr="00487209" w:rsidRDefault="002A1095" w:rsidP="006C6323">
            <w:pPr>
              <w:spacing w:before="100" w:beforeAutospacing="1" w:after="100" w:afterAutospacing="1"/>
              <w:jc w:val="both"/>
              <w:rPr>
                <w:rFonts w:ascii="Times New Roman" w:hAnsi="Times New Roman" w:cs="Times New Roman"/>
                <w:sz w:val="18"/>
                <w:szCs w:val="18"/>
              </w:rPr>
            </w:pPr>
          </w:p>
          <w:p w14:paraId="054B00E6"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Commission shall assign an identification number to each notified body.</w:t>
            </w:r>
          </w:p>
          <w:p w14:paraId="296E183A"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It shall assign a single such number even where the body is notified under several Union acts.</w:t>
            </w:r>
          </w:p>
          <w:p w14:paraId="7FA42409"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57076B99"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52B7B003" w14:textId="77777777" w:rsidR="00147811" w:rsidRPr="00487209" w:rsidRDefault="00147811" w:rsidP="006C6323">
            <w:pPr>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w:t>
            </w:r>
          </w:p>
        </w:tc>
        <w:tc>
          <w:tcPr>
            <w:tcW w:w="458" w:type="pct"/>
            <w:shd w:val="clear" w:color="auto" w:fill="auto"/>
            <w:vAlign w:val="center"/>
          </w:tcPr>
          <w:p w14:paraId="6BE83E5A"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НП</w:t>
            </w:r>
          </w:p>
        </w:tc>
        <w:tc>
          <w:tcPr>
            <w:tcW w:w="598" w:type="pct"/>
            <w:gridSpan w:val="2"/>
            <w:shd w:val="clear" w:color="auto" w:fill="auto"/>
            <w:vAlign w:val="center"/>
          </w:tcPr>
          <w:p w14:paraId="47ACE5AD" w14:textId="055123E2" w:rsidR="00147811" w:rsidRPr="00487209" w:rsidRDefault="00295C9D"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Члан </w:t>
            </w:r>
            <w:r w:rsidR="00147811" w:rsidRPr="00487209">
              <w:rPr>
                <w:rFonts w:ascii="Times New Roman" w:hAnsi="Times New Roman" w:cs="Times New Roman"/>
                <w:sz w:val="18"/>
                <w:szCs w:val="18"/>
                <w:lang w:val="ru-RU"/>
              </w:rPr>
              <w:t>49.1.</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4EF3F5BD"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5F354BB4" w14:textId="77777777" w:rsidTr="007D5144">
        <w:trPr>
          <w:trHeight w:val="771"/>
          <w:jc w:val="center"/>
        </w:trPr>
        <w:tc>
          <w:tcPr>
            <w:tcW w:w="435" w:type="pct"/>
            <w:shd w:val="clear" w:color="auto" w:fill="auto"/>
            <w:vAlign w:val="center"/>
          </w:tcPr>
          <w:p w14:paraId="7A6834E7"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49.2</w:t>
            </w:r>
          </w:p>
        </w:tc>
        <w:tc>
          <w:tcPr>
            <w:tcW w:w="1369" w:type="pct"/>
            <w:gridSpan w:val="2"/>
            <w:shd w:val="clear" w:color="auto" w:fill="auto"/>
            <w:vAlign w:val="center"/>
          </w:tcPr>
          <w:p w14:paraId="0AC26CC5" w14:textId="77777777" w:rsidR="002A1095" w:rsidRPr="00487209" w:rsidRDefault="002A1095" w:rsidP="006C6323">
            <w:pPr>
              <w:spacing w:before="100" w:beforeAutospacing="1" w:after="100" w:afterAutospacing="1"/>
              <w:jc w:val="both"/>
              <w:rPr>
                <w:rFonts w:ascii="Times New Roman" w:hAnsi="Times New Roman" w:cs="Times New Roman"/>
                <w:sz w:val="18"/>
                <w:szCs w:val="18"/>
              </w:rPr>
            </w:pPr>
          </w:p>
          <w:p w14:paraId="5FD3842D"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 xml:space="preserve">The Commission shall make publicly available </w:t>
            </w:r>
            <w:r w:rsidRPr="00487209">
              <w:rPr>
                <w:rFonts w:ascii="Times New Roman" w:hAnsi="Times New Roman" w:cs="Times New Roman"/>
                <w:sz w:val="18"/>
                <w:szCs w:val="18"/>
              </w:rPr>
              <w:lastRenderedPageBreak/>
              <w:t>the list of bodies notified under this Regulation, including the identification numbers that have been allocated to them and the activities for which they have been notified, notably using the electronic notification tool developed and managed by the Commission.</w:t>
            </w:r>
          </w:p>
          <w:p w14:paraId="50829E8B"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Commission shall ensure that this list is kept up-to-date</w:t>
            </w:r>
          </w:p>
          <w:p w14:paraId="3E091F6D"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196FC88A" w14:textId="77777777" w:rsidR="00147811" w:rsidRDefault="00BA68CD" w:rsidP="007D5144">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lastRenderedPageBreak/>
              <w:t>01</w:t>
            </w:r>
          </w:p>
          <w:p w14:paraId="6B93D7D6" w14:textId="77777777" w:rsidR="00BA68CD" w:rsidRDefault="00BA68CD" w:rsidP="007D5144">
            <w:pPr>
              <w:spacing w:before="120" w:after="120"/>
              <w:ind w:firstLine="5"/>
              <w:jc w:val="center"/>
              <w:rPr>
                <w:rFonts w:ascii="Times New Roman" w:hAnsi="Times New Roman" w:cs="Times New Roman"/>
                <w:sz w:val="18"/>
                <w:szCs w:val="18"/>
                <w:lang w:val="ru-RU"/>
              </w:rPr>
            </w:pPr>
          </w:p>
          <w:p w14:paraId="5D8484BE" w14:textId="77777777" w:rsidR="00BA68CD" w:rsidRDefault="00BA68CD" w:rsidP="007D5144">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lastRenderedPageBreak/>
              <w:t>47.1.</w:t>
            </w:r>
          </w:p>
          <w:p w14:paraId="302DCFC4" w14:textId="77777777" w:rsidR="00BA68CD" w:rsidRDefault="00BA68CD" w:rsidP="007D5144">
            <w:pPr>
              <w:spacing w:before="120" w:after="120"/>
              <w:ind w:firstLine="5"/>
              <w:jc w:val="center"/>
              <w:rPr>
                <w:rFonts w:ascii="Times New Roman" w:hAnsi="Times New Roman" w:cs="Times New Roman"/>
                <w:sz w:val="18"/>
                <w:szCs w:val="18"/>
                <w:lang w:val="ru-RU"/>
              </w:rPr>
            </w:pPr>
          </w:p>
          <w:p w14:paraId="352E14BD" w14:textId="77777777" w:rsidR="00BA68CD" w:rsidRDefault="00BA68CD" w:rsidP="007D5144">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47.2.</w:t>
            </w:r>
          </w:p>
          <w:p w14:paraId="4040B14F" w14:textId="77777777" w:rsidR="00BA68CD" w:rsidRDefault="00BA68CD" w:rsidP="007D5144">
            <w:pPr>
              <w:spacing w:before="120" w:after="120"/>
              <w:ind w:firstLine="5"/>
              <w:jc w:val="center"/>
              <w:rPr>
                <w:rFonts w:ascii="Times New Roman" w:hAnsi="Times New Roman" w:cs="Times New Roman"/>
                <w:sz w:val="18"/>
                <w:szCs w:val="18"/>
                <w:lang w:val="ru-RU"/>
              </w:rPr>
            </w:pPr>
          </w:p>
          <w:p w14:paraId="212C4685" w14:textId="77777777" w:rsidR="00BA68CD" w:rsidRDefault="00BA68CD" w:rsidP="007D5144">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47.3.</w:t>
            </w:r>
          </w:p>
          <w:p w14:paraId="78D6480F" w14:textId="77777777" w:rsidR="00BA68CD" w:rsidRDefault="00BA68CD" w:rsidP="006C6323">
            <w:pPr>
              <w:spacing w:before="120" w:after="120"/>
              <w:ind w:firstLine="5"/>
              <w:rPr>
                <w:rFonts w:ascii="Times New Roman" w:hAnsi="Times New Roman" w:cs="Times New Roman"/>
                <w:sz w:val="18"/>
                <w:szCs w:val="18"/>
                <w:lang w:val="ru-RU"/>
              </w:rPr>
            </w:pPr>
          </w:p>
          <w:p w14:paraId="7F0765C5" w14:textId="59B466BD" w:rsidR="00BA68CD" w:rsidRPr="00487209" w:rsidRDefault="00BA68CD"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39FC5BFF" w14:textId="1720C74E" w:rsidR="00BA68CD" w:rsidRPr="00BA68CD" w:rsidRDefault="00BA68CD" w:rsidP="007D5144">
            <w:pPr>
              <w:jc w:val="both"/>
              <w:rPr>
                <w:rFonts w:ascii="Times New Roman" w:hAnsi="Times New Roman" w:cs="Times New Roman"/>
                <w:sz w:val="18"/>
                <w:szCs w:val="18"/>
                <w:lang w:val="sr-Cyrl-CS"/>
              </w:rPr>
            </w:pPr>
            <w:r w:rsidRPr="00BA68CD">
              <w:rPr>
                <w:rFonts w:ascii="Times New Roman" w:hAnsi="Times New Roman" w:cs="Times New Roman"/>
                <w:sz w:val="18"/>
                <w:szCs w:val="18"/>
                <w:lang w:val="sr-Cyrl-CS"/>
              </w:rPr>
              <w:lastRenderedPageBreak/>
              <w:t>Министарство надлежно за послове грађевинарства доставља примерак решења из члана 38. став 1.</w:t>
            </w:r>
            <w:r w:rsidR="008C74F5">
              <w:rPr>
                <w:rFonts w:ascii="Times New Roman" w:hAnsi="Times New Roman" w:cs="Times New Roman"/>
                <w:sz w:val="18"/>
                <w:szCs w:val="18"/>
                <w:lang w:val="sr-Cyrl-CS"/>
              </w:rPr>
              <w:t xml:space="preserve"> овог закона</w:t>
            </w:r>
            <w:r w:rsidRPr="00BA68CD">
              <w:rPr>
                <w:rFonts w:ascii="Times New Roman" w:hAnsi="Times New Roman" w:cs="Times New Roman"/>
                <w:sz w:val="18"/>
                <w:szCs w:val="18"/>
                <w:lang w:val="sr-Cyrl-CS"/>
              </w:rPr>
              <w:t xml:space="preserve"> министарству надлежном за </w:t>
            </w:r>
            <w:r w:rsidRPr="00BA68CD">
              <w:rPr>
                <w:rFonts w:ascii="Times New Roman" w:hAnsi="Times New Roman" w:cs="Times New Roman"/>
                <w:sz w:val="18"/>
                <w:szCs w:val="18"/>
                <w:lang w:val="sr-Cyrl-CS"/>
              </w:rPr>
              <w:lastRenderedPageBreak/>
              <w:t xml:space="preserve">вођење регистра именованих тела за оцењивање и верификацију сталности перформанси, сагласно пропису којим се уређују технички захтеви за производе и оцењивање усаглашености, ради уписа у регистар. </w:t>
            </w:r>
          </w:p>
          <w:p w14:paraId="21621536" w14:textId="77777777" w:rsidR="00BA68CD" w:rsidRPr="00BA68CD" w:rsidRDefault="00BA68CD" w:rsidP="007D5144">
            <w:pPr>
              <w:jc w:val="both"/>
              <w:rPr>
                <w:rFonts w:ascii="Times New Roman" w:hAnsi="Times New Roman" w:cs="Times New Roman"/>
                <w:sz w:val="18"/>
                <w:szCs w:val="18"/>
                <w:lang w:val="sr-Cyrl-CS"/>
              </w:rPr>
            </w:pPr>
            <w:r w:rsidRPr="00BA68CD">
              <w:rPr>
                <w:rFonts w:ascii="Times New Roman" w:hAnsi="Times New Roman" w:cs="Times New Roman"/>
                <w:sz w:val="18"/>
                <w:szCs w:val="18"/>
                <w:lang w:val="sr-Cyrl-CS"/>
              </w:rPr>
              <w:t>Министарство надлежно за послове грађевинарства, након уписа именованог тела за оцењивање и верификацију сталности перформанси у регистар, на својој интернет страници објављује списак именованих тела за оцењивање и верификацију сталности перформанси из става 1. овог члана, уз навођење идентификационог броја и задатака независне треће стране у поступку оцењивања и верификације сталности перформански грађевинских производа који су им одобрени.</w:t>
            </w:r>
          </w:p>
          <w:p w14:paraId="2FE4C9CA" w14:textId="77777777" w:rsidR="00147811" w:rsidRDefault="00BA68CD" w:rsidP="007D5144">
            <w:pPr>
              <w:jc w:val="both"/>
              <w:rPr>
                <w:rFonts w:ascii="Times New Roman" w:hAnsi="Times New Roman" w:cs="Times New Roman"/>
                <w:sz w:val="18"/>
                <w:szCs w:val="18"/>
                <w:lang w:val="sr-Cyrl-CS"/>
              </w:rPr>
            </w:pPr>
            <w:r w:rsidRPr="00BA68CD">
              <w:rPr>
                <w:rFonts w:ascii="Times New Roman" w:hAnsi="Times New Roman" w:cs="Times New Roman"/>
                <w:sz w:val="18"/>
                <w:szCs w:val="18"/>
                <w:lang w:val="sr-Cyrl-CS"/>
              </w:rPr>
              <w:t>Министарство надлежно за послове грађевинарства објављује сваку промену списка из става 2. овог члана на својој интернет страници.</w:t>
            </w:r>
          </w:p>
          <w:p w14:paraId="59D83A37" w14:textId="42C8E422" w:rsidR="00BA68CD" w:rsidRPr="00487209" w:rsidRDefault="00BA68CD" w:rsidP="00BA68CD">
            <w:pPr>
              <w:jc w:val="center"/>
              <w:rPr>
                <w:rFonts w:ascii="Times New Roman" w:hAnsi="Times New Roman" w:cs="Times New Roman"/>
                <w:sz w:val="18"/>
                <w:szCs w:val="18"/>
                <w:lang w:val="sr-Cyrl-CS"/>
              </w:rPr>
            </w:pPr>
          </w:p>
        </w:tc>
        <w:tc>
          <w:tcPr>
            <w:tcW w:w="458" w:type="pct"/>
            <w:shd w:val="clear" w:color="auto" w:fill="auto"/>
            <w:vAlign w:val="center"/>
          </w:tcPr>
          <w:p w14:paraId="573E2F5D" w14:textId="4BCC62C1" w:rsidR="00147811" w:rsidRPr="00487209" w:rsidRDefault="00BA68CD" w:rsidP="006C6323">
            <w:pPr>
              <w:spacing w:before="120" w:after="120"/>
              <w:jc w:val="center"/>
              <w:rPr>
                <w:rFonts w:ascii="Times New Roman" w:hAnsi="Times New Roman" w:cs="Times New Roman"/>
                <w:sz w:val="18"/>
                <w:szCs w:val="18"/>
              </w:rPr>
            </w:pPr>
            <w:r>
              <w:rPr>
                <w:rFonts w:ascii="Times New Roman" w:hAnsi="Times New Roman" w:cs="Times New Roman"/>
                <w:sz w:val="18"/>
                <w:szCs w:val="18"/>
                <w:lang w:val="sr-Cyrl-CS"/>
              </w:rPr>
              <w:lastRenderedPageBreak/>
              <w:t>ДУ</w:t>
            </w:r>
          </w:p>
        </w:tc>
        <w:tc>
          <w:tcPr>
            <w:tcW w:w="598" w:type="pct"/>
            <w:gridSpan w:val="2"/>
            <w:shd w:val="clear" w:color="auto" w:fill="auto"/>
            <w:vAlign w:val="center"/>
          </w:tcPr>
          <w:p w14:paraId="07ABE565" w14:textId="2F9AA11E" w:rsidR="00147811" w:rsidRPr="00487209" w:rsidRDefault="00295C9D" w:rsidP="00BA68CD">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BA68CD" w:rsidRPr="00487209">
              <w:rPr>
                <w:rFonts w:ascii="Times New Roman" w:hAnsi="Times New Roman" w:cs="Times New Roman"/>
                <w:sz w:val="18"/>
                <w:szCs w:val="18"/>
                <w:lang w:val="ru-RU"/>
              </w:rPr>
              <w:t xml:space="preserve"> </w:t>
            </w:r>
            <w:r>
              <w:rPr>
                <w:rFonts w:ascii="Times New Roman" w:hAnsi="Times New Roman" w:cs="Times New Roman"/>
                <w:sz w:val="18"/>
                <w:szCs w:val="18"/>
                <w:lang w:val="ru-RU"/>
              </w:rPr>
              <w:t>47. ст. 1</w:t>
            </w:r>
            <w:r w:rsidR="00BA68CD">
              <w:rPr>
                <w:rFonts w:ascii="Times New Roman" w:hAnsi="Times New Roman" w:cs="Times New Roman"/>
                <w:sz w:val="18"/>
                <w:szCs w:val="18"/>
                <w:lang w:val="ru-RU"/>
              </w:rPr>
              <w:t>, 2 и 3</w:t>
            </w:r>
            <w:r w:rsidR="00BA68CD" w:rsidRPr="00487209">
              <w:rPr>
                <w:rFonts w:ascii="Times New Roman" w:hAnsi="Times New Roman" w:cs="Times New Roman"/>
                <w:sz w:val="18"/>
                <w:szCs w:val="18"/>
                <w:lang w:val="ru-RU"/>
              </w:rPr>
              <w:t xml:space="preserve">. </w:t>
            </w:r>
            <w:r w:rsidR="0073105A">
              <w:rPr>
                <w:rFonts w:ascii="Times New Roman" w:hAnsi="Times New Roman" w:cs="Times New Roman"/>
                <w:sz w:val="18"/>
                <w:szCs w:val="18"/>
                <w:lang w:val="ru-RU"/>
              </w:rPr>
              <w:t>Предлог</w:t>
            </w:r>
            <w:r w:rsidR="00BA68CD" w:rsidRPr="00487209">
              <w:rPr>
                <w:rFonts w:ascii="Times New Roman" w:hAnsi="Times New Roman" w:cs="Times New Roman"/>
                <w:sz w:val="18"/>
                <w:szCs w:val="18"/>
                <w:lang w:val="ru-RU"/>
              </w:rPr>
              <w:t xml:space="preserve">а закона о </w:t>
            </w:r>
            <w:r w:rsidR="00BA68CD" w:rsidRPr="00487209">
              <w:rPr>
                <w:rFonts w:ascii="Times New Roman" w:hAnsi="Times New Roman" w:cs="Times New Roman"/>
                <w:sz w:val="18"/>
                <w:szCs w:val="18"/>
                <w:lang w:val="ru-RU"/>
              </w:rPr>
              <w:lastRenderedPageBreak/>
              <w:t>грађевинским производима је</w:t>
            </w:r>
            <w:r>
              <w:rPr>
                <w:rFonts w:ascii="Times New Roman" w:hAnsi="Times New Roman" w:cs="Times New Roman"/>
                <w:sz w:val="18"/>
                <w:szCs w:val="18"/>
                <w:lang w:val="ru-RU"/>
              </w:rPr>
              <w:t xml:space="preserve"> делимично усклађен са чланом </w:t>
            </w:r>
            <w:r w:rsidR="00BA68CD" w:rsidRPr="00487209">
              <w:rPr>
                <w:rFonts w:ascii="Times New Roman" w:hAnsi="Times New Roman" w:cs="Times New Roman"/>
                <w:sz w:val="18"/>
                <w:szCs w:val="18"/>
                <w:lang w:val="ru-RU"/>
              </w:rPr>
              <w:t xml:space="preserve"> </w:t>
            </w:r>
            <w:r w:rsidR="00BA68CD">
              <w:rPr>
                <w:rFonts w:ascii="Times New Roman" w:hAnsi="Times New Roman" w:cs="Times New Roman"/>
                <w:sz w:val="18"/>
                <w:szCs w:val="18"/>
                <w:lang w:val="sr-Cyrl-CS"/>
              </w:rPr>
              <w:t>49.2</w:t>
            </w:r>
            <w:r w:rsidR="00BA68CD" w:rsidRPr="00487209">
              <w:rPr>
                <w:rFonts w:ascii="Times New Roman" w:hAnsi="Times New Roman" w:cs="Times New Roman"/>
                <w:sz w:val="18"/>
                <w:szCs w:val="18"/>
                <w:lang w:val="sr-Cyrl-CS"/>
              </w:rPr>
              <w:t>. Уредбе 305/2011 (ЕУ), због статуса нечланице. Потпуно усклађивање биће могуће након приступања ЕУ.</w:t>
            </w:r>
          </w:p>
        </w:tc>
        <w:tc>
          <w:tcPr>
            <w:tcW w:w="480" w:type="pct"/>
            <w:shd w:val="clear" w:color="auto" w:fill="auto"/>
            <w:vAlign w:val="center"/>
          </w:tcPr>
          <w:p w14:paraId="688C08AA"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20F2A46E" w14:textId="77777777" w:rsidTr="007D5144">
        <w:trPr>
          <w:trHeight w:val="771"/>
          <w:jc w:val="center"/>
        </w:trPr>
        <w:tc>
          <w:tcPr>
            <w:tcW w:w="435" w:type="pct"/>
            <w:shd w:val="clear" w:color="auto" w:fill="auto"/>
            <w:vAlign w:val="center"/>
          </w:tcPr>
          <w:p w14:paraId="1AA63274"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50.1</w:t>
            </w:r>
          </w:p>
        </w:tc>
        <w:tc>
          <w:tcPr>
            <w:tcW w:w="1369" w:type="pct"/>
            <w:gridSpan w:val="2"/>
            <w:shd w:val="clear" w:color="auto" w:fill="auto"/>
            <w:vAlign w:val="center"/>
          </w:tcPr>
          <w:p w14:paraId="74EA3B7E" w14:textId="77777777" w:rsidR="002A1095" w:rsidRPr="00487209" w:rsidRDefault="002A1095" w:rsidP="006C6323">
            <w:pPr>
              <w:spacing w:before="100" w:beforeAutospacing="1" w:after="100" w:afterAutospacing="1"/>
              <w:jc w:val="both"/>
              <w:rPr>
                <w:rFonts w:ascii="Times New Roman" w:hAnsi="Times New Roman" w:cs="Times New Roman"/>
                <w:sz w:val="18"/>
                <w:szCs w:val="18"/>
              </w:rPr>
            </w:pPr>
          </w:p>
          <w:p w14:paraId="6E796604" w14:textId="1BA7BBFF" w:rsidR="002A1095"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Where a notifying authority has ascertained or has been informed that a notified body no longer meets the requirements laid down in Article 43, or that it is failing to fulfil its obligations, the notifying authority shall restrict, suspend or withdraw the notification as appropriate, depending on the seriousness of the failure to meet those requirements or to fulfil those obligations. It shall immediately inform the Commission and the other Member States accordingly, notably using the electronic notification tool developed and managed by the Commission.</w:t>
            </w:r>
          </w:p>
        </w:tc>
        <w:tc>
          <w:tcPr>
            <w:tcW w:w="429" w:type="pct"/>
            <w:shd w:val="clear" w:color="auto" w:fill="auto"/>
            <w:vAlign w:val="center"/>
          </w:tcPr>
          <w:p w14:paraId="424B8E68" w14:textId="2C70E86C" w:rsidR="00193167"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67A2F56F" w14:textId="2D99AE83" w:rsidR="00147811" w:rsidRPr="00487209" w:rsidRDefault="00193167" w:rsidP="005576DD">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5576DD" w:rsidRPr="00487209">
              <w:rPr>
                <w:rFonts w:ascii="Times New Roman" w:hAnsi="Times New Roman" w:cs="Times New Roman"/>
                <w:sz w:val="18"/>
                <w:szCs w:val="18"/>
                <w:lang w:val="ru-RU"/>
              </w:rPr>
              <w:t>5</w:t>
            </w:r>
            <w:r w:rsidR="005576DD">
              <w:rPr>
                <w:rFonts w:ascii="Times New Roman" w:hAnsi="Times New Roman" w:cs="Times New Roman"/>
                <w:sz w:val="18"/>
                <w:szCs w:val="18"/>
                <w:lang w:val="ru-RU"/>
              </w:rPr>
              <w:t>0</w:t>
            </w:r>
            <w:r w:rsidR="00147811" w:rsidRPr="00487209">
              <w:rPr>
                <w:rFonts w:ascii="Times New Roman" w:hAnsi="Times New Roman" w:cs="Times New Roman"/>
                <w:sz w:val="18"/>
                <w:szCs w:val="18"/>
                <w:lang w:val="ru-RU"/>
              </w:rPr>
              <w:t>.</w:t>
            </w:r>
          </w:p>
        </w:tc>
        <w:tc>
          <w:tcPr>
            <w:tcW w:w="1231" w:type="pct"/>
            <w:gridSpan w:val="2"/>
            <w:shd w:val="clear" w:color="auto" w:fill="auto"/>
            <w:vAlign w:val="center"/>
          </w:tcPr>
          <w:p w14:paraId="71AE925E" w14:textId="77777777" w:rsidR="002A1095" w:rsidRPr="00487209" w:rsidRDefault="002A1095" w:rsidP="006C6323">
            <w:pPr>
              <w:ind w:right="-23"/>
              <w:jc w:val="both"/>
              <w:rPr>
                <w:rFonts w:ascii="Times New Roman" w:eastAsia="Times New Roman" w:hAnsi="Times New Roman" w:cs="Times New Roman"/>
                <w:sz w:val="18"/>
                <w:szCs w:val="18"/>
                <w:lang w:val="sr-Cyrl-CS"/>
              </w:rPr>
            </w:pPr>
          </w:p>
          <w:p w14:paraId="676287F6" w14:textId="77777777" w:rsidR="005576DD" w:rsidRPr="005576DD" w:rsidRDefault="005576DD" w:rsidP="005576DD">
            <w:pPr>
              <w:rPr>
                <w:rFonts w:ascii="Times New Roman" w:eastAsia="Batang" w:hAnsi="Times New Roman" w:cs="Times New Roman"/>
                <w:iCs/>
                <w:sz w:val="18"/>
                <w:szCs w:val="18"/>
                <w:lang w:eastAsia="ko-KR"/>
              </w:rPr>
            </w:pPr>
            <w:r w:rsidRPr="005576DD">
              <w:rPr>
                <w:rFonts w:ascii="Times New Roman" w:eastAsia="Batang" w:hAnsi="Times New Roman" w:cs="Times New Roman"/>
                <w:iCs/>
                <w:sz w:val="18"/>
                <w:szCs w:val="18"/>
                <w:lang w:eastAsia="ko-KR"/>
              </w:rPr>
              <w:t>Пријављивање тела за оцењивање и верификацију сталности перформанси из члана 48. овог закона, спроводи се у складу са посебним прописом који уређује поступак пријављивања, начин утврђивања испуњености прописаних захтева за пријављивање, надзор над радом тих тела, као и суспензија и повлачење пријављивања, донетим на основу закона којим се уређују технички захтеви за производе и оцењивање усаглашености.</w:t>
            </w:r>
          </w:p>
          <w:p w14:paraId="0669E3FD" w14:textId="694F393D" w:rsidR="00147811" w:rsidRPr="00487209" w:rsidRDefault="00147811" w:rsidP="007D5144">
            <w:pPr>
              <w:ind w:right="-23"/>
              <w:rPr>
                <w:rFonts w:ascii="Times New Roman" w:eastAsia="Times New Roman" w:hAnsi="Times New Roman" w:cs="Times New Roman"/>
                <w:sz w:val="18"/>
                <w:szCs w:val="18"/>
                <w:lang w:val="sr-Cyrl-CS"/>
              </w:rPr>
            </w:pPr>
          </w:p>
        </w:tc>
        <w:tc>
          <w:tcPr>
            <w:tcW w:w="458" w:type="pct"/>
            <w:shd w:val="clear" w:color="auto" w:fill="auto"/>
            <w:vAlign w:val="center"/>
          </w:tcPr>
          <w:p w14:paraId="275C06AD" w14:textId="77777777" w:rsidR="00147811" w:rsidRPr="00487209" w:rsidRDefault="002A1095"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Д</w:t>
            </w:r>
            <w:r w:rsidR="00147811" w:rsidRPr="00487209">
              <w:rPr>
                <w:rFonts w:ascii="Times New Roman" w:hAnsi="Times New Roman" w:cs="Times New Roman"/>
                <w:sz w:val="18"/>
                <w:szCs w:val="18"/>
                <w:lang w:val="sr-Cyrl-CS"/>
              </w:rPr>
              <w:t>У</w:t>
            </w:r>
          </w:p>
        </w:tc>
        <w:tc>
          <w:tcPr>
            <w:tcW w:w="598" w:type="pct"/>
            <w:gridSpan w:val="2"/>
            <w:shd w:val="clear" w:color="auto" w:fill="auto"/>
            <w:vAlign w:val="center"/>
          </w:tcPr>
          <w:p w14:paraId="1078E34E" w14:textId="1CBE9BF5" w:rsidR="00147811" w:rsidRPr="00487209" w:rsidRDefault="00295C9D" w:rsidP="005576DD">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2A1095" w:rsidRPr="00487209">
              <w:rPr>
                <w:rFonts w:ascii="Times New Roman" w:hAnsi="Times New Roman" w:cs="Times New Roman"/>
                <w:sz w:val="18"/>
                <w:szCs w:val="18"/>
                <w:lang w:val="ru-RU"/>
              </w:rPr>
              <w:t xml:space="preserve"> </w:t>
            </w:r>
            <w:r w:rsidR="005576DD" w:rsidRPr="00487209">
              <w:rPr>
                <w:rFonts w:ascii="Times New Roman" w:hAnsi="Times New Roman" w:cs="Times New Roman"/>
                <w:sz w:val="18"/>
                <w:szCs w:val="18"/>
                <w:lang w:val="ru-RU"/>
              </w:rPr>
              <w:t>5</w:t>
            </w:r>
            <w:r w:rsidR="005576DD">
              <w:rPr>
                <w:rFonts w:ascii="Times New Roman" w:hAnsi="Times New Roman" w:cs="Times New Roman"/>
                <w:sz w:val="18"/>
                <w:szCs w:val="18"/>
                <w:lang w:val="ru-RU"/>
              </w:rPr>
              <w:t>0</w:t>
            </w:r>
            <w:r w:rsidR="002A1095" w:rsidRPr="00487209">
              <w:rPr>
                <w:rFonts w:ascii="Times New Roman" w:hAnsi="Times New Roman" w:cs="Times New Roman"/>
                <w:sz w:val="18"/>
                <w:szCs w:val="18"/>
                <w:lang w:val="ru-RU"/>
              </w:rPr>
              <w:t xml:space="preserve">.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Pr>
                <w:rFonts w:ascii="Times New Roman" w:hAnsi="Times New Roman" w:cs="Times New Roman"/>
                <w:sz w:val="18"/>
                <w:szCs w:val="18"/>
                <w:lang w:val="ru-RU"/>
              </w:rPr>
              <w:t xml:space="preserve"> је делимично усклађен са чланом</w:t>
            </w:r>
            <w:r w:rsidR="002A1095" w:rsidRPr="00487209">
              <w:rPr>
                <w:rFonts w:ascii="Times New Roman" w:hAnsi="Times New Roman" w:cs="Times New Roman"/>
                <w:sz w:val="18"/>
                <w:szCs w:val="18"/>
                <w:lang w:val="ru-RU"/>
              </w:rPr>
              <w:t xml:space="preserve"> </w:t>
            </w:r>
            <w:r w:rsidR="002A1095" w:rsidRPr="00487209">
              <w:rPr>
                <w:rFonts w:ascii="Times New Roman" w:hAnsi="Times New Roman" w:cs="Times New Roman"/>
                <w:sz w:val="18"/>
                <w:szCs w:val="18"/>
                <w:lang w:val="sr-Cyrl-CS"/>
              </w:rPr>
              <w:t xml:space="preserve">50.1. Уредбе 305/2011 (ЕУ), због статуса нечланице. Потпуно усклађивање биће могуће након </w:t>
            </w:r>
            <w:r w:rsidR="002A1095" w:rsidRPr="00487209">
              <w:rPr>
                <w:rFonts w:ascii="Times New Roman" w:hAnsi="Times New Roman" w:cs="Times New Roman"/>
                <w:sz w:val="18"/>
                <w:szCs w:val="18"/>
                <w:lang w:val="sr-Cyrl-CS"/>
              </w:rPr>
              <w:lastRenderedPageBreak/>
              <w:t>приступања ЕУ.</w:t>
            </w:r>
          </w:p>
        </w:tc>
        <w:tc>
          <w:tcPr>
            <w:tcW w:w="480" w:type="pct"/>
            <w:shd w:val="clear" w:color="auto" w:fill="auto"/>
            <w:vAlign w:val="center"/>
          </w:tcPr>
          <w:p w14:paraId="08B4F39E"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6A01A1F1" w14:textId="77777777" w:rsidTr="007D5144">
        <w:trPr>
          <w:trHeight w:val="771"/>
          <w:jc w:val="center"/>
        </w:trPr>
        <w:tc>
          <w:tcPr>
            <w:tcW w:w="435" w:type="pct"/>
            <w:shd w:val="clear" w:color="auto" w:fill="auto"/>
            <w:vAlign w:val="center"/>
          </w:tcPr>
          <w:p w14:paraId="179AD400"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50.2</w:t>
            </w:r>
          </w:p>
        </w:tc>
        <w:tc>
          <w:tcPr>
            <w:tcW w:w="1369" w:type="pct"/>
            <w:gridSpan w:val="2"/>
            <w:shd w:val="clear" w:color="auto" w:fill="auto"/>
            <w:vAlign w:val="center"/>
          </w:tcPr>
          <w:p w14:paraId="29C3B4C8"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In the event of withdrawal, restriction or suspension of notification or where the notified body has ceased its activity, the notifying Member State concerned shall take the appropriate steps to ensure that the files of that body are either processed by another notified body or kept available for the responsible notifying and market surveillance authorities at their request.</w:t>
            </w:r>
          </w:p>
        </w:tc>
        <w:tc>
          <w:tcPr>
            <w:tcW w:w="429" w:type="pct"/>
            <w:shd w:val="clear" w:color="auto" w:fill="auto"/>
            <w:vAlign w:val="center"/>
          </w:tcPr>
          <w:p w14:paraId="53FB19A6" w14:textId="1888EE0D" w:rsidR="00193167"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6313C999" w14:textId="240CB64A" w:rsidR="00147811" w:rsidRPr="00487209" w:rsidRDefault="00193167" w:rsidP="00EC7B0C">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EC7B0C" w:rsidRPr="00487209">
              <w:rPr>
                <w:rFonts w:ascii="Times New Roman" w:hAnsi="Times New Roman" w:cs="Times New Roman"/>
                <w:sz w:val="18"/>
                <w:szCs w:val="18"/>
                <w:lang w:val="ru-RU"/>
              </w:rPr>
              <w:t>45</w:t>
            </w:r>
            <w:r w:rsidR="004F03DA" w:rsidRPr="00487209">
              <w:rPr>
                <w:rFonts w:ascii="Times New Roman" w:hAnsi="Times New Roman" w:cs="Times New Roman"/>
                <w:sz w:val="18"/>
                <w:szCs w:val="18"/>
                <w:lang w:val="ru-RU"/>
              </w:rPr>
              <w:t>.</w:t>
            </w:r>
            <w:r w:rsidR="00296619">
              <w:rPr>
                <w:rFonts w:ascii="Times New Roman" w:hAnsi="Times New Roman" w:cs="Times New Roman"/>
                <w:sz w:val="18"/>
                <w:szCs w:val="18"/>
                <w:lang w:val="ru-RU"/>
              </w:rPr>
              <w:t>10</w:t>
            </w:r>
            <w:r w:rsidR="004F03DA" w:rsidRPr="00487209">
              <w:rPr>
                <w:rFonts w:ascii="Times New Roman" w:hAnsi="Times New Roman" w:cs="Times New Roman"/>
                <w:sz w:val="18"/>
                <w:szCs w:val="18"/>
                <w:lang w:val="ru-RU"/>
              </w:rPr>
              <w:t>.</w:t>
            </w:r>
          </w:p>
        </w:tc>
        <w:tc>
          <w:tcPr>
            <w:tcW w:w="1231" w:type="pct"/>
            <w:gridSpan w:val="2"/>
            <w:shd w:val="clear" w:color="auto" w:fill="auto"/>
            <w:vAlign w:val="center"/>
          </w:tcPr>
          <w:p w14:paraId="0929D9B0" w14:textId="77777777" w:rsidR="004F03DA" w:rsidRPr="00487209" w:rsidRDefault="004F03DA" w:rsidP="006C6323">
            <w:pPr>
              <w:ind w:right="-23"/>
              <w:jc w:val="both"/>
              <w:rPr>
                <w:rFonts w:ascii="Times New Roman" w:eastAsia="Times New Roman" w:hAnsi="Times New Roman" w:cs="Times New Roman"/>
                <w:sz w:val="18"/>
                <w:szCs w:val="18"/>
                <w:lang w:val="sr-Cyrl-CS"/>
              </w:rPr>
            </w:pPr>
          </w:p>
          <w:p w14:paraId="42D50051" w14:textId="5F9129B6" w:rsidR="004F03DA" w:rsidRPr="00487209" w:rsidRDefault="00296619" w:rsidP="00EC7B0C">
            <w:pPr>
              <w:spacing w:before="120"/>
              <w:ind w:right="-23"/>
              <w:jc w:val="both"/>
              <w:rPr>
                <w:rFonts w:ascii="Times New Roman" w:eastAsia="Batang" w:hAnsi="Times New Roman" w:cs="Times New Roman"/>
                <w:sz w:val="18"/>
                <w:szCs w:val="18"/>
                <w:lang w:val="sr-Cyrl-CS" w:eastAsia="ko-KR"/>
              </w:rPr>
            </w:pPr>
            <w:r w:rsidRPr="00296619">
              <w:rPr>
                <w:rFonts w:ascii="Times New Roman" w:eastAsia="Batang" w:hAnsi="Times New Roman" w:cs="Times New Roman"/>
                <w:sz w:val="18"/>
                <w:szCs w:val="18"/>
                <w:lang w:val="sr-Cyrl-CS" w:eastAsia="ko-KR"/>
              </w:rPr>
              <w:t>У случају делимичног или потпуног укидања решења из члана 38. став. 1. овог закона или када именовано тело за oцењивање и верификацију сталности перформанси престане да обавља своју делатност, министарство надлежно за послове грађевинарства налаже том именованом телу да изврши пренос документације у вези са oцењивањем и верификацијом сталности перформанси другом именованом телу или да ту документацију учини доступном министарству надлежном за послове грађевинарства или надлежним органима тржишног надзора.</w:t>
            </w:r>
          </w:p>
          <w:p w14:paraId="007A0D9A" w14:textId="77777777" w:rsidR="00147811" w:rsidRPr="00487209" w:rsidRDefault="00147811" w:rsidP="006C6323">
            <w:pPr>
              <w:ind w:right="-23"/>
              <w:jc w:val="both"/>
              <w:rPr>
                <w:rFonts w:ascii="Times New Roman" w:hAnsi="Times New Roman" w:cs="Times New Roman"/>
                <w:sz w:val="18"/>
                <w:szCs w:val="18"/>
                <w:lang w:val="sr-Cyrl-CS"/>
              </w:rPr>
            </w:pPr>
          </w:p>
        </w:tc>
        <w:tc>
          <w:tcPr>
            <w:tcW w:w="458" w:type="pct"/>
            <w:shd w:val="clear" w:color="auto" w:fill="auto"/>
            <w:vAlign w:val="center"/>
          </w:tcPr>
          <w:p w14:paraId="65688F2E"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7749C76D"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474A598"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22FC4F18" w14:textId="77777777" w:rsidTr="007D5144">
        <w:trPr>
          <w:trHeight w:val="771"/>
          <w:jc w:val="center"/>
        </w:trPr>
        <w:tc>
          <w:tcPr>
            <w:tcW w:w="435" w:type="pct"/>
            <w:shd w:val="clear" w:color="auto" w:fill="auto"/>
            <w:vAlign w:val="center"/>
          </w:tcPr>
          <w:p w14:paraId="5BAE7FB4"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51.1.</w:t>
            </w:r>
          </w:p>
        </w:tc>
        <w:tc>
          <w:tcPr>
            <w:tcW w:w="1369" w:type="pct"/>
            <w:gridSpan w:val="2"/>
            <w:shd w:val="clear" w:color="auto" w:fill="auto"/>
            <w:vAlign w:val="center"/>
          </w:tcPr>
          <w:p w14:paraId="5065FE79"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Commission shall investigate all cases where it doubts, or doubt is brought to its attention regarding, the competence of a notified body or the continued fulfilment by a notified body of the requirements and responsibilities to which it is subject.</w:t>
            </w:r>
          </w:p>
        </w:tc>
        <w:tc>
          <w:tcPr>
            <w:tcW w:w="429" w:type="pct"/>
            <w:shd w:val="clear" w:color="auto" w:fill="auto"/>
            <w:vAlign w:val="center"/>
          </w:tcPr>
          <w:p w14:paraId="73E038E0"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7BF2F02B" w14:textId="77777777" w:rsidR="00147811" w:rsidRPr="00487209" w:rsidRDefault="00147811" w:rsidP="006C6323">
            <w:pPr>
              <w:jc w:val="center"/>
              <w:rPr>
                <w:rFonts w:ascii="Times New Roman" w:hAnsi="Times New Roman" w:cs="Times New Roman"/>
                <w:sz w:val="18"/>
                <w:szCs w:val="18"/>
              </w:rPr>
            </w:pPr>
          </w:p>
        </w:tc>
        <w:tc>
          <w:tcPr>
            <w:tcW w:w="458" w:type="pct"/>
            <w:shd w:val="clear" w:color="auto" w:fill="auto"/>
            <w:vAlign w:val="center"/>
          </w:tcPr>
          <w:p w14:paraId="31F49922"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НП</w:t>
            </w:r>
          </w:p>
        </w:tc>
        <w:tc>
          <w:tcPr>
            <w:tcW w:w="598" w:type="pct"/>
            <w:gridSpan w:val="2"/>
            <w:shd w:val="clear" w:color="auto" w:fill="auto"/>
            <w:vAlign w:val="center"/>
          </w:tcPr>
          <w:p w14:paraId="0FA37C67" w14:textId="0A11AAC3" w:rsidR="00147811" w:rsidRPr="00487209" w:rsidRDefault="00295C9D"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51.1.</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0DE84719"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3F3F3033" w14:textId="77777777" w:rsidTr="007D5144">
        <w:trPr>
          <w:trHeight w:val="771"/>
          <w:jc w:val="center"/>
        </w:trPr>
        <w:tc>
          <w:tcPr>
            <w:tcW w:w="435" w:type="pct"/>
            <w:shd w:val="clear" w:color="auto" w:fill="auto"/>
            <w:vAlign w:val="center"/>
          </w:tcPr>
          <w:p w14:paraId="44730A5C"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51.2</w:t>
            </w:r>
          </w:p>
        </w:tc>
        <w:tc>
          <w:tcPr>
            <w:tcW w:w="1369" w:type="pct"/>
            <w:gridSpan w:val="2"/>
            <w:shd w:val="clear" w:color="auto" w:fill="auto"/>
            <w:vAlign w:val="center"/>
          </w:tcPr>
          <w:p w14:paraId="0C613F92"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notifying Member State shall provide the Commission, on request, with all information related to the basis for notification or the maintenance of the competence of the body concerned.</w:t>
            </w:r>
          </w:p>
        </w:tc>
        <w:tc>
          <w:tcPr>
            <w:tcW w:w="429" w:type="pct"/>
            <w:shd w:val="clear" w:color="auto" w:fill="auto"/>
            <w:vAlign w:val="center"/>
          </w:tcPr>
          <w:p w14:paraId="09D076D8"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1D6BF5CB" w14:textId="77777777" w:rsidR="00147811" w:rsidRPr="00487209" w:rsidRDefault="00147811" w:rsidP="006C6323">
            <w:pPr>
              <w:jc w:val="center"/>
              <w:rPr>
                <w:rFonts w:ascii="Times New Roman" w:hAnsi="Times New Roman" w:cs="Times New Roman"/>
                <w:sz w:val="18"/>
                <w:szCs w:val="18"/>
              </w:rPr>
            </w:pPr>
          </w:p>
        </w:tc>
        <w:tc>
          <w:tcPr>
            <w:tcW w:w="458" w:type="pct"/>
            <w:shd w:val="clear" w:color="auto" w:fill="auto"/>
            <w:vAlign w:val="center"/>
          </w:tcPr>
          <w:p w14:paraId="51C11E7F"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НП</w:t>
            </w:r>
          </w:p>
        </w:tc>
        <w:tc>
          <w:tcPr>
            <w:tcW w:w="598" w:type="pct"/>
            <w:gridSpan w:val="2"/>
            <w:shd w:val="clear" w:color="auto" w:fill="auto"/>
            <w:vAlign w:val="center"/>
          </w:tcPr>
          <w:p w14:paraId="78BBDF5A" w14:textId="31E524E7" w:rsidR="00147811" w:rsidRPr="00487209" w:rsidRDefault="00295C9D"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51.2.</w:t>
            </w:r>
            <w:r w:rsidR="00147811" w:rsidRPr="00487209">
              <w:rPr>
                <w:rFonts w:ascii="Times New Roman" w:hAnsi="Times New Roman" w:cs="Times New Roman"/>
                <w:sz w:val="18"/>
                <w:szCs w:val="18"/>
                <w:lang w:val="sr-Cyrl-CS"/>
              </w:rPr>
              <w:t xml:space="preserve"> Уредбе 305/2011 (ЕУ) није пренет, због статуса нечланице ЕУ. Потпуно усклађивање  биће могуће након </w:t>
            </w:r>
            <w:r w:rsidR="00147811" w:rsidRPr="00487209">
              <w:rPr>
                <w:rFonts w:ascii="Times New Roman" w:hAnsi="Times New Roman" w:cs="Times New Roman"/>
                <w:sz w:val="18"/>
                <w:szCs w:val="18"/>
                <w:lang w:val="sr-Cyrl-CS"/>
              </w:rPr>
              <w:lastRenderedPageBreak/>
              <w:t>приступања ЕУ.</w:t>
            </w:r>
          </w:p>
        </w:tc>
        <w:tc>
          <w:tcPr>
            <w:tcW w:w="480" w:type="pct"/>
            <w:shd w:val="clear" w:color="auto" w:fill="auto"/>
            <w:vAlign w:val="center"/>
          </w:tcPr>
          <w:p w14:paraId="5A746B24"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529F26CB" w14:textId="77777777" w:rsidTr="007D5144">
        <w:trPr>
          <w:trHeight w:val="771"/>
          <w:jc w:val="center"/>
        </w:trPr>
        <w:tc>
          <w:tcPr>
            <w:tcW w:w="435" w:type="pct"/>
            <w:shd w:val="clear" w:color="auto" w:fill="auto"/>
            <w:vAlign w:val="center"/>
          </w:tcPr>
          <w:p w14:paraId="7628F27C"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51.3</w:t>
            </w:r>
          </w:p>
        </w:tc>
        <w:tc>
          <w:tcPr>
            <w:tcW w:w="1369" w:type="pct"/>
            <w:gridSpan w:val="2"/>
            <w:shd w:val="clear" w:color="auto" w:fill="auto"/>
            <w:vAlign w:val="center"/>
          </w:tcPr>
          <w:p w14:paraId="1BEB76B6"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Commission shall ensure that all sensitive information obtained in the course of its investigations is treated confidentially.</w:t>
            </w:r>
          </w:p>
        </w:tc>
        <w:tc>
          <w:tcPr>
            <w:tcW w:w="429" w:type="pct"/>
            <w:shd w:val="clear" w:color="auto" w:fill="auto"/>
            <w:vAlign w:val="center"/>
          </w:tcPr>
          <w:p w14:paraId="3335DABE"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34156E76" w14:textId="77777777" w:rsidR="00147811" w:rsidRPr="00487209" w:rsidRDefault="00147811" w:rsidP="006C6323">
            <w:pPr>
              <w:jc w:val="center"/>
              <w:rPr>
                <w:rFonts w:ascii="Times New Roman" w:hAnsi="Times New Roman" w:cs="Times New Roman"/>
                <w:sz w:val="18"/>
                <w:szCs w:val="18"/>
              </w:rPr>
            </w:pPr>
          </w:p>
        </w:tc>
        <w:tc>
          <w:tcPr>
            <w:tcW w:w="458" w:type="pct"/>
            <w:shd w:val="clear" w:color="auto" w:fill="auto"/>
            <w:vAlign w:val="center"/>
          </w:tcPr>
          <w:p w14:paraId="353B6AA0"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НП</w:t>
            </w:r>
          </w:p>
        </w:tc>
        <w:tc>
          <w:tcPr>
            <w:tcW w:w="598" w:type="pct"/>
            <w:gridSpan w:val="2"/>
            <w:shd w:val="clear" w:color="auto" w:fill="auto"/>
            <w:vAlign w:val="center"/>
          </w:tcPr>
          <w:p w14:paraId="43765A16" w14:textId="249A0239" w:rsidR="00147811" w:rsidRPr="00487209" w:rsidRDefault="00295C9D"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51.3.</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2E6ACF4A"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0AE2CDF9" w14:textId="77777777" w:rsidTr="007D5144">
        <w:trPr>
          <w:trHeight w:val="771"/>
          <w:jc w:val="center"/>
        </w:trPr>
        <w:tc>
          <w:tcPr>
            <w:tcW w:w="435" w:type="pct"/>
            <w:shd w:val="clear" w:color="auto" w:fill="auto"/>
            <w:vAlign w:val="center"/>
          </w:tcPr>
          <w:p w14:paraId="3EA01C94"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51.4</w:t>
            </w:r>
          </w:p>
        </w:tc>
        <w:tc>
          <w:tcPr>
            <w:tcW w:w="1369" w:type="pct"/>
            <w:gridSpan w:val="2"/>
            <w:shd w:val="clear" w:color="auto" w:fill="auto"/>
            <w:vAlign w:val="center"/>
          </w:tcPr>
          <w:p w14:paraId="570265DC" w14:textId="2D01C95A" w:rsidR="00790535" w:rsidRPr="00487209" w:rsidRDefault="00147811" w:rsidP="006535BF">
            <w:pPr>
              <w:spacing w:before="120"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Where the Commission ascertains that a notified body does not meet, or no longer meets, the requirements for its notification, it shall inform the notifying Member State accordingly and request it to take the necessary corrective measures, including withdrawal of notification, if necessary.</w:t>
            </w:r>
          </w:p>
        </w:tc>
        <w:tc>
          <w:tcPr>
            <w:tcW w:w="429" w:type="pct"/>
            <w:shd w:val="clear" w:color="auto" w:fill="auto"/>
            <w:vAlign w:val="center"/>
          </w:tcPr>
          <w:p w14:paraId="120A9A71"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3BD39BA5" w14:textId="77777777" w:rsidR="00147811" w:rsidRPr="00487209" w:rsidRDefault="00147811" w:rsidP="006C6323">
            <w:pPr>
              <w:jc w:val="center"/>
              <w:rPr>
                <w:rFonts w:ascii="Times New Roman" w:hAnsi="Times New Roman" w:cs="Times New Roman"/>
                <w:sz w:val="18"/>
                <w:szCs w:val="18"/>
              </w:rPr>
            </w:pPr>
          </w:p>
        </w:tc>
        <w:tc>
          <w:tcPr>
            <w:tcW w:w="458" w:type="pct"/>
            <w:shd w:val="clear" w:color="auto" w:fill="auto"/>
            <w:vAlign w:val="center"/>
          </w:tcPr>
          <w:p w14:paraId="4006E46E"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НП</w:t>
            </w:r>
          </w:p>
        </w:tc>
        <w:tc>
          <w:tcPr>
            <w:tcW w:w="598" w:type="pct"/>
            <w:gridSpan w:val="2"/>
            <w:shd w:val="clear" w:color="auto" w:fill="auto"/>
            <w:vAlign w:val="center"/>
          </w:tcPr>
          <w:p w14:paraId="6376217B" w14:textId="30CC0FE6" w:rsidR="00147811" w:rsidRPr="00487209" w:rsidRDefault="00295C9D"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51.4.</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45EF5D80"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238EDEDA" w14:textId="77777777" w:rsidTr="007D5144">
        <w:trPr>
          <w:trHeight w:val="771"/>
          <w:jc w:val="center"/>
        </w:trPr>
        <w:tc>
          <w:tcPr>
            <w:tcW w:w="435" w:type="pct"/>
            <w:shd w:val="clear" w:color="auto" w:fill="auto"/>
            <w:vAlign w:val="center"/>
          </w:tcPr>
          <w:p w14:paraId="3A046E19"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52.1</w:t>
            </w:r>
          </w:p>
        </w:tc>
        <w:tc>
          <w:tcPr>
            <w:tcW w:w="1369" w:type="pct"/>
            <w:gridSpan w:val="2"/>
            <w:shd w:val="clear" w:color="auto" w:fill="auto"/>
            <w:vAlign w:val="center"/>
          </w:tcPr>
          <w:p w14:paraId="5700881A"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Notified bodies shall carry out third party tasks in accordance with the systems of assessment and verification of constancy of performance provided for in Annex V.</w:t>
            </w:r>
          </w:p>
          <w:p w14:paraId="4A72312D"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19D55C1F" w14:textId="0BD48BA8" w:rsidR="00193167"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293BE3C2" w14:textId="65F29C18" w:rsidR="00147811" w:rsidRPr="00487209" w:rsidRDefault="00193167" w:rsidP="006535BF">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 </w:t>
            </w:r>
            <w:r w:rsidR="006535BF" w:rsidRPr="00487209">
              <w:rPr>
                <w:rFonts w:ascii="Times New Roman" w:hAnsi="Times New Roman" w:cs="Times New Roman"/>
                <w:sz w:val="18"/>
                <w:szCs w:val="18"/>
                <w:lang w:val="sr-Cyrl-CS"/>
              </w:rPr>
              <w:t>44</w:t>
            </w:r>
            <w:r w:rsidR="00790535" w:rsidRPr="00487209">
              <w:rPr>
                <w:rFonts w:ascii="Times New Roman" w:hAnsi="Times New Roman" w:cs="Times New Roman"/>
                <w:sz w:val="18"/>
                <w:szCs w:val="18"/>
                <w:lang w:val="sr-Cyrl-CS"/>
              </w:rPr>
              <w:t>.1.</w:t>
            </w:r>
          </w:p>
        </w:tc>
        <w:tc>
          <w:tcPr>
            <w:tcW w:w="1231" w:type="pct"/>
            <w:gridSpan w:val="2"/>
            <w:shd w:val="clear" w:color="auto" w:fill="auto"/>
            <w:vAlign w:val="center"/>
          </w:tcPr>
          <w:p w14:paraId="25E3CD01" w14:textId="292B4921" w:rsidR="00147811" w:rsidRPr="00487209" w:rsidRDefault="006535BF" w:rsidP="006535BF">
            <w:pPr>
              <w:spacing w:before="120"/>
              <w:ind w:right="-23"/>
              <w:jc w:val="both"/>
              <w:rPr>
                <w:rFonts w:ascii="Times New Roman" w:eastAsia="Batang" w:hAnsi="Times New Roman" w:cs="Times New Roman"/>
                <w:sz w:val="18"/>
                <w:szCs w:val="18"/>
                <w:lang w:val="sr-Latn-BA" w:eastAsia="ko-KR"/>
              </w:rPr>
            </w:pPr>
            <w:r w:rsidRPr="00487209">
              <w:rPr>
                <w:rFonts w:ascii="Times New Roman" w:eastAsia="Batang" w:hAnsi="Times New Roman" w:cs="Times New Roman"/>
                <w:sz w:val="18"/>
                <w:szCs w:val="18"/>
                <w:lang w:val="sr-Cyrl-CS" w:eastAsia="ko-KR"/>
              </w:rPr>
              <w:t xml:space="preserve">Именовано тело за оцењивање и верификацију сталности перформанси обавља задатке </w:t>
            </w:r>
            <w:r w:rsidR="00CF3C72">
              <w:rPr>
                <w:rFonts w:ascii="Times New Roman" w:eastAsia="Batang" w:hAnsi="Times New Roman" w:cs="Times New Roman"/>
                <w:sz w:val="18"/>
                <w:szCs w:val="18"/>
                <w:lang w:val="sr-Cyrl-CS" w:eastAsia="ko-KR"/>
              </w:rPr>
              <w:t xml:space="preserve">независне </w:t>
            </w:r>
            <w:r w:rsidRPr="00487209">
              <w:rPr>
                <w:rFonts w:ascii="Times New Roman" w:eastAsia="Batang" w:hAnsi="Times New Roman" w:cs="Times New Roman"/>
                <w:sz w:val="18"/>
                <w:szCs w:val="18"/>
                <w:lang w:val="sr-Cyrl-CS" w:eastAsia="ko-KR"/>
              </w:rPr>
              <w:t xml:space="preserve">треће стране у складу са системима оцењивања и верификације сталности перформанси прописаним у члану 29. овог </w:t>
            </w:r>
            <w:r w:rsidRPr="00487209">
              <w:rPr>
                <w:rFonts w:ascii="Times New Roman" w:eastAsia="Batang" w:hAnsi="Times New Roman" w:cs="Times New Roman"/>
                <w:sz w:val="18"/>
                <w:szCs w:val="18"/>
                <w:shd w:val="clear" w:color="auto" w:fill="FFFFFF"/>
                <w:lang w:val="sr-Cyrl-CS" w:eastAsia="ko-KR"/>
              </w:rPr>
              <w:t>закона.</w:t>
            </w:r>
          </w:p>
        </w:tc>
        <w:tc>
          <w:tcPr>
            <w:tcW w:w="458" w:type="pct"/>
            <w:shd w:val="clear" w:color="auto" w:fill="auto"/>
            <w:vAlign w:val="center"/>
          </w:tcPr>
          <w:p w14:paraId="2F3C6F50"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3C8722A2"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27488123"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6C0144D" w14:textId="77777777" w:rsidTr="007D5144">
        <w:trPr>
          <w:trHeight w:val="771"/>
          <w:jc w:val="center"/>
        </w:trPr>
        <w:tc>
          <w:tcPr>
            <w:tcW w:w="435" w:type="pct"/>
            <w:shd w:val="clear" w:color="auto" w:fill="auto"/>
            <w:vAlign w:val="center"/>
          </w:tcPr>
          <w:p w14:paraId="3B082172"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52.2</w:t>
            </w:r>
          </w:p>
        </w:tc>
        <w:tc>
          <w:tcPr>
            <w:tcW w:w="1369" w:type="pct"/>
            <w:gridSpan w:val="2"/>
            <w:shd w:val="clear" w:color="auto" w:fill="auto"/>
            <w:vAlign w:val="center"/>
          </w:tcPr>
          <w:p w14:paraId="41F7DA7F" w14:textId="77777777" w:rsidR="00790535" w:rsidRPr="00487209" w:rsidRDefault="00790535" w:rsidP="006C6323">
            <w:pPr>
              <w:spacing w:before="100" w:beforeAutospacing="1" w:after="100" w:afterAutospacing="1"/>
              <w:jc w:val="both"/>
              <w:rPr>
                <w:rFonts w:ascii="Times New Roman" w:hAnsi="Times New Roman" w:cs="Times New Roman"/>
                <w:sz w:val="18"/>
                <w:szCs w:val="18"/>
              </w:rPr>
            </w:pPr>
          </w:p>
          <w:p w14:paraId="5C8609EF"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 xml:space="preserve">Assessments and verifications of constancy of performance shall be carried out with transparency as regards the manufacturer, and in a proportionate manner, avoiding an unnecessary burden for economic operators. The notified bodies shall perform their activities taking due account of the size of the undertaking, the sector in which the undertaking operates, its structure, the degree of complexity of the product technology in question and the mass or serial nature of the </w:t>
            </w:r>
            <w:r w:rsidRPr="00487209">
              <w:rPr>
                <w:rFonts w:ascii="Times New Roman" w:hAnsi="Times New Roman" w:cs="Times New Roman"/>
                <w:sz w:val="18"/>
                <w:szCs w:val="18"/>
              </w:rPr>
              <w:lastRenderedPageBreak/>
              <w:t>production process.</w:t>
            </w:r>
          </w:p>
          <w:p w14:paraId="1D3800D3"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In so doing, the notified bodies shall nevertheless respect the degree of rigour required for the product by this Regulation and the part played by the product for the fulfilment of all basic requirements for construction works.</w:t>
            </w:r>
          </w:p>
          <w:p w14:paraId="088460D1"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5982F450" w14:textId="77777777" w:rsidR="00964E6E" w:rsidRPr="00487209" w:rsidRDefault="00964E6E" w:rsidP="006C6323">
            <w:pPr>
              <w:spacing w:before="120" w:after="120"/>
              <w:ind w:firstLine="5"/>
              <w:jc w:val="center"/>
              <w:rPr>
                <w:rFonts w:ascii="Times New Roman" w:hAnsi="Times New Roman" w:cs="Times New Roman"/>
                <w:sz w:val="18"/>
                <w:szCs w:val="18"/>
                <w:lang w:val="sr-Cyrl-CS"/>
              </w:rPr>
            </w:pPr>
          </w:p>
          <w:p w14:paraId="0FE3785B" w14:textId="77777777" w:rsidR="00964E6E" w:rsidRPr="00487209" w:rsidRDefault="00964E6E" w:rsidP="006C6323">
            <w:pPr>
              <w:spacing w:before="120" w:after="120"/>
              <w:ind w:firstLine="5"/>
              <w:jc w:val="center"/>
              <w:rPr>
                <w:rFonts w:ascii="Times New Roman" w:hAnsi="Times New Roman" w:cs="Times New Roman"/>
                <w:sz w:val="18"/>
                <w:szCs w:val="18"/>
                <w:lang w:val="sr-Cyrl-CS"/>
              </w:rPr>
            </w:pPr>
          </w:p>
          <w:p w14:paraId="248D05FD" w14:textId="77777777" w:rsidR="00964E6E" w:rsidRPr="00487209" w:rsidRDefault="00964E6E" w:rsidP="006C6323">
            <w:pPr>
              <w:spacing w:before="120" w:after="120"/>
              <w:ind w:firstLine="5"/>
              <w:jc w:val="center"/>
              <w:rPr>
                <w:rFonts w:ascii="Times New Roman" w:hAnsi="Times New Roman" w:cs="Times New Roman"/>
                <w:sz w:val="18"/>
                <w:szCs w:val="18"/>
                <w:lang w:val="sr-Cyrl-CS"/>
              </w:rPr>
            </w:pPr>
          </w:p>
          <w:p w14:paraId="512B86F6" w14:textId="77777777" w:rsidR="00964E6E" w:rsidRPr="00487209" w:rsidRDefault="00964E6E" w:rsidP="006C6323">
            <w:pPr>
              <w:spacing w:before="120" w:after="120"/>
              <w:ind w:firstLine="5"/>
              <w:jc w:val="center"/>
              <w:rPr>
                <w:rFonts w:ascii="Times New Roman" w:hAnsi="Times New Roman" w:cs="Times New Roman"/>
                <w:sz w:val="18"/>
                <w:szCs w:val="18"/>
                <w:lang w:val="sr-Cyrl-CS"/>
              </w:rPr>
            </w:pPr>
          </w:p>
          <w:p w14:paraId="0DE57339" w14:textId="77777777" w:rsidR="00964E6E" w:rsidRPr="00487209" w:rsidRDefault="00964E6E" w:rsidP="006C6323">
            <w:pPr>
              <w:spacing w:before="120" w:after="120"/>
              <w:ind w:firstLine="5"/>
              <w:jc w:val="center"/>
              <w:rPr>
                <w:rFonts w:ascii="Times New Roman" w:hAnsi="Times New Roman" w:cs="Times New Roman"/>
                <w:sz w:val="18"/>
                <w:szCs w:val="18"/>
                <w:lang w:val="sr-Cyrl-CS"/>
              </w:rPr>
            </w:pPr>
          </w:p>
          <w:p w14:paraId="3681FBBE" w14:textId="77777777" w:rsidR="00964E6E" w:rsidRPr="00487209" w:rsidRDefault="00964E6E" w:rsidP="006C6323">
            <w:pPr>
              <w:spacing w:before="120" w:after="120"/>
              <w:ind w:firstLine="5"/>
              <w:jc w:val="center"/>
              <w:rPr>
                <w:rFonts w:ascii="Times New Roman" w:hAnsi="Times New Roman" w:cs="Times New Roman"/>
                <w:sz w:val="18"/>
                <w:szCs w:val="18"/>
                <w:lang w:val="sr-Cyrl-CS"/>
              </w:rPr>
            </w:pPr>
          </w:p>
          <w:p w14:paraId="33A37E0B" w14:textId="2A4CD123" w:rsidR="00193167"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2227338E" w14:textId="7539B303" w:rsidR="00147811" w:rsidRPr="00487209" w:rsidRDefault="00193167" w:rsidP="006C6323">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 </w:t>
            </w:r>
            <w:r w:rsidR="006535BF" w:rsidRPr="00487209">
              <w:rPr>
                <w:rFonts w:ascii="Times New Roman" w:hAnsi="Times New Roman" w:cs="Times New Roman"/>
                <w:sz w:val="18"/>
                <w:szCs w:val="18"/>
                <w:lang w:val="sr-Cyrl-CS"/>
              </w:rPr>
              <w:t>44</w:t>
            </w:r>
            <w:r w:rsidR="00964E6E" w:rsidRPr="00487209">
              <w:rPr>
                <w:rFonts w:ascii="Times New Roman" w:hAnsi="Times New Roman" w:cs="Times New Roman"/>
                <w:sz w:val="18"/>
                <w:szCs w:val="18"/>
                <w:lang w:val="sr-Cyrl-CS"/>
              </w:rPr>
              <w:t>.2.</w:t>
            </w:r>
          </w:p>
          <w:p w14:paraId="54F193F8" w14:textId="77777777" w:rsidR="00964E6E" w:rsidRPr="00487209" w:rsidRDefault="00964E6E" w:rsidP="006C6323">
            <w:pPr>
              <w:spacing w:before="120" w:after="120"/>
              <w:ind w:firstLine="5"/>
              <w:rPr>
                <w:rFonts w:ascii="Times New Roman" w:hAnsi="Times New Roman" w:cs="Times New Roman"/>
                <w:sz w:val="18"/>
                <w:szCs w:val="18"/>
                <w:lang w:val="sr-Cyrl-CS"/>
              </w:rPr>
            </w:pPr>
          </w:p>
          <w:p w14:paraId="52C67293" w14:textId="77777777" w:rsidR="00964E6E" w:rsidRPr="00487209" w:rsidRDefault="00964E6E" w:rsidP="006C6323">
            <w:pPr>
              <w:spacing w:before="120" w:after="120"/>
              <w:ind w:firstLine="5"/>
              <w:rPr>
                <w:rFonts w:ascii="Times New Roman" w:hAnsi="Times New Roman" w:cs="Times New Roman"/>
                <w:sz w:val="18"/>
                <w:szCs w:val="18"/>
                <w:lang w:val="sr-Cyrl-CS"/>
              </w:rPr>
            </w:pPr>
          </w:p>
          <w:p w14:paraId="2226574F" w14:textId="77777777" w:rsidR="00964E6E" w:rsidRPr="00487209" w:rsidRDefault="00964E6E" w:rsidP="006C6323">
            <w:pPr>
              <w:spacing w:before="120" w:after="120"/>
              <w:ind w:firstLine="5"/>
              <w:rPr>
                <w:rFonts w:ascii="Times New Roman" w:hAnsi="Times New Roman" w:cs="Times New Roman"/>
                <w:sz w:val="18"/>
                <w:szCs w:val="18"/>
                <w:lang w:val="sr-Cyrl-CS"/>
              </w:rPr>
            </w:pPr>
          </w:p>
          <w:p w14:paraId="33F02660" w14:textId="77777777" w:rsidR="00964E6E" w:rsidRPr="00487209" w:rsidRDefault="00964E6E" w:rsidP="006C6323">
            <w:pPr>
              <w:spacing w:before="120" w:after="120"/>
              <w:ind w:firstLine="5"/>
              <w:rPr>
                <w:rFonts w:ascii="Times New Roman" w:hAnsi="Times New Roman" w:cs="Times New Roman"/>
                <w:sz w:val="18"/>
                <w:szCs w:val="18"/>
                <w:lang w:val="sr-Cyrl-CS"/>
              </w:rPr>
            </w:pPr>
          </w:p>
          <w:p w14:paraId="1EFCFEF4" w14:textId="77777777" w:rsidR="00964E6E" w:rsidRPr="00487209" w:rsidRDefault="00964E6E" w:rsidP="006C6323">
            <w:pPr>
              <w:spacing w:before="120" w:after="120"/>
              <w:ind w:firstLine="5"/>
              <w:rPr>
                <w:rFonts w:ascii="Times New Roman" w:hAnsi="Times New Roman" w:cs="Times New Roman"/>
                <w:sz w:val="18"/>
                <w:szCs w:val="18"/>
                <w:lang w:val="sr-Cyrl-CS"/>
              </w:rPr>
            </w:pPr>
          </w:p>
          <w:p w14:paraId="6ACD9474" w14:textId="77777777" w:rsidR="00964E6E" w:rsidRPr="00487209" w:rsidRDefault="00964E6E" w:rsidP="006C6323">
            <w:pPr>
              <w:spacing w:before="120" w:after="120"/>
              <w:ind w:firstLine="5"/>
              <w:rPr>
                <w:rFonts w:ascii="Times New Roman" w:hAnsi="Times New Roman" w:cs="Times New Roman"/>
                <w:sz w:val="18"/>
                <w:szCs w:val="18"/>
                <w:lang w:val="sr-Cyrl-CS"/>
              </w:rPr>
            </w:pPr>
          </w:p>
          <w:p w14:paraId="6BC520B9" w14:textId="1C5FC70F" w:rsidR="00964E6E" w:rsidRPr="00487209" w:rsidRDefault="006535BF"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44</w:t>
            </w:r>
            <w:r w:rsidR="00964E6E" w:rsidRPr="00487209">
              <w:rPr>
                <w:rFonts w:ascii="Times New Roman" w:hAnsi="Times New Roman" w:cs="Times New Roman"/>
                <w:sz w:val="18"/>
                <w:szCs w:val="18"/>
                <w:lang w:val="sr-Cyrl-CS"/>
              </w:rPr>
              <w:t>.3.</w:t>
            </w:r>
          </w:p>
        </w:tc>
        <w:tc>
          <w:tcPr>
            <w:tcW w:w="1231" w:type="pct"/>
            <w:gridSpan w:val="2"/>
            <w:shd w:val="clear" w:color="auto" w:fill="auto"/>
            <w:vAlign w:val="center"/>
          </w:tcPr>
          <w:p w14:paraId="04853958" w14:textId="6AC9DF69" w:rsidR="00964E6E" w:rsidRPr="00487209" w:rsidRDefault="00964E6E" w:rsidP="006C6323">
            <w:pPr>
              <w:pStyle w:val="Style10"/>
              <w:spacing w:before="240" w:line="240" w:lineRule="auto"/>
              <w:ind w:right="-23"/>
              <w:rPr>
                <w:rFonts w:ascii="Times New Roman" w:hAnsi="Times New Roman"/>
                <w:sz w:val="18"/>
                <w:szCs w:val="18"/>
              </w:rPr>
            </w:pPr>
            <w:r w:rsidRPr="00487209">
              <w:rPr>
                <w:rFonts w:ascii="Times New Roman" w:hAnsi="Times New Roman"/>
                <w:sz w:val="18"/>
                <w:szCs w:val="18"/>
                <w:lang w:val="sr-Cyrl-CS"/>
              </w:rPr>
              <w:lastRenderedPageBreak/>
              <w:t xml:space="preserve">Оцењивање и верификација сталности перформанси спроводи </w:t>
            </w:r>
            <w:r w:rsidR="00CF3C72" w:rsidRPr="00487209">
              <w:rPr>
                <w:rFonts w:ascii="Times New Roman" w:hAnsi="Times New Roman"/>
                <w:sz w:val="18"/>
                <w:szCs w:val="18"/>
                <w:lang w:val="sr-Cyrl-CS"/>
              </w:rPr>
              <w:t xml:space="preserve">се </w:t>
            </w:r>
            <w:r w:rsidRPr="00487209">
              <w:rPr>
                <w:rFonts w:ascii="Times New Roman" w:hAnsi="Times New Roman"/>
                <w:sz w:val="18"/>
                <w:szCs w:val="18"/>
                <w:lang w:val="sr-Cyrl-CS"/>
              </w:rPr>
              <w:t xml:space="preserve">транспарентно у односу на произвођача и на одговарајући начин, уз избегавање непотребног терета за привредне субјекте. Именовано тело за оцењивање и верификацију сталности перформанси обавља </w:t>
            </w:r>
            <w:r w:rsidR="00CF3C72">
              <w:rPr>
                <w:rFonts w:ascii="Times New Roman" w:hAnsi="Times New Roman"/>
                <w:sz w:val="18"/>
                <w:szCs w:val="18"/>
                <w:lang w:val="sr-Cyrl-CS"/>
              </w:rPr>
              <w:t xml:space="preserve">задатке </w:t>
            </w:r>
            <w:r w:rsidRPr="00487209">
              <w:rPr>
                <w:rFonts w:ascii="Times New Roman" w:hAnsi="Times New Roman"/>
                <w:sz w:val="18"/>
                <w:szCs w:val="18"/>
                <w:lang w:val="sr-Cyrl-CS"/>
              </w:rPr>
              <w:t xml:space="preserve">узимајући у обзир величину </w:t>
            </w:r>
            <w:r w:rsidR="00CF3C72">
              <w:rPr>
                <w:rFonts w:ascii="Times New Roman" w:hAnsi="Times New Roman"/>
                <w:sz w:val="18"/>
                <w:szCs w:val="18"/>
                <w:lang w:val="sr-Cyrl-CS"/>
              </w:rPr>
              <w:t>привредног субјета</w:t>
            </w:r>
            <w:r w:rsidRPr="00487209">
              <w:rPr>
                <w:rFonts w:ascii="Times New Roman" w:hAnsi="Times New Roman"/>
                <w:sz w:val="18"/>
                <w:szCs w:val="18"/>
                <w:lang w:val="sr-Cyrl-CS"/>
              </w:rPr>
              <w:t xml:space="preserve">, сектор у коме оно послује, </w:t>
            </w:r>
            <w:r w:rsidR="00CF3C72">
              <w:rPr>
                <w:rFonts w:ascii="Times New Roman" w:hAnsi="Times New Roman"/>
                <w:sz w:val="18"/>
                <w:szCs w:val="18"/>
                <w:lang w:val="sr-Cyrl-CS"/>
              </w:rPr>
              <w:t>о</w:t>
            </w:r>
            <w:r w:rsidRPr="00487209">
              <w:rPr>
                <w:rFonts w:ascii="Times New Roman" w:hAnsi="Times New Roman"/>
                <w:sz w:val="18"/>
                <w:szCs w:val="18"/>
                <w:lang w:val="sr-Cyrl-CS"/>
              </w:rPr>
              <w:t xml:space="preserve">рганизацију, степен сложености примењеног технолошког процеса и природу производног </w:t>
            </w:r>
            <w:r w:rsidRPr="00487209">
              <w:rPr>
                <w:rFonts w:ascii="Times New Roman" w:hAnsi="Times New Roman"/>
                <w:sz w:val="18"/>
                <w:szCs w:val="18"/>
                <w:lang w:val="sr-Cyrl-CS"/>
              </w:rPr>
              <w:lastRenderedPageBreak/>
              <w:t>процеса.</w:t>
            </w:r>
          </w:p>
          <w:p w14:paraId="32328824" w14:textId="77777777" w:rsidR="00CF3C72" w:rsidRPr="00CF3C72" w:rsidRDefault="00CF3C72" w:rsidP="00CF3C72">
            <w:pPr>
              <w:spacing w:before="120"/>
              <w:ind w:right="-23"/>
              <w:jc w:val="both"/>
              <w:rPr>
                <w:rFonts w:ascii="Times New Roman" w:eastAsia="Batang" w:hAnsi="Times New Roman" w:cs="Times New Roman"/>
                <w:sz w:val="18"/>
                <w:szCs w:val="18"/>
                <w:lang w:val="sr-Cyrl-CS" w:eastAsia="ko-KR"/>
              </w:rPr>
            </w:pPr>
            <w:r w:rsidRPr="00CF3C72">
              <w:rPr>
                <w:rFonts w:ascii="Times New Roman" w:eastAsia="Batang" w:hAnsi="Times New Roman" w:cs="Times New Roman"/>
                <w:sz w:val="18"/>
                <w:szCs w:val="18"/>
                <w:lang w:eastAsia="ko-KR"/>
              </w:rPr>
              <w:t>O</w:t>
            </w:r>
            <w:r w:rsidRPr="00CF3C72">
              <w:rPr>
                <w:rFonts w:ascii="Times New Roman" w:eastAsia="Batang" w:hAnsi="Times New Roman" w:cs="Times New Roman"/>
                <w:sz w:val="18"/>
                <w:szCs w:val="18"/>
                <w:lang w:val="sr-Cyrl-CS" w:eastAsia="ko-KR"/>
              </w:rPr>
              <w:t>цењивање и верификација сталности перформанси се спроводи у складу чланом 29. овог закона сходно нивоу захтева  за производ и улози коју тај грађевински производ има у испуњењу свих основних захтева за објекте.</w:t>
            </w:r>
          </w:p>
          <w:p w14:paraId="3A2B1BFC" w14:textId="0CD07C4F" w:rsidR="00147811" w:rsidRPr="00487209" w:rsidRDefault="00147811" w:rsidP="006535BF">
            <w:pPr>
              <w:spacing w:before="120"/>
              <w:ind w:right="-23"/>
              <w:jc w:val="both"/>
              <w:rPr>
                <w:rFonts w:ascii="Times New Roman" w:eastAsia="Batang" w:hAnsi="Times New Roman" w:cs="Times New Roman"/>
                <w:sz w:val="18"/>
                <w:szCs w:val="18"/>
                <w:lang w:val="sr-Cyrl-CS" w:eastAsia="ko-KR"/>
              </w:rPr>
            </w:pPr>
          </w:p>
        </w:tc>
        <w:tc>
          <w:tcPr>
            <w:tcW w:w="458" w:type="pct"/>
            <w:shd w:val="clear" w:color="auto" w:fill="auto"/>
            <w:vAlign w:val="center"/>
          </w:tcPr>
          <w:p w14:paraId="22DD55C2"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ПУ</w:t>
            </w:r>
          </w:p>
        </w:tc>
        <w:tc>
          <w:tcPr>
            <w:tcW w:w="598" w:type="pct"/>
            <w:gridSpan w:val="2"/>
            <w:shd w:val="clear" w:color="auto" w:fill="auto"/>
            <w:vAlign w:val="center"/>
          </w:tcPr>
          <w:p w14:paraId="202FCAB2"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47FD29F"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9BF8B90" w14:textId="77777777" w:rsidTr="007D5144">
        <w:trPr>
          <w:trHeight w:val="2454"/>
          <w:jc w:val="center"/>
        </w:trPr>
        <w:tc>
          <w:tcPr>
            <w:tcW w:w="435" w:type="pct"/>
            <w:shd w:val="clear" w:color="auto" w:fill="auto"/>
            <w:vAlign w:val="center"/>
          </w:tcPr>
          <w:p w14:paraId="61D78F15"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52.3</w:t>
            </w:r>
          </w:p>
        </w:tc>
        <w:tc>
          <w:tcPr>
            <w:tcW w:w="1369" w:type="pct"/>
            <w:gridSpan w:val="2"/>
            <w:shd w:val="clear" w:color="auto" w:fill="auto"/>
            <w:vAlign w:val="center"/>
          </w:tcPr>
          <w:p w14:paraId="259912EA"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Where, in the course of the initial inspection of the manufacturing plant and of factory production control, a notified body finds that the manufacturer has not ensured the constancy of performance of the manufactured product, it shall require the manufacturer to take appropriate corrective measures and shall not issue a certificate.</w:t>
            </w:r>
          </w:p>
          <w:p w14:paraId="7C775F44"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0A8E9FC1" w14:textId="7BAB4CB6" w:rsidR="00193167"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1C935FE5" w14:textId="57884B20" w:rsidR="00147811" w:rsidRPr="00487209" w:rsidRDefault="00193167" w:rsidP="006535B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 </w:t>
            </w:r>
            <w:r w:rsidR="006535BF" w:rsidRPr="00487209">
              <w:rPr>
                <w:rFonts w:ascii="Times New Roman" w:hAnsi="Times New Roman" w:cs="Times New Roman"/>
                <w:sz w:val="18"/>
                <w:szCs w:val="18"/>
                <w:lang w:val="sr-Cyrl-CS"/>
              </w:rPr>
              <w:t>44</w:t>
            </w:r>
            <w:r w:rsidR="00964E6E" w:rsidRPr="00487209">
              <w:rPr>
                <w:rFonts w:ascii="Times New Roman" w:hAnsi="Times New Roman" w:cs="Times New Roman"/>
                <w:sz w:val="18"/>
                <w:szCs w:val="18"/>
                <w:lang w:val="sr-Cyrl-CS"/>
              </w:rPr>
              <w:t>.4.</w:t>
            </w:r>
          </w:p>
        </w:tc>
        <w:tc>
          <w:tcPr>
            <w:tcW w:w="1231" w:type="pct"/>
            <w:gridSpan w:val="2"/>
            <w:shd w:val="clear" w:color="auto" w:fill="auto"/>
            <w:vAlign w:val="center"/>
          </w:tcPr>
          <w:p w14:paraId="4E8E73A2" w14:textId="77777777" w:rsidR="00CF3C72" w:rsidRDefault="00CF3C72" w:rsidP="00CF3C72">
            <w:pPr>
              <w:pStyle w:val="Style10"/>
              <w:rPr>
                <w:rFonts w:ascii="Times New Roman" w:hAnsi="Times New Roman"/>
                <w:sz w:val="18"/>
                <w:szCs w:val="18"/>
                <w:lang w:val="sr-Cyrl-CS"/>
              </w:rPr>
            </w:pPr>
          </w:p>
          <w:p w14:paraId="0025F6CF" w14:textId="736D98DE" w:rsidR="00CF3C72" w:rsidRPr="00CF3C72" w:rsidRDefault="00CF3C72" w:rsidP="00CF3C72">
            <w:pPr>
              <w:pStyle w:val="Style10"/>
              <w:rPr>
                <w:rFonts w:ascii="Times New Roman" w:hAnsi="Times New Roman"/>
                <w:sz w:val="18"/>
                <w:szCs w:val="18"/>
                <w:lang w:val="sr-Cyrl-CS"/>
              </w:rPr>
            </w:pPr>
            <w:r w:rsidRPr="00CF3C72">
              <w:rPr>
                <w:rFonts w:ascii="Times New Roman" w:hAnsi="Times New Roman"/>
                <w:sz w:val="18"/>
                <w:szCs w:val="18"/>
                <w:lang w:val="sr-Cyrl-CS"/>
              </w:rPr>
              <w:t>Ако именовано тело за оцењивање и верификацију сталности перформанси у току спровођења почетног прегледа производног погона и фабричке контроле производње, утврди да произвођач није обезбедио сталност перформанси произведеног грађевинског производа, оно захтева да произвођач предузме одговарајуће корективне радње у ком случају не издаје сертификат.</w:t>
            </w:r>
          </w:p>
          <w:p w14:paraId="69CDD93F" w14:textId="402F8AB4" w:rsidR="00147811" w:rsidRPr="00487209" w:rsidRDefault="00147811" w:rsidP="006535BF">
            <w:pPr>
              <w:pStyle w:val="Style10"/>
              <w:spacing w:before="240" w:line="240" w:lineRule="auto"/>
              <w:ind w:right="-23"/>
              <w:rPr>
                <w:rFonts w:ascii="Times New Roman" w:hAnsi="Times New Roman"/>
                <w:sz w:val="18"/>
                <w:szCs w:val="18"/>
              </w:rPr>
            </w:pPr>
          </w:p>
        </w:tc>
        <w:tc>
          <w:tcPr>
            <w:tcW w:w="458" w:type="pct"/>
            <w:shd w:val="clear" w:color="auto" w:fill="auto"/>
            <w:vAlign w:val="center"/>
          </w:tcPr>
          <w:p w14:paraId="191443B2"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3975B62B"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3DA536E"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62415C16" w14:textId="77777777" w:rsidTr="007D5144">
        <w:trPr>
          <w:trHeight w:val="771"/>
          <w:jc w:val="center"/>
        </w:trPr>
        <w:tc>
          <w:tcPr>
            <w:tcW w:w="435" w:type="pct"/>
            <w:shd w:val="clear" w:color="auto" w:fill="auto"/>
            <w:vAlign w:val="center"/>
          </w:tcPr>
          <w:p w14:paraId="6459DCAA"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52.4</w:t>
            </w:r>
          </w:p>
        </w:tc>
        <w:tc>
          <w:tcPr>
            <w:tcW w:w="1369" w:type="pct"/>
            <w:gridSpan w:val="2"/>
            <w:shd w:val="clear" w:color="auto" w:fill="auto"/>
            <w:vAlign w:val="center"/>
          </w:tcPr>
          <w:p w14:paraId="66735F4A"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Where, in the course of the monitoring activity aiming at the verification of the constancy of performance of the manufactured product, a notified body finds that a construction product no longer has the same performance to that of the product-type, it shall require the manufacturer to take appropriate corrective measures and shall suspend or withdraw its certificate if necessary.</w:t>
            </w:r>
          </w:p>
          <w:p w14:paraId="731B8B8C"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02C568C2" w14:textId="37E453AC" w:rsidR="00193167"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6A50875B" w14:textId="4F36ED61" w:rsidR="00147811" w:rsidRPr="00487209" w:rsidRDefault="00193167" w:rsidP="006535B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 </w:t>
            </w:r>
            <w:r w:rsidR="006535BF" w:rsidRPr="00487209">
              <w:rPr>
                <w:rFonts w:ascii="Times New Roman" w:hAnsi="Times New Roman" w:cs="Times New Roman"/>
                <w:sz w:val="18"/>
                <w:szCs w:val="18"/>
                <w:lang w:val="sr-Cyrl-CS"/>
              </w:rPr>
              <w:t>44</w:t>
            </w:r>
            <w:r w:rsidR="00964E6E" w:rsidRPr="00487209">
              <w:rPr>
                <w:rFonts w:ascii="Times New Roman" w:hAnsi="Times New Roman" w:cs="Times New Roman"/>
                <w:sz w:val="18"/>
                <w:szCs w:val="18"/>
                <w:lang w:val="sr-Cyrl-CS"/>
              </w:rPr>
              <w:t>.5.</w:t>
            </w:r>
          </w:p>
        </w:tc>
        <w:tc>
          <w:tcPr>
            <w:tcW w:w="1231" w:type="pct"/>
            <w:gridSpan w:val="2"/>
            <w:shd w:val="clear" w:color="auto" w:fill="auto"/>
            <w:vAlign w:val="center"/>
          </w:tcPr>
          <w:p w14:paraId="29F987D2" w14:textId="5A9532C3" w:rsidR="00964E6E" w:rsidRPr="00487209" w:rsidRDefault="00CF3C72" w:rsidP="00CF3C72">
            <w:pPr>
              <w:jc w:val="both"/>
              <w:rPr>
                <w:rFonts w:ascii="Times New Roman" w:hAnsi="Times New Roman"/>
                <w:sz w:val="18"/>
                <w:szCs w:val="18"/>
              </w:rPr>
            </w:pPr>
            <w:r w:rsidRPr="00CF3C72">
              <w:rPr>
                <w:rFonts w:ascii="Times New Roman" w:eastAsia="Batang" w:hAnsi="Times New Roman" w:cs="Times New Roman"/>
                <w:sz w:val="18"/>
                <w:szCs w:val="18"/>
                <w:lang w:val="sr-Cyrl-CS" w:eastAsia="ko-KR"/>
              </w:rPr>
              <w:t>Ако именовано тело за оцењивање и верификацију сталности перформанси у току спровођења сталног надзора који има за циљ да провери сталност перформанси произведеног грађевинског производа, утврди да перформансе тог грађевинског производа не одговарају припадај</w:t>
            </w:r>
            <w:r w:rsidRPr="00CF3C72">
              <w:rPr>
                <w:rFonts w:ascii="Times New Roman" w:eastAsia="Batang" w:hAnsi="Times New Roman" w:cs="Times New Roman"/>
                <w:sz w:val="18"/>
                <w:szCs w:val="18"/>
                <w:lang w:val="sr-Latn-BA" w:eastAsia="ko-KR"/>
              </w:rPr>
              <w:t>у</w:t>
            </w:r>
            <w:r w:rsidRPr="00CF3C72">
              <w:rPr>
                <w:rFonts w:ascii="Times New Roman" w:eastAsia="Batang" w:hAnsi="Times New Roman" w:cs="Times New Roman"/>
                <w:sz w:val="18"/>
                <w:szCs w:val="18"/>
                <w:lang w:val="sr-Cyrl-CS" w:eastAsia="ko-KR"/>
              </w:rPr>
              <w:t xml:space="preserve">ћем типу производа, именовано тело захтева да произвођач предузме одговарајуће корективне радње и ако је потребно не издаје сертификат, ограничава важење или повлачи свој сертификат. </w:t>
            </w:r>
          </w:p>
          <w:p w14:paraId="64DC52DC" w14:textId="77777777" w:rsidR="00147811" w:rsidRPr="00487209" w:rsidRDefault="00147811" w:rsidP="006C6323">
            <w:pPr>
              <w:jc w:val="center"/>
              <w:rPr>
                <w:rFonts w:ascii="Times New Roman" w:eastAsia="Batang" w:hAnsi="Times New Roman" w:cs="Times New Roman"/>
                <w:sz w:val="18"/>
                <w:szCs w:val="18"/>
                <w:lang w:val="sr-Cyrl-CS" w:eastAsia="ko-KR"/>
              </w:rPr>
            </w:pPr>
          </w:p>
        </w:tc>
        <w:tc>
          <w:tcPr>
            <w:tcW w:w="458" w:type="pct"/>
            <w:shd w:val="clear" w:color="auto" w:fill="auto"/>
            <w:vAlign w:val="center"/>
          </w:tcPr>
          <w:p w14:paraId="7363BE60"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548B5DC3"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0198E978"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764E3EA6" w14:textId="77777777" w:rsidTr="007D5144">
        <w:trPr>
          <w:trHeight w:val="771"/>
          <w:jc w:val="center"/>
        </w:trPr>
        <w:tc>
          <w:tcPr>
            <w:tcW w:w="435" w:type="pct"/>
            <w:shd w:val="clear" w:color="auto" w:fill="auto"/>
            <w:vAlign w:val="center"/>
          </w:tcPr>
          <w:p w14:paraId="00769A61"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52.5</w:t>
            </w:r>
          </w:p>
        </w:tc>
        <w:tc>
          <w:tcPr>
            <w:tcW w:w="1369" w:type="pct"/>
            <w:gridSpan w:val="2"/>
            <w:shd w:val="clear" w:color="auto" w:fill="auto"/>
            <w:vAlign w:val="center"/>
          </w:tcPr>
          <w:p w14:paraId="610D26C5"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Where corrective measures are not taken or do not have the required effect, the notified body shall restrict, suspend or withdraw any certificates, as appropriate.</w:t>
            </w:r>
          </w:p>
        </w:tc>
        <w:tc>
          <w:tcPr>
            <w:tcW w:w="429" w:type="pct"/>
            <w:shd w:val="clear" w:color="auto" w:fill="auto"/>
            <w:vAlign w:val="center"/>
          </w:tcPr>
          <w:p w14:paraId="509541DD" w14:textId="12F21DE6" w:rsidR="001A264B"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090C889D" w14:textId="2FB347C3" w:rsidR="00147811" w:rsidRPr="00487209" w:rsidRDefault="001A264B" w:rsidP="006535B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 </w:t>
            </w:r>
            <w:r w:rsidR="006535BF" w:rsidRPr="00487209">
              <w:rPr>
                <w:rFonts w:ascii="Times New Roman" w:hAnsi="Times New Roman" w:cs="Times New Roman"/>
                <w:sz w:val="18"/>
                <w:szCs w:val="18"/>
                <w:lang w:val="sr-Cyrl-CS"/>
              </w:rPr>
              <w:t>44</w:t>
            </w:r>
            <w:r w:rsidR="00964E6E" w:rsidRPr="00487209">
              <w:rPr>
                <w:rFonts w:ascii="Times New Roman" w:hAnsi="Times New Roman" w:cs="Times New Roman"/>
                <w:sz w:val="18"/>
                <w:szCs w:val="18"/>
                <w:lang w:val="sr-Cyrl-CS"/>
              </w:rPr>
              <w:t>.6.</w:t>
            </w:r>
          </w:p>
        </w:tc>
        <w:tc>
          <w:tcPr>
            <w:tcW w:w="1231" w:type="pct"/>
            <w:gridSpan w:val="2"/>
            <w:shd w:val="clear" w:color="auto" w:fill="auto"/>
            <w:vAlign w:val="center"/>
          </w:tcPr>
          <w:p w14:paraId="40E1B3E5" w14:textId="77777777" w:rsidR="00147811" w:rsidRPr="00487209" w:rsidRDefault="00147811" w:rsidP="006C6323">
            <w:pPr>
              <w:pStyle w:val="Style10"/>
              <w:spacing w:before="240" w:line="240" w:lineRule="auto"/>
              <w:ind w:right="-23"/>
              <w:rPr>
                <w:rFonts w:ascii="Times New Roman" w:hAnsi="Times New Roman"/>
                <w:sz w:val="18"/>
                <w:szCs w:val="18"/>
              </w:rPr>
            </w:pPr>
            <w:r w:rsidRPr="00487209">
              <w:rPr>
                <w:rFonts w:ascii="Times New Roman" w:hAnsi="Times New Roman"/>
                <w:sz w:val="18"/>
                <w:szCs w:val="18"/>
                <w:lang w:val="sr-Cyrl-CS"/>
              </w:rPr>
              <w:t xml:space="preserve">Када корективне мере нису предузете или немају адекватан ефекат, </w:t>
            </w:r>
            <w:r w:rsidR="00964E6E" w:rsidRPr="00487209">
              <w:rPr>
                <w:rFonts w:ascii="Times New Roman" w:hAnsi="Times New Roman"/>
                <w:sz w:val="18"/>
                <w:szCs w:val="18"/>
                <w:lang w:val="sr-Cyrl-CS"/>
              </w:rPr>
              <w:t xml:space="preserve">именовано </w:t>
            </w:r>
            <w:r w:rsidRPr="00487209">
              <w:rPr>
                <w:rFonts w:ascii="Times New Roman" w:hAnsi="Times New Roman"/>
                <w:sz w:val="18"/>
                <w:szCs w:val="18"/>
                <w:lang w:val="sr-Cyrl-CS"/>
              </w:rPr>
              <w:t>тело за оцењивање и верификацију сталности перформанси ограничава, обуставља или повлачи сертификате, према потреби.</w:t>
            </w:r>
          </w:p>
          <w:p w14:paraId="2DBF2F42"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1A84D35E"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74AD6F33"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C8FDE41"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46FD88F0" w14:textId="77777777" w:rsidTr="007D5144">
        <w:trPr>
          <w:trHeight w:val="771"/>
          <w:jc w:val="center"/>
        </w:trPr>
        <w:tc>
          <w:tcPr>
            <w:tcW w:w="435" w:type="pct"/>
            <w:shd w:val="clear" w:color="auto" w:fill="auto"/>
            <w:vAlign w:val="center"/>
          </w:tcPr>
          <w:p w14:paraId="32C65ABF"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53.1.(a)</w:t>
            </w:r>
          </w:p>
        </w:tc>
        <w:tc>
          <w:tcPr>
            <w:tcW w:w="1369" w:type="pct"/>
            <w:gridSpan w:val="2"/>
            <w:shd w:val="clear" w:color="auto" w:fill="auto"/>
            <w:vAlign w:val="center"/>
          </w:tcPr>
          <w:p w14:paraId="7E940F59"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Notified bodies shall inform the notifying authority of the following:</w:t>
            </w:r>
          </w:p>
          <w:p w14:paraId="111DD1DB"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any refusal, restriction, suspension or withdrawal of certificates;</w:t>
            </w:r>
          </w:p>
        </w:tc>
        <w:tc>
          <w:tcPr>
            <w:tcW w:w="429" w:type="pct"/>
            <w:shd w:val="clear" w:color="auto" w:fill="auto"/>
            <w:vAlign w:val="center"/>
          </w:tcPr>
          <w:p w14:paraId="4008703D" w14:textId="3F0B9D75" w:rsidR="001A264B"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1EC6980C" w14:textId="6FDAC150" w:rsidR="00147811" w:rsidRPr="00487209" w:rsidRDefault="001A264B" w:rsidP="006535B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6535BF" w:rsidRPr="00487209">
              <w:rPr>
                <w:rFonts w:ascii="Times New Roman" w:hAnsi="Times New Roman" w:cs="Times New Roman"/>
                <w:sz w:val="18"/>
                <w:szCs w:val="18"/>
                <w:lang w:val="ru-RU"/>
              </w:rPr>
              <w:t>45</w:t>
            </w:r>
            <w:r w:rsidR="00CB7D25" w:rsidRPr="00487209">
              <w:rPr>
                <w:rFonts w:ascii="Times New Roman" w:hAnsi="Times New Roman" w:cs="Times New Roman"/>
                <w:sz w:val="18"/>
                <w:szCs w:val="18"/>
                <w:lang w:val="ru-RU"/>
              </w:rPr>
              <w:t>.1.1)</w:t>
            </w:r>
          </w:p>
        </w:tc>
        <w:tc>
          <w:tcPr>
            <w:tcW w:w="1231" w:type="pct"/>
            <w:gridSpan w:val="2"/>
            <w:shd w:val="clear" w:color="auto" w:fill="auto"/>
            <w:vAlign w:val="center"/>
          </w:tcPr>
          <w:p w14:paraId="43C3CD90" w14:textId="2FD48648" w:rsidR="00147811" w:rsidRPr="00487209" w:rsidRDefault="00CB7D25" w:rsidP="006535BF">
            <w:pPr>
              <w:pStyle w:val="Style10"/>
              <w:spacing w:before="240" w:line="240" w:lineRule="auto"/>
              <w:ind w:left="9" w:right="-23"/>
              <w:rPr>
                <w:rStyle w:val="FontStyle41"/>
                <w:rFonts w:ascii="Times New Roman" w:hAnsi="Times New Roman" w:cs="Times New Roman"/>
                <w:sz w:val="18"/>
                <w:szCs w:val="18"/>
              </w:rPr>
            </w:pPr>
            <w:r w:rsidRPr="00487209">
              <w:rPr>
                <w:rFonts w:ascii="Times New Roman" w:hAnsi="Times New Roman"/>
                <w:sz w:val="18"/>
                <w:szCs w:val="18"/>
                <w:lang w:val="sr-Cyrl-CS"/>
              </w:rPr>
              <w:t xml:space="preserve">Именовано тело </w:t>
            </w:r>
            <w:r w:rsidR="00147811" w:rsidRPr="00487209">
              <w:rPr>
                <w:rFonts w:ascii="Times New Roman" w:hAnsi="Times New Roman"/>
                <w:sz w:val="18"/>
                <w:szCs w:val="18"/>
                <w:lang w:val="sr-Cyrl-CS"/>
              </w:rPr>
              <w:t xml:space="preserve">за оцењивање и верификацију сталности перформанси </w:t>
            </w:r>
            <w:r w:rsidR="00CF3C72">
              <w:rPr>
                <w:rFonts w:ascii="Times New Roman" w:hAnsi="Times New Roman"/>
                <w:sz w:val="18"/>
                <w:szCs w:val="18"/>
                <w:lang w:val="sr-Cyrl-CS"/>
              </w:rPr>
              <w:t>извештава</w:t>
            </w:r>
            <w:r w:rsidR="00CF3C72" w:rsidRPr="00487209">
              <w:rPr>
                <w:rFonts w:ascii="Times New Roman" w:hAnsi="Times New Roman"/>
                <w:sz w:val="18"/>
                <w:szCs w:val="18"/>
                <w:lang w:val="sr-Cyrl-CS"/>
              </w:rPr>
              <w:t xml:space="preserve"> </w:t>
            </w:r>
            <w:r w:rsidR="00147811" w:rsidRPr="00487209">
              <w:rPr>
                <w:rFonts w:ascii="Times New Roman" w:hAnsi="Times New Roman"/>
                <w:sz w:val="18"/>
                <w:szCs w:val="18"/>
                <w:lang w:val="sr-Cyrl-CS"/>
              </w:rPr>
              <w:t xml:space="preserve">министарство </w:t>
            </w:r>
            <w:r w:rsidR="00147811" w:rsidRPr="00487209">
              <w:rPr>
                <w:rFonts w:ascii="Times New Roman" w:hAnsi="Times New Roman"/>
                <w:sz w:val="18"/>
                <w:szCs w:val="18"/>
              </w:rPr>
              <w:t>надлежно за послове грађења</w:t>
            </w:r>
            <w:r w:rsidR="00147811" w:rsidRPr="00487209">
              <w:rPr>
                <w:rFonts w:ascii="Times New Roman" w:hAnsi="Times New Roman"/>
                <w:sz w:val="18"/>
                <w:szCs w:val="18"/>
                <w:lang w:val="sr-Cyrl-CS"/>
              </w:rPr>
              <w:t xml:space="preserve"> о следећем: </w:t>
            </w:r>
          </w:p>
          <w:p w14:paraId="4BA6D630" w14:textId="7C0FBBA7" w:rsidR="00147811" w:rsidRPr="00487209" w:rsidRDefault="00147811" w:rsidP="006535BF">
            <w:pPr>
              <w:pStyle w:val="Style6"/>
              <w:numPr>
                <w:ilvl w:val="0"/>
                <w:numId w:val="24"/>
              </w:numPr>
              <w:spacing w:before="240" w:line="240" w:lineRule="auto"/>
              <w:ind w:left="292" w:right="-23" w:hanging="283"/>
              <w:rPr>
                <w:rFonts w:ascii="Times New Roman" w:hAnsi="Times New Roman"/>
                <w:sz w:val="18"/>
                <w:szCs w:val="18"/>
                <w:lang w:val="sr-Cyrl-CS"/>
              </w:rPr>
            </w:pPr>
            <w:r w:rsidRPr="00487209">
              <w:rPr>
                <w:rFonts w:ascii="Times New Roman" w:hAnsi="Times New Roman"/>
                <w:sz w:val="18"/>
                <w:szCs w:val="18"/>
                <w:lang w:val="sr-Cyrl-CS"/>
              </w:rPr>
              <w:t>сваком одбијању издавања, ограничењу, обустављању или повлачењу сертификата;</w:t>
            </w:r>
          </w:p>
        </w:tc>
        <w:tc>
          <w:tcPr>
            <w:tcW w:w="458" w:type="pct"/>
            <w:shd w:val="clear" w:color="auto" w:fill="auto"/>
            <w:vAlign w:val="center"/>
          </w:tcPr>
          <w:p w14:paraId="5A73DD95"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2A08776B"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21DA18FE"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2E2E0030" w14:textId="77777777" w:rsidTr="007D5144">
        <w:trPr>
          <w:trHeight w:val="771"/>
          <w:jc w:val="center"/>
        </w:trPr>
        <w:tc>
          <w:tcPr>
            <w:tcW w:w="435" w:type="pct"/>
            <w:shd w:val="clear" w:color="auto" w:fill="auto"/>
            <w:vAlign w:val="center"/>
          </w:tcPr>
          <w:p w14:paraId="077B2FAA"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53.1.(b)</w:t>
            </w:r>
          </w:p>
        </w:tc>
        <w:tc>
          <w:tcPr>
            <w:tcW w:w="1369" w:type="pct"/>
            <w:gridSpan w:val="2"/>
            <w:shd w:val="clear" w:color="auto" w:fill="auto"/>
            <w:vAlign w:val="center"/>
          </w:tcPr>
          <w:p w14:paraId="1BE04362"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any circumstances affecting the scope of, and conditions for, notification;</w:t>
            </w:r>
          </w:p>
        </w:tc>
        <w:tc>
          <w:tcPr>
            <w:tcW w:w="429" w:type="pct"/>
            <w:shd w:val="clear" w:color="auto" w:fill="auto"/>
            <w:vAlign w:val="center"/>
          </w:tcPr>
          <w:p w14:paraId="0585CA0A" w14:textId="2C46F132" w:rsidR="001A264B"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78A4A763" w14:textId="56F5FC5D" w:rsidR="00147811" w:rsidRPr="00487209" w:rsidRDefault="001A264B"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6535BF" w:rsidRPr="00487209">
              <w:rPr>
                <w:rFonts w:ascii="Times New Roman" w:hAnsi="Times New Roman" w:cs="Times New Roman"/>
                <w:sz w:val="18"/>
                <w:szCs w:val="18"/>
                <w:lang w:val="ru-RU"/>
              </w:rPr>
              <w:t>45</w:t>
            </w:r>
            <w:r w:rsidR="00CB7D25" w:rsidRPr="00487209">
              <w:rPr>
                <w:rFonts w:ascii="Times New Roman" w:hAnsi="Times New Roman" w:cs="Times New Roman"/>
                <w:sz w:val="18"/>
                <w:szCs w:val="18"/>
                <w:lang w:val="ru-RU"/>
              </w:rPr>
              <w:t>.1.</w:t>
            </w:r>
            <w:r w:rsidR="00147811" w:rsidRPr="00487209">
              <w:rPr>
                <w:rFonts w:ascii="Times New Roman" w:hAnsi="Times New Roman" w:cs="Times New Roman"/>
                <w:sz w:val="18"/>
                <w:szCs w:val="18"/>
                <w:lang w:val="ru-RU"/>
              </w:rPr>
              <w:t>2)</w:t>
            </w:r>
          </w:p>
        </w:tc>
        <w:tc>
          <w:tcPr>
            <w:tcW w:w="1231" w:type="pct"/>
            <w:gridSpan w:val="2"/>
            <w:shd w:val="clear" w:color="auto" w:fill="auto"/>
            <w:vAlign w:val="center"/>
          </w:tcPr>
          <w:p w14:paraId="5FB68549" w14:textId="1A6B3614" w:rsidR="00147811" w:rsidRPr="00487209" w:rsidRDefault="00147811" w:rsidP="006535BF">
            <w:pPr>
              <w:pStyle w:val="Style6"/>
              <w:numPr>
                <w:ilvl w:val="0"/>
                <w:numId w:val="24"/>
              </w:numPr>
              <w:spacing w:before="240" w:line="240" w:lineRule="auto"/>
              <w:ind w:left="292" w:right="-23" w:hanging="283"/>
              <w:rPr>
                <w:rFonts w:ascii="Times New Roman" w:hAnsi="Times New Roman"/>
                <w:sz w:val="18"/>
                <w:szCs w:val="18"/>
              </w:rPr>
            </w:pPr>
            <w:r w:rsidRPr="00487209">
              <w:rPr>
                <w:rFonts w:ascii="Times New Roman" w:hAnsi="Times New Roman"/>
                <w:sz w:val="18"/>
                <w:szCs w:val="18"/>
                <w:lang w:val="sr-Cyrl-CS"/>
              </w:rPr>
              <w:t xml:space="preserve">свим околностима које утичу на обим примене и захтеве на основу којих је издато решење из чл. 38. став 1. </w:t>
            </w:r>
            <w:r w:rsidR="006356D2" w:rsidRPr="00487209">
              <w:rPr>
                <w:rFonts w:ascii="Times New Roman" w:hAnsi="Times New Roman"/>
                <w:sz w:val="18"/>
                <w:szCs w:val="18"/>
                <w:lang w:val="sr-Cyrl-CS"/>
              </w:rPr>
              <w:t>овог закона</w:t>
            </w:r>
            <w:r w:rsidRPr="00487209">
              <w:rPr>
                <w:rFonts w:ascii="Times New Roman" w:hAnsi="Times New Roman"/>
                <w:sz w:val="18"/>
                <w:szCs w:val="18"/>
                <w:lang w:val="sr-Cyrl-CS"/>
              </w:rPr>
              <w:t>;</w:t>
            </w:r>
          </w:p>
          <w:p w14:paraId="78243954" w14:textId="77777777" w:rsidR="00147811" w:rsidRPr="00487209" w:rsidRDefault="00147811" w:rsidP="006535BF">
            <w:pPr>
              <w:spacing w:before="240"/>
              <w:ind w:left="292" w:hanging="283"/>
              <w:jc w:val="both"/>
              <w:rPr>
                <w:rFonts w:ascii="Times New Roman" w:hAnsi="Times New Roman" w:cs="Times New Roman"/>
                <w:sz w:val="18"/>
                <w:szCs w:val="18"/>
                <w:lang w:val="sr-Cyrl-CS"/>
              </w:rPr>
            </w:pPr>
          </w:p>
        </w:tc>
        <w:tc>
          <w:tcPr>
            <w:tcW w:w="458" w:type="pct"/>
            <w:shd w:val="clear" w:color="auto" w:fill="auto"/>
            <w:vAlign w:val="center"/>
          </w:tcPr>
          <w:p w14:paraId="20B8365E"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560A6886"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858B53E"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5A341D2E" w14:textId="77777777" w:rsidTr="007D5144">
        <w:trPr>
          <w:trHeight w:val="771"/>
          <w:jc w:val="center"/>
        </w:trPr>
        <w:tc>
          <w:tcPr>
            <w:tcW w:w="435" w:type="pct"/>
            <w:shd w:val="clear" w:color="auto" w:fill="auto"/>
            <w:vAlign w:val="center"/>
          </w:tcPr>
          <w:p w14:paraId="35CA0429"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53.1.(c)</w:t>
            </w:r>
          </w:p>
        </w:tc>
        <w:tc>
          <w:tcPr>
            <w:tcW w:w="1369" w:type="pct"/>
            <w:gridSpan w:val="2"/>
            <w:shd w:val="clear" w:color="auto" w:fill="auto"/>
            <w:vAlign w:val="center"/>
          </w:tcPr>
          <w:p w14:paraId="220E60C1"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any request for information on assessment and/or verification of constancy of performance activities carried out which they have received from market surveillance authorities;</w:t>
            </w:r>
          </w:p>
        </w:tc>
        <w:tc>
          <w:tcPr>
            <w:tcW w:w="429" w:type="pct"/>
            <w:shd w:val="clear" w:color="auto" w:fill="auto"/>
            <w:vAlign w:val="center"/>
          </w:tcPr>
          <w:p w14:paraId="1CA28702" w14:textId="679FFA5D" w:rsidR="001A264B"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222228BA" w14:textId="36E937C7" w:rsidR="00147811" w:rsidRPr="00487209" w:rsidRDefault="001A264B"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6535BF" w:rsidRPr="00487209">
              <w:rPr>
                <w:rFonts w:ascii="Times New Roman" w:hAnsi="Times New Roman" w:cs="Times New Roman"/>
                <w:sz w:val="18"/>
                <w:szCs w:val="18"/>
                <w:lang w:val="ru-RU"/>
              </w:rPr>
              <w:t>45</w:t>
            </w:r>
            <w:r w:rsidR="00CB7D25" w:rsidRPr="00487209">
              <w:rPr>
                <w:rFonts w:ascii="Times New Roman" w:hAnsi="Times New Roman" w:cs="Times New Roman"/>
                <w:sz w:val="18"/>
                <w:szCs w:val="18"/>
                <w:lang w:val="ru-RU"/>
              </w:rPr>
              <w:t>.1.</w:t>
            </w:r>
            <w:r w:rsidR="00147811" w:rsidRPr="00487209">
              <w:rPr>
                <w:rFonts w:ascii="Times New Roman" w:hAnsi="Times New Roman" w:cs="Times New Roman"/>
                <w:sz w:val="18"/>
                <w:szCs w:val="18"/>
                <w:lang w:val="ru-RU"/>
              </w:rPr>
              <w:t>3)</w:t>
            </w:r>
          </w:p>
        </w:tc>
        <w:tc>
          <w:tcPr>
            <w:tcW w:w="1231" w:type="pct"/>
            <w:gridSpan w:val="2"/>
            <w:shd w:val="clear" w:color="auto" w:fill="auto"/>
            <w:vAlign w:val="center"/>
          </w:tcPr>
          <w:p w14:paraId="1381289C" w14:textId="77777777" w:rsidR="00147811" w:rsidRPr="00487209" w:rsidRDefault="00147811" w:rsidP="006535BF">
            <w:pPr>
              <w:pStyle w:val="Style6"/>
              <w:numPr>
                <w:ilvl w:val="0"/>
                <w:numId w:val="24"/>
              </w:numPr>
              <w:spacing w:before="240" w:line="240" w:lineRule="auto"/>
              <w:ind w:left="292" w:right="-23" w:hanging="283"/>
              <w:rPr>
                <w:rStyle w:val="FontStyle41"/>
                <w:rFonts w:ascii="Times New Roman" w:hAnsi="Times New Roman" w:cs="Times New Roman"/>
                <w:sz w:val="18"/>
                <w:szCs w:val="18"/>
                <w:lang w:val="sr-Cyrl-CS"/>
              </w:rPr>
            </w:pPr>
            <w:r w:rsidRPr="00487209">
              <w:rPr>
                <w:rFonts w:ascii="Times New Roman" w:hAnsi="Times New Roman"/>
                <w:sz w:val="18"/>
                <w:szCs w:val="18"/>
                <w:lang w:val="sr-Cyrl-CS"/>
              </w:rPr>
              <w:t>сваком захтеву за пружање информација о свим спроведеним активностима оцењивања и/или верификације сталности перформанси који су примили од органа тржишног надзора;</w:t>
            </w:r>
          </w:p>
          <w:p w14:paraId="5CFFB59F" w14:textId="77777777" w:rsidR="00147811" w:rsidRPr="00487209" w:rsidRDefault="00147811" w:rsidP="006535BF">
            <w:pPr>
              <w:spacing w:before="240"/>
              <w:ind w:left="292" w:hanging="283"/>
              <w:jc w:val="both"/>
              <w:rPr>
                <w:rFonts w:ascii="Times New Roman" w:hAnsi="Times New Roman" w:cs="Times New Roman"/>
                <w:sz w:val="18"/>
                <w:szCs w:val="18"/>
                <w:lang w:val="sr-Cyrl-CS"/>
              </w:rPr>
            </w:pPr>
          </w:p>
        </w:tc>
        <w:tc>
          <w:tcPr>
            <w:tcW w:w="458" w:type="pct"/>
            <w:shd w:val="clear" w:color="auto" w:fill="auto"/>
            <w:vAlign w:val="center"/>
          </w:tcPr>
          <w:p w14:paraId="58E78381"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44ACD789"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5D57D49"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5810A59F" w14:textId="77777777" w:rsidTr="007D5144">
        <w:trPr>
          <w:trHeight w:val="2956"/>
          <w:jc w:val="center"/>
        </w:trPr>
        <w:tc>
          <w:tcPr>
            <w:tcW w:w="435" w:type="pct"/>
            <w:shd w:val="clear" w:color="auto" w:fill="auto"/>
            <w:vAlign w:val="center"/>
          </w:tcPr>
          <w:p w14:paraId="1C504860"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53.1.(d)</w:t>
            </w:r>
          </w:p>
        </w:tc>
        <w:tc>
          <w:tcPr>
            <w:tcW w:w="1369" w:type="pct"/>
            <w:gridSpan w:val="2"/>
            <w:shd w:val="clear" w:color="auto" w:fill="auto"/>
            <w:vAlign w:val="center"/>
          </w:tcPr>
          <w:p w14:paraId="4EF55C79"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on request, third party tasks in accordance with the systems of assessment and verification of constancy of performance carried out within the scope of their notification and any other activity performed, including cross-border activities and subcontracting.</w:t>
            </w:r>
          </w:p>
        </w:tc>
        <w:tc>
          <w:tcPr>
            <w:tcW w:w="429" w:type="pct"/>
            <w:shd w:val="clear" w:color="auto" w:fill="auto"/>
            <w:vAlign w:val="center"/>
          </w:tcPr>
          <w:p w14:paraId="35E96061" w14:textId="6E168172" w:rsidR="001A264B"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55233B95" w14:textId="00622F42" w:rsidR="00147811" w:rsidRPr="00487209" w:rsidRDefault="001A264B"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6535BF" w:rsidRPr="00487209">
              <w:rPr>
                <w:rFonts w:ascii="Times New Roman" w:hAnsi="Times New Roman" w:cs="Times New Roman"/>
                <w:sz w:val="18"/>
                <w:szCs w:val="18"/>
                <w:lang w:val="ru-RU"/>
              </w:rPr>
              <w:t>45</w:t>
            </w:r>
            <w:r w:rsidR="00CB7D25" w:rsidRPr="00487209">
              <w:rPr>
                <w:rFonts w:ascii="Times New Roman" w:hAnsi="Times New Roman" w:cs="Times New Roman"/>
                <w:sz w:val="18"/>
                <w:szCs w:val="18"/>
                <w:lang w:val="ru-RU"/>
              </w:rPr>
              <w:t>.1.</w:t>
            </w:r>
            <w:r w:rsidR="00147811" w:rsidRPr="00487209">
              <w:rPr>
                <w:rFonts w:ascii="Times New Roman" w:hAnsi="Times New Roman" w:cs="Times New Roman"/>
                <w:sz w:val="18"/>
                <w:szCs w:val="18"/>
                <w:lang w:val="ru-RU"/>
              </w:rPr>
              <w:t>4)</w:t>
            </w:r>
          </w:p>
        </w:tc>
        <w:tc>
          <w:tcPr>
            <w:tcW w:w="1231" w:type="pct"/>
            <w:gridSpan w:val="2"/>
            <w:shd w:val="clear" w:color="auto" w:fill="auto"/>
            <w:vAlign w:val="center"/>
          </w:tcPr>
          <w:p w14:paraId="13749E84" w14:textId="71036014" w:rsidR="00147811" w:rsidRPr="007D5144" w:rsidRDefault="00147811" w:rsidP="007D5144">
            <w:pPr>
              <w:pStyle w:val="Style6"/>
              <w:numPr>
                <w:ilvl w:val="0"/>
                <w:numId w:val="24"/>
              </w:numPr>
              <w:spacing w:before="240" w:line="240" w:lineRule="auto"/>
              <w:ind w:left="292" w:right="-23" w:hanging="283"/>
              <w:rPr>
                <w:rFonts w:ascii="Times New Roman" w:hAnsi="Times New Roman"/>
                <w:sz w:val="18"/>
                <w:szCs w:val="18"/>
                <w:lang w:val="sr-Cyrl-CS"/>
              </w:rPr>
            </w:pPr>
            <w:r w:rsidRPr="00487209">
              <w:rPr>
                <w:rFonts w:ascii="Times New Roman" w:hAnsi="Times New Roman"/>
                <w:sz w:val="18"/>
                <w:szCs w:val="18"/>
                <w:lang w:val="sr-Cyrl-CS"/>
              </w:rPr>
              <w:t xml:space="preserve">задацима </w:t>
            </w:r>
            <w:r w:rsidR="00CF3C72">
              <w:rPr>
                <w:rFonts w:ascii="Times New Roman" w:hAnsi="Times New Roman"/>
                <w:sz w:val="18"/>
                <w:szCs w:val="18"/>
                <w:lang w:val="sr-Cyrl-CS"/>
              </w:rPr>
              <w:t xml:space="preserve">независне </w:t>
            </w:r>
            <w:r w:rsidRPr="00487209">
              <w:rPr>
                <w:rFonts w:ascii="Times New Roman" w:hAnsi="Times New Roman"/>
                <w:sz w:val="18"/>
                <w:szCs w:val="18"/>
                <w:lang w:val="sr-Cyrl-CS"/>
              </w:rPr>
              <w:t xml:space="preserve">треће стране у складу са системима оцењивања и верификације сталности перформансикоје је спровело у обиму за који испуњава </w:t>
            </w:r>
            <w:r w:rsidR="006535BF" w:rsidRPr="00487209">
              <w:rPr>
                <w:rFonts w:ascii="Times New Roman" w:hAnsi="Times New Roman"/>
                <w:sz w:val="18"/>
                <w:szCs w:val="18"/>
                <w:lang w:val="sr-Cyrl-CS"/>
              </w:rPr>
              <w:t>захтеве</w:t>
            </w:r>
            <w:r w:rsidRPr="00487209">
              <w:rPr>
                <w:rFonts w:ascii="Times New Roman" w:hAnsi="Times New Roman"/>
                <w:sz w:val="18"/>
                <w:szCs w:val="18"/>
                <w:lang w:val="sr-Cyrl-CS"/>
              </w:rPr>
              <w:t xml:space="preserve"> за обављање послова </w:t>
            </w:r>
            <w:r w:rsidR="00CF3C72">
              <w:rPr>
                <w:rFonts w:ascii="Times New Roman" w:hAnsi="Times New Roman"/>
                <w:sz w:val="18"/>
                <w:szCs w:val="18"/>
                <w:lang w:val="sr-Cyrl-CS"/>
              </w:rPr>
              <w:t xml:space="preserve">независне </w:t>
            </w:r>
            <w:r w:rsidRPr="00487209">
              <w:rPr>
                <w:rFonts w:ascii="Times New Roman" w:hAnsi="Times New Roman"/>
                <w:sz w:val="18"/>
                <w:szCs w:val="18"/>
                <w:lang w:val="sr-Cyrl-CS"/>
              </w:rPr>
              <w:t>треће стране и свим другим спроведеним активностима, укључујући прекограничне активности и подуговарањa</w:t>
            </w:r>
            <w:r w:rsidR="00CF3C72">
              <w:rPr>
                <w:rFonts w:ascii="Times New Roman" w:hAnsi="Times New Roman"/>
                <w:sz w:val="18"/>
                <w:szCs w:val="18"/>
                <w:lang w:val="sr-Cyrl-CS"/>
              </w:rPr>
              <w:t>, на захтев министарства надлежног за послове грађења</w:t>
            </w:r>
            <w:r w:rsidRPr="00487209">
              <w:rPr>
                <w:rFonts w:ascii="Times New Roman" w:hAnsi="Times New Roman"/>
                <w:sz w:val="18"/>
                <w:szCs w:val="18"/>
                <w:lang w:val="sr-Cyrl-CS"/>
              </w:rPr>
              <w:t xml:space="preserve">; </w:t>
            </w:r>
          </w:p>
        </w:tc>
        <w:tc>
          <w:tcPr>
            <w:tcW w:w="458" w:type="pct"/>
            <w:shd w:val="clear" w:color="auto" w:fill="auto"/>
            <w:vAlign w:val="center"/>
          </w:tcPr>
          <w:p w14:paraId="7BF1D6B6"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07C6FD21"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7E99BF3"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83F35A3" w14:textId="77777777" w:rsidTr="007D5144">
        <w:trPr>
          <w:trHeight w:val="771"/>
          <w:jc w:val="center"/>
        </w:trPr>
        <w:tc>
          <w:tcPr>
            <w:tcW w:w="435" w:type="pct"/>
            <w:shd w:val="clear" w:color="auto" w:fill="auto"/>
            <w:vAlign w:val="center"/>
          </w:tcPr>
          <w:p w14:paraId="11AEB7C8"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53.2.</w:t>
            </w:r>
          </w:p>
        </w:tc>
        <w:tc>
          <w:tcPr>
            <w:tcW w:w="1369" w:type="pct"/>
            <w:gridSpan w:val="2"/>
            <w:shd w:val="clear" w:color="auto" w:fill="auto"/>
            <w:vAlign w:val="center"/>
          </w:tcPr>
          <w:p w14:paraId="76CD2029"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Notified bodies shall provide the other bodies notified under this Regulation carrying out similar third party tasks in accordance with the systems of assessment and verification of constancy of performance and for construction products covered by the same harmonised technical specification with relevant information on issues relating to negative and, on request, positive results from these assessments and/or verifications.</w:t>
            </w:r>
          </w:p>
        </w:tc>
        <w:tc>
          <w:tcPr>
            <w:tcW w:w="429" w:type="pct"/>
            <w:shd w:val="clear" w:color="auto" w:fill="auto"/>
            <w:vAlign w:val="center"/>
          </w:tcPr>
          <w:p w14:paraId="36AD780F" w14:textId="37BC6D49" w:rsidR="006356D2" w:rsidRPr="00487209" w:rsidRDefault="00F249E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5F95E8D0" w14:textId="75DC5461" w:rsidR="00147811" w:rsidRPr="00487209" w:rsidRDefault="001A264B" w:rsidP="006535BF">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6535BF" w:rsidRPr="00487209">
              <w:rPr>
                <w:rFonts w:ascii="Times New Roman" w:hAnsi="Times New Roman" w:cs="Times New Roman"/>
                <w:sz w:val="18"/>
                <w:szCs w:val="18"/>
                <w:lang w:val="ru-RU"/>
              </w:rPr>
              <w:t>45</w:t>
            </w:r>
            <w:r w:rsidR="00CB7D25" w:rsidRPr="00487209">
              <w:rPr>
                <w:rFonts w:ascii="Times New Roman" w:hAnsi="Times New Roman" w:cs="Times New Roman"/>
                <w:sz w:val="18"/>
                <w:szCs w:val="18"/>
                <w:lang w:val="ru-RU"/>
              </w:rPr>
              <w:t>.2.</w:t>
            </w:r>
          </w:p>
        </w:tc>
        <w:tc>
          <w:tcPr>
            <w:tcW w:w="1231" w:type="pct"/>
            <w:gridSpan w:val="2"/>
            <w:shd w:val="clear" w:color="auto" w:fill="auto"/>
            <w:vAlign w:val="center"/>
          </w:tcPr>
          <w:p w14:paraId="15114C48" w14:textId="41427E42" w:rsidR="00147811" w:rsidRPr="00487209" w:rsidRDefault="00570603" w:rsidP="006C6323">
            <w:pPr>
              <w:pStyle w:val="Style29"/>
              <w:spacing w:before="240"/>
              <w:ind w:right="-23"/>
              <w:jc w:val="both"/>
              <w:rPr>
                <w:rFonts w:ascii="Times New Roman" w:hAnsi="Times New Roman"/>
                <w:sz w:val="18"/>
                <w:szCs w:val="18"/>
              </w:rPr>
            </w:pPr>
            <w:r w:rsidRPr="00487209">
              <w:rPr>
                <w:rFonts w:ascii="Times New Roman" w:hAnsi="Times New Roman"/>
                <w:sz w:val="18"/>
                <w:szCs w:val="18"/>
              </w:rPr>
              <w:t xml:space="preserve">Именовано </w:t>
            </w:r>
            <w:r w:rsidRPr="00487209">
              <w:rPr>
                <w:rFonts w:ascii="Times New Roman" w:hAnsi="Times New Roman"/>
                <w:sz w:val="18"/>
                <w:szCs w:val="18"/>
                <w:lang w:val="sr-Cyrl-CS"/>
              </w:rPr>
              <w:t xml:space="preserve">тело </w:t>
            </w:r>
            <w:r w:rsidR="00147811" w:rsidRPr="00487209">
              <w:rPr>
                <w:rFonts w:ascii="Times New Roman" w:hAnsi="Times New Roman"/>
                <w:sz w:val="18"/>
                <w:szCs w:val="18"/>
                <w:lang w:val="sr-Cyrl-CS"/>
              </w:rPr>
              <w:t xml:space="preserve">за оцењивање и верификацију сталности перформанси </w:t>
            </w:r>
            <w:r w:rsidR="00147811" w:rsidRPr="00487209">
              <w:rPr>
                <w:rFonts w:ascii="Times New Roman" w:hAnsi="Times New Roman"/>
                <w:sz w:val="18"/>
                <w:szCs w:val="18"/>
              </w:rPr>
              <w:t xml:space="preserve">пружа одговарајуће информације о питањима у вези са негативним, и на захтев, позитивним резултатима тих оцењивања и/или верификација </w:t>
            </w:r>
            <w:r w:rsidR="00147811" w:rsidRPr="00487209">
              <w:rPr>
                <w:rFonts w:ascii="Times New Roman" w:hAnsi="Times New Roman"/>
                <w:sz w:val="18"/>
                <w:szCs w:val="18"/>
                <w:lang w:val="sr-Cyrl-CS"/>
              </w:rPr>
              <w:t xml:space="preserve">другим телима, која према овој уредбом испуњавају захтеве за спровођење сличних задатака </w:t>
            </w:r>
            <w:r w:rsidR="009D071C">
              <w:rPr>
                <w:rFonts w:ascii="Times New Roman" w:hAnsi="Times New Roman"/>
                <w:sz w:val="18"/>
                <w:szCs w:val="18"/>
                <w:lang w:val="sr-Cyrl-CS"/>
              </w:rPr>
              <w:t xml:space="preserve">независне </w:t>
            </w:r>
            <w:r w:rsidR="00147811" w:rsidRPr="00487209">
              <w:rPr>
                <w:rFonts w:ascii="Times New Roman" w:hAnsi="Times New Roman"/>
                <w:sz w:val="18"/>
                <w:szCs w:val="18"/>
                <w:lang w:val="sr-Cyrl-CS"/>
              </w:rPr>
              <w:t xml:space="preserve">треће стране у складу са системима оцењивања и верификације сталности перформанси </w:t>
            </w:r>
            <w:r w:rsidRPr="00487209">
              <w:rPr>
                <w:rFonts w:ascii="Times New Roman" w:hAnsi="Times New Roman"/>
                <w:sz w:val="18"/>
                <w:szCs w:val="18"/>
                <w:lang w:val="sr-Cyrl-CS"/>
              </w:rPr>
              <w:t xml:space="preserve">за </w:t>
            </w:r>
            <w:r w:rsidR="00147811" w:rsidRPr="00487209">
              <w:rPr>
                <w:rFonts w:ascii="Times New Roman" w:hAnsi="Times New Roman"/>
                <w:sz w:val="18"/>
                <w:szCs w:val="18"/>
                <w:lang w:val="sr-Cyrl-CS"/>
              </w:rPr>
              <w:t>грађевинске производе обухваћене истом техничком спецификацијом или истим техничким прописом.</w:t>
            </w:r>
          </w:p>
          <w:p w14:paraId="53A81C07" w14:textId="77777777" w:rsidR="00147811" w:rsidRPr="00487209" w:rsidRDefault="00147811" w:rsidP="006C6323">
            <w:pPr>
              <w:spacing w:before="240"/>
              <w:jc w:val="center"/>
              <w:rPr>
                <w:rFonts w:ascii="Times New Roman" w:hAnsi="Times New Roman" w:cs="Times New Roman"/>
                <w:sz w:val="18"/>
                <w:szCs w:val="18"/>
                <w:lang w:val="sr-Cyrl-CS"/>
              </w:rPr>
            </w:pPr>
          </w:p>
        </w:tc>
        <w:tc>
          <w:tcPr>
            <w:tcW w:w="458" w:type="pct"/>
            <w:shd w:val="clear" w:color="auto" w:fill="auto"/>
            <w:vAlign w:val="center"/>
          </w:tcPr>
          <w:p w14:paraId="73482962"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32688392"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E8C5253"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4EA21DAA" w14:textId="77777777" w:rsidTr="007D5144">
        <w:trPr>
          <w:trHeight w:val="771"/>
          <w:jc w:val="center"/>
        </w:trPr>
        <w:tc>
          <w:tcPr>
            <w:tcW w:w="435" w:type="pct"/>
            <w:shd w:val="clear" w:color="auto" w:fill="auto"/>
            <w:vAlign w:val="center"/>
          </w:tcPr>
          <w:p w14:paraId="4BF96EE1" w14:textId="37E3A620"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54.</w:t>
            </w:r>
          </w:p>
        </w:tc>
        <w:tc>
          <w:tcPr>
            <w:tcW w:w="1369" w:type="pct"/>
            <w:gridSpan w:val="2"/>
            <w:shd w:val="clear" w:color="auto" w:fill="auto"/>
            <w:vAlign w:val="center"/>
          </w:tcPr>
          <w:p w14:paraId="3B1F7E36"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Commission shall provide for the organisation of exchange of experience between the Member States’ national authorities responsible for policy on notification.</w:t>
            </w:r>
          </w:p>
        </w:tc>
        <w:tc>
          <w:tcPr>
            <w:tcW w:w="429" w:type="pct"/>
            <w:shd w:val="clear" w:color="auto" w:fill="auto"/>
            <w:vAlign w:val="center"/>
          </w:tcPr>
          <w:p w14:paraId="4239BA9A"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3BB88FBF"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326F5825"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НП</w:t>
            </w:r>
          </w:p>
        </w:tc>
        <w:tc>
          <w:tcPr>
            <w:tcW w:w="598" w:type="pct"/>
            <w:gridSpan w:val="2"/>
            <w:shd w:val="clear" w:color="auto" w:fill="auto"/>
            <w:vAlign w:val="center"/>
          </w:tcPr>
          <w:p w14:paraId="56D1B277" w14:textId="32BA9BAC" w:rsidR="00B9474F" w:rsidRPr="00487209" w:rsidRDefault="00295C9D" w:rsidP="00BD1E56">
            <w:pPr>
              <w:spacing w:before="120" w:after="120"/>
              <w:ind w:firstLine="21"/>
              <w:jc w:val="both"/>
              <w:rPr>
                <w:rFonts w:ascii="Times New Roman" w:hAnsi="Times New Roman" w:cs="Times New Roman"/>
                <w:bCs/>
                <w:sz w:val="18"/>
                <w:szCs w:val="18"/>
                <w:lang w:val="sr-Cyrl-CS"/>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54.</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45B86907"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3C5B1FEE" w14:textId="77777777" w:rsidTr="007D5144">
        <w:trPr>
          <w:trHeight w:val="771"/>
          <w:jc w:val="center"/>
        </w:trPr>
        <w:tc>
          <w:tcPr>
            <w:tcW w:w="435" w:type="pct"/>
            <w:shd w:val="clear" w:color="auto" w:fill="auto"/>
            <w:vAlign w:val="center"/>
          </w:tcPr>
          <w:p w14:paraId="3C58E0B8"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55.</w:t>
            </w:r>
          </w:p>
        </w:tc>
        <w:tc>
          <w:tcPr>
            <w:tcW w:w="1369" w:type="pct"/>
            <w:gridSpan w:val="2"/>
            <w:shd w:val="clear" w:color="auto" w:fill="auto"/>
            <w:vAlign w:val="center"/>
          </w:tcPr>
          <w:p w14:paraId="38B1C424" w14:textId="77777777" w:rsidR="00EE5237" w:rsidRPr="00487209" w:rsidRDefault="00EE5237" w:rsidP="006C6323">
            <w:pPr>
              <w:spacing w:before="100" w:beforeAutospacing="1" w:after="100" w:afterAutospacing="1"/>
              <w:jc w:val="both"/>
              <w:rPr>
                <w:rFonts w:ascii="Times New Roman" w:hAnsi="Times New Roman" w:cs="Times New Roman"/>
                <w:sz w:val="18"/>
                <w:szCs w:val="18"/>
              </w:rPr>
            </w:pPr>
          </w:p>
          <w:p w14:paraId="16BE75FE"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Commission shall ensure that appropriate coordination and cooperation between bodies notified pursuant to Article 39 are put into place and properly operated in the form of a group of notified bodies.</w:t>
            </w:r>
          </w:p>
          <w:p w14:paraId="23C14DBE"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Member States shall ensure that the bodies notified by them participate in the work of that group, directly or by means of designated representatives, or shall ensure that the representatives of notified bodies are informed thereof.</w:t>
            </w:r>
          </w:p>
          <w:p w14:paraId="49D03BE7" w14:textId="77777777" w:rsidR="00EE5237" w:rsidRPr="00487209" w:rsidRDefault="00EE5237"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45A609BB" w14:textId="77777777" w:rsidR="00147811" w:rsidRDefault="009D071C" w:rsidP="007D5144">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01</w:t>
            </w:r>
          </w:p>
          <w:p w14:paraId="7BEAD03F" w14:textId="77777777" w:rsidR="009D071C" w:rsidRDefault="009D071C" w:rsidP="007D5144">
            <w:pPr>
              <w:spacing w:before="120" w:after="120"/>
              <w:ind w:firstLine="5"/>
              <w:jc w:val="center"/>
              <w:rPr>
                <w:rFonts w:ascii="Times New Roman" w:hAnsi="Times New Roman" w:cs="Times New Roman"/>
                <w:sz w:val="18"/>
                <w:szCs w:val="18"/>
                <w:lang w:val="ru-RU"/>
              </w:rPr>
            </w:pPr>
          </w:p>
          <w:p w14:paraId="5496EA81" w14:textId="17D63230" w:rsidR="009D071C" w:rsidRPr="00487209" w:rsidRDefault="009D071C" w:rsidP="007D5144">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46</w:t>
            </w:r>
          </w:p>
        </w:tc>
        <w:tc>
          <w:tcPr>
            <w:tcW w:w="1231" w:type="pct"/>
            <w:gridSpan w:val="2"/>
            <w:shd w:val="clear" w:color="auto" w:fill="auto"/>
            <w:vAlign w:val="center"/>
          </w:tcPr>
          <w:p w14:paraId="3CAF2BAF" w14:textId="14A9FBAB" w:rsidR="00147811" w:rsidRPr="00487209" w:rsidRDefault="009D071C" w:rsidP="007D5144">
            <w:pPr>
              <w:jc w:val="both"/>
              <w:rPr>
                <w:rFonts w:ascii="Times New Roman" w:hAnsi="Times New Roman" w:cs="Times New Roman"/>
                <w:sz w:val="18"/>
                <w:szCs w:val="18"/>
                <w:lang w:val="sr-Cyrl-CS"/>
              </w:rPr>
            </w:pPr>
            <w:r w:rsidRPr="009D071C">
              <w:rPr>
                <w:rFonts w:ascii="Times New Roman" w:hAnsi="Times New Roman" w:cs="Times New Roman"/>
                <w:sz w:val="18"/>
                <w:szCs w:val="18"/>
                <w:lang w:val="sr-Cyrl-CS"/>
              </w:rPr>
              <w:t>Именована тела за оцењивање и верфикацију сталности перформанси међусобно сарађују и координирају активности.</w:t>
            </w:r>
          </w:p>
        </w:tc>
        <w:tc>
          <w:tcPr>
            <w:tcW w:w="458" w:type="pct"/>
            <w:shd w:val="clear" w:color="auto" w:fill="auto"/>
            <w:vAlign w:val="center"/>
          </w:tcPr>
          <w:p w14:paraId="272BA3BB" w14:textId="48ADFD40" w:rsidR="00147811" w:rsidRPr="00487209" w:rsidRDefault="009D071C" w:rsidP="009D071C">
            <w:pPr>
              <w:spacing w:before="120" w:after="120"/>
              <w:jc w:val="center"/>
              <w:rPr>
                <w:rFonts w:ascii="Times New Roman" w:hAnsi="Times New Roman" w:cs="Times New Roman"/>
                <w:sz w:val="18"/>
                <w:szCs w:val="18"/>
              </w:rPr>
            </w:pPr>
            <w:r>
              <w:rPr>
                <w:rFonts w:ascii="Times New Roman" w:hAnsi="Times New Roman" w:cs="Times New Roman"/>
                <w:sz w:val="18"/>
                <w:szCs w:val="18"/>
                <w:lang w:val="sr-Cyrl-CS"/>
              </w:rPr>
              <w:t>ДУ</w:t>
            </w:r>
          </w:p>
        </w:tc>
        <w:tc>
          <w:tcPr>
            <w:tcW w:w="598" w:type="pct"/>
            <w:gridSpan w:val="2"/>
            <w:shd w:val="clear" w:color="auto" w:fill="auto"/>
            <w:vAlign w:val="center"/>
          </w:tcPr>
          <w:p w14:paraId="4D4BB083" w14:textId="39F6EC1B" w:rsidR="009D071C" w:rsidRDefault="008D53F2" w:rsidP="006C6323">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55.</w:t>
            </w:r>
            <w:r w:rsidR="00147811" w:rsidRPr="00487209">
              <w:rPr>
                <w:rFonts w:ascii="Times New Roman" w:hAnsi="Times New Roman" w:cs="Times New Roman"/>
                <w:sz w:val="18"/>
                <w:szCs w:val="18"/>
                <w:lang w:val="sr-Cyrl-CS"/>
              </w:rPr>
              <w:t xml:space="preserve"> Уредбе 305/2011 (ЕУ) није пренет</w:t>
            </w:r>
            <w:r w:rsidR="009D071C">
              <w:rPr>
                <w:rFonts w:ascii="Times New Roman" w:hAnsi="Times New Roman" w:cs="Times New Roman"/>
                <w:sz w:val="18"/>
                <w:szCs w:val="18"/>
                <w:lang w:val="sr-Cyrl-CS"/>
              </w:rPr>
              <w:t xml:space="preserve"> у потпуности због статуса нечланице.</w:t>
            </w:r>
          </w:p>
          <w:p w14:paraId="5034F787" w14:textId="2D52B2BE" w:rsidR="00147811" w:rsidRPr="00487209" w:rsidRDefault="004C3DFB" w:rsidP="009D071C">
            <w:pPr>
              <w:spacing w:before="120" w:after="120"/>
              <w:ind w:firstLine="21"/>
              <w:jc w:val="both"/>
              <w:rPr>
                <w:rFonts w:ascii="Times New Roman" w:hAnsi="Times New Roman" w:cs="Times New Roman"/>
                <w:sz w:val="18"/>
                <w:szCs w:val="18"/>
                <w:lang w:val="ru-RU"/>
              </w:rPr>
            </w:pPr>
            <w:r w:rsidRPr="004C3DFB">
              <w:rPr>
                <w:rFonts w:ascii="Times New Roman" w:hAnsi="Times New Roman" w:cs="Times New Roman"/>
                <w:sz w:val="18"/>
                <w:szCs w:val="18"/>
                <w:lang w:val="sr-Cyrl-CS"/>
              </w:rPr>
              <w:t>Потпуно усклађивање биће могуће након приступања ЕУ</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1B08D188"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72594E78" w14:textId="77777777" w:rsidTr="007D5144">
        <w:trPr>
          <w:trHeight w:val="830"/>
          <w:jc w:val="center"/>
        </w:trPr>
        <w:tc>
          <w:tcPr>
            <w:tcW w:w="435" w:type="pct"/>
            <w:shd w:val="clear" w:color="auto" w:fill="auto"/>
            <w:vAlign w:val="center"/>
          </w:tcPr>
          <w:p w14:paraId="0EE4B8EB"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56.1.</w:t>
            </w:r>
          </w:p>
        </w:tc>
        <w:tc>
          <w:tcPr>
            <w:tcW w:w="1369" w:type="pct"/>
            <w:gridSpan w:val="2"/>
            <w:shd w:val="clear" w:color="auto" w:fill="auto"/>
            <w:vAlign w:val="center"/>
          </w:tcPr>
          <w:p w14:paraId="7796BF79" w14:textId="77777777" w:rsidR="00820ADD" w:rsidRPr="00487209" w:rsidRDefault="00820ADD" w:rsidP="006C6323">
            <w:pPr>
              <w:jc w:val="both"/>
              <w:rPr>
                <w:rFonts w:ascii="Times New Roman" w:hAnsi="Times New Roman" w:cs="Times New Roman"/>
                <w:sz w:val="18"/>
                <w:szCs w:val="18"/>
                <w:lang w:val="sr-Cyrl-CS"/>
              </w:rPr>
            </w:pPr>
          </w:p>
          <w:p w14:paraId="6D3C7652"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Where the market surveillance authorities of one Member State have taken action pursuant to Article 20 of Regulation (EC) No 765/2008 or where they have sufficient reason to believe that a construction product covered by a harmonised standard or for which a European Technical Assessment has been issued does not achieve the declared performance and presents a risk for the fulfilment of the basic requirements for construction works covered by this Regulation, they shall carry out an evaluation in relation to the product concerned covering the respective requirements laid down by this Regulation. The relevant economic operators shall cooperate as necessary with the market surveillance authorities.</w:t>
            </w:r>
          </w:p>
          <w:p w14:paraId="4394213F" w14:textId="77777777" w:rsidR="00820ADD" w:rsidRPr="00487209" w:rsidRDefault="00820ADD" w:rsidP="006C6323">
            <w:pPr>
              <w:jc w:val="both"/>
              <w:rPr>
                <w:rFonts w:ascii="Times New Roman" w:hAnsi="Times New Roman" w:cs="Times New Roman"/>
                <w:sz w:val="18"/>
                <w:szCs w:val="18"/>
                <w:lang w:val="sr-Cyrl-CS"/>
              </w:rPr>
            </w:pPr>
          </w:p>
          <w:p w14:paraId="24CC58A9"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Where, in the course of that evaluation, the market surveillance authorities find that the construction product does not comply with the requirements laid down in this Regulation, they shall without delay require the relevant </w:t>
            </w:r>
            <w:r w:rsidRPr="00487209">
              <w:rPr>
                <w:rFonts w:ascii="Times New Roman" w:hAnsi="Times New Roman" w:cs="Times New Roman"/>
                <w:sz w:val="18"/>
                <w:szCs w:val="18"/>
                <w:lang w:val="sr-Cyrl-CS"/>
              </w:rPr>
              <w:lastRenderedPageBreak/>
              <w:t>economic operator to take all appropriate corrective actions to bring the product into compliance with those requirements, notably with the declared performance, or to withdraw the product from the market, or recall it within a reasonable period, commensurate with the nature of the risk, as they may prescribe.</w:t>
            </w:r>
          </w:p>
          <w:p w14:paraId="4E721F04"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market surveillance authorities shall inform the notified body accordingly, if a notified body is involved.</w:t>
            </w:r>
          </w:p>
          <w:p w14:paraId="0B1CAB35"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Article 21 of Regulation (EC) No 765/2008 shall apply to the measures referred to in the second subparagraph of this paragraph.</w:t>
            </w:r>
          </w:p>
        </w:tc>
        <w:tc>
          <w:tcPr>
            <w:tcW w:w="429" w:type="pct"/>
            <w:shd w:val="clear" w:color="auto" w:fill="auto"/>
            <w:vAlign w:val="center"/>
          </w:tcPr>
          <w:p w14:paraId="65E0C00E" w14:textId="77777777" w:rsidR="0001515C" w:rsidRPr="00487209" w:rsidRDefault="0001515C" w:rsidP="006C6323">
            <w:pPr>
              <w:spacing w:before="120" w:after="120"/>
              <w:ind w:firstLine="5"/>
              <w:jc w:val="center"/>
              <w:rPr>
                <w:rFonts w:ascii="Times New Roman" w:hAnsi="Times New Roman" w:cs="Times New Roman"/>
                <w:sz w:val="18"/>
                <w:szCs w:val="18"/>
                <w:lang w:val="ru-RU"/>
              </w:rPr>
            </w:pPr>
          </w:p>
          <w:p w14:paraId="7A34D4F0" w14:textId="77777777" w:rsidR="0001515C" w:rsidRPr="00487209" w:rsidRDefault="0001515C" w:rsidP="006C6323">
            <w:pPr>
              <w:spacing w:before="120" w:after="120"/>
              <w:ind w:firstLine="5"/>
              <w:jc w:val="center"/>
              <w:rPr>
                <w:rFonts w:ascii="Times New Roman" w:hAnsi="Times New Roman" w:cs="Times New Roman"/>
                <w:sz w:val="18"/>
                <w:szCs w:val="18"/>
                <w:lang w:val="ru-RU"/>
              </w:rPr>
            </w:pPr>
          </w:p>
          <w:p w14:paraId="57DA050E" w14:textId="77777777" w:rsidR="0001515C" w:rsidRPr="00487209" w:rsidRDefault="0001515C" w:rsidP="006C6323">
            <w:pPr>
              <w:spacing w:before="120" w:after="120"/>
              <w:ind w:firstLine="5"/>
              <w:jc w:val="center"/>
              <w:rPr>
                <w:rFonts w:ascii="Times New Roman" w:hAnsi="Times New Roman" w:cs="Times New Roman"/>
                <w:sz w:val="18"/>
                <w:szCs w:val="18"/>
                <w:lang w:val="ru-RU"/>
              </w:rPr>
            </w:pPr>
          </w:p>
          <w:p w14:paraId="6200CC51" w14:textId="77777777" w:rsidR="001A264B" w:rsidRPr="00487209" w:rsidRDefault="001A264B"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53AB1E49" w14:textId="719B5F05" w:rsidR="00147811" w:rsidRPr="00487209" w:rsidRDefault="001A264B"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C94DCF">
              <w:rPr>
                <w:rFonts w:ascii="Times New Roman" w:hAnsi="Times New Roman" w:cs="Times New Roman"/>
                <w:sz w:val="18"/>
                <w:szCs w:val="18"/>
                <w:lang w:val="ru-RU"/>
              </w:rPr>
              <w:t>56</w:t>
            </w:r>
            <w:r w:rsidR="00147811" w:rsidRPr="00487209">
              <w:rPr>
                <w:rFonts w:ascii="Times New Roman" w:hAnsi="Times New Roman" w:cs="Times New Roman"/>
                <w:sz w:val="18"/>
                <w:szCs w:val="18"/>
                <w:lang w:val="ru-RU"/>
              </w:rPr>
              <w:t>.1.</w:t>
            </w:r>
          </w:p>
          <w:p w14:paraId="66B5AEB5" w14:textId="77777777" w:rsidR="00147811" w:rsidRPr="00487209" w:rsidRDefault="00147811" w:rsidP="006C6323">
            <w:pPr>
              <w:spacing w:before="120" w:after="120"/>
              <w:ind w:firstLine="5"/>
              <w:jc w:val="center"/>
              <w:rPr>
                <w:rFonts w:ascii="Times New Roman" w:hAnsi="Times New Roman" w:cs="Times New Roman"/>
                <w:sz w:val="18"/>
                <w:szCs w:val="18"/>
                <w:lang w:val="ru-RU"/>
              </w:rPr>
            </w:pPr>
          </w:p>
          <w:p w14:paraId="62FC4DF0" w14:textId="77777777" w:rsidR="00147811" w:rsidRPr="00487209" w:rsidRDefault="00147811" w:rsidP="006C6323">
            <w:pPr>
              <w:spacing w:before="120" w:after="120"/>
              <w:ind w:firstLine="5"/>
              <w:jc w:val="center"/>
              <w:rPr>
                <w:rFonts w:ascii="Times New Roman" w:hAnsi="Times New Roman" w:cs="Times New Roman"/>
                <w:sz w:val="18"/>
                <w:szCs w:val="18"/>
                <w:lang w:val="ru-RU"/>
              </w:rPr>
            </w:pPr>
          </w:p>
          <w:p w14:paraId="0446D785" w14:textId="77777777" w:rsidR="00147811" w:rsidRPr="00487209" w:rsidRDefault="00147811" w:rsidP="006C6323">
            <w:pPr>
              <w:spacing w:before="120" w:after="120"/>
              <w:rPr>
                <w:rFonts w:ascii="Times New Roman" w:hAnsi="Times New Roman" w:cs="Times New Roman"/>
                <w:sz w:val="18"/>
                <w:szCs w:val="18"/>
                <w:lang w:val="ru-RU"/>
              </w:rPr>
            </w:pPr>
          </w:p>
          <w:p w14:paraId="2CC6A8F0" w14:textId="77777777" w:rsidR="00147811" w:rsidRPr="00487209" w:rsidRDefault="00147811" w:rsidP="006C6323">
            <w:pPr>
              <w:spacing w:before="120" w:after="120"/>
              <w:ind w:firstLine="5"/>
              <w:jc w:val="center"/>
              <w:rPr>
                <w:rFonts w:ascii="Times New Roman" w:hAnsi="Times New Roman" w:cs="Times New Roman"/>
                <w:sz w:val="18"/>
                <w:szCs w:val="18"/>
                <w:lang w:val="ru-RU"/>
              </w:rPr>
            </w:pPr>
          </w:p>
          <w:p w14:paraId="5C4BCBB0" w14:textId="77777777" w:rsidR="0001515C" w:rsidRPr="00487209" w:rsidRDefault="0001515C" w:rsidP="006C6323">
            <w:pPr>
              <w:spacing w:before="120" w:after="120"/>
              <w:ind w:firstLine="5"/>
              <w:jc w:val="center"/>
              <w:rPr>
                <w:rFonts w:ascii="Times New Roman" w:hAnsi="Times New Roman" w:cs="Times New Roman"/>
                <w:sz w:val="18"/>
                <w:szCs w:val="18"/>
                <w:lang w:val="ru-RU"/>
              </w:rPr>
            </w:pPr>
          </w:p>
          <w:p w14:paraId="62D20A3C" w14:textId="7EF0C36C" w:rsidR="001A264B"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2EDF7DD5" w14:textId="327CB4F8" w:rsidR="00147811" w:rsidRPr="00487209" w:rsidRDefault="001A264B"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C94DCF">
              <w:rPr>
                <w:rFonts w:ascii="Times New Roman" w:hAnsi="Times New Roman" w:cs="Times New Roman"/>
                <w:sz w:val="18"/>
                <w:szCs w:val="18"/>
                <w:lang w:val="ru-RU"/>
              </w:rPr>
              <w:t>56</w:t>
            </w:r>
            <w:r w:rsidR="00147811" w:rsidRPr="00487209">
              <w:rPr>
                <w:rFonts w:ascii="Times New Roman" w:hAnsi="Times New Roman" w:cs="Times New Roman"/>
                <w:sz w:val="18"/>
                <w:szCs w:val="18"/>
                <w:lang w:val="ru-RU"/>
              </w:rPr>
              <w:t>.2.</w:t>
            </w:r>
          </w:p>
          <w:p w14:paraId="4EEB2CA5" w14:textId="77777777" w:rsidR="00147811" w:rsidRPr="00487209" w:rsidRDefault="00147811" w:rsidP="006C6323">
            <w:pPr>
              <w:spacing w:before="120" w:after="120"/>
              <w:ind w:firstLine="5"/>
              <w:jc w:val="center"/>
              <w:rPr>
                <w:rFonts w:ascii="Times New Roman" w:hAnsi="Times New Roman" w:cs="Times New Roman"/>
                <w:sz w:val="18"/>
                <w:szCs w:val="18"/>
                <w:lang w:val="ru-RU"/>
              </w:rPr>
            </w:pPr>
          </w:p>
          <w:p w14:paraId="2F1C8EBC" w14:textId="77777777" w:rsidR="00147811" w:rsidRPr="00487209" w:rsidRDefault="00147811" w:rsidP="006C6323">
            <w:pPr>
              <w:spacing w:before="120" w:after="120"/>
              <w:ind w:firstLine="5"/>
              <w:jc w:val="center"/>
              <w:rPr>
                <w:rFonts w:ascii="Times New Roman" w:hAnsi="Times New Roman" w:cs="Times New Roman"/>
                <w:sz w:val="18"/>
                <w:szCs w:val="18"/>
                <w:lang w:val="ru-RU"/>
              </w:rPr>
            </w:pPr>
          </w:p>
          <w:p w14:paraId="759C7F23" w14:textId="77777777" w:rsidR="00147811" w:rsidRPr="00487209" w:rsidRDefault="00147811" w:rsidP="006C6323">
            <w:pPr>
              <w:spacing w:before="120" w:after="120"/>
              <w:ind w:firstLine="5"/>
              <w:jc w:val="center"/>
              <w:rPr>
                <w:rFonts w:ascii="Times New Roman" w:hAnsi="Times New Roman" w:cs="Times New Roman"/>
                <w:sz w:val="18"/>
                <w:szCs w:val="18"/>
                <w:lang w:val="ru-RU"/>
              </w:rPr>
            </w:pPr>
          </w:p>
          <w:p w14:paraId="0FC64E70" w14:textId="77777777" w:rsidR="00147811" w:rsidRPr="00487209" w:rsidRDefault="00147811" w:rsidP="006C6323">
            <w:pPr>
              <w:spacing w:before="120" w:after="120"/>
              <w:rPr>
                <w:rFonts w:ascii="Times New Roman" w:hAnsi="Times New Roman" w:cs="Times New Roman"/>
                <w:sz w:val="18"/>
                <w:szCs w:val="18"/>
                <w:lang w:val="ru-RU"/>
              </w:rPr>
            </w:pPr>
          </w:p>
          <w:p w14:paraId="45BBE7BE" w14:textId="77777777" w:rsidR="004B2EB4" w:rsidRPr="00487209" w:rsidRDefault="004B2EB4" w:rsidP="006C6323">
            <w:pPr>
              <w:spacing w:before="120" w:after="120"/>
              <w:ind w:firstLine="5"/>
              <w:jc w:val="center"/>
              <w:rPr>
                <w:rFonts w:ascii="Times New Roman" w:hAnsi="Times New Roman" w:cs="Times New Roman"/>
                <w:sz w:val="18"/>
                <w:szCs w:val="18"/>
                <w:lang w:val="ru-RU"/>
              </w:rPr>
            </w:pPr>
          </w:p>
          <w:p w14:paraId="54B641AF" w14:textId="77777777" w:rsidR="004B2EB4" w:rsidRPr="00487209" w:rsidRDefault="004B2EB4" w:rsidP="006C6323">
            <w:pPr>
              <w:spacing w:before="120" w:after="120"/>
              <w:ind w:firstLine="5"/>
              <w:jc w:val="center"/>
              <w:rPr>
                <w:rFonts w:ascii="Times New Roman" w:hAnsi="Times New Roman" w:cs="Times New Roman"/>
                <w:sz w:val="18"/>
                <w:szCs w:val="18"/>
                <w:lang w:val="ru-RU"/>
              </w:rPr>
            </w:pPr>
          </w:p>
          <w:p w14:paraId="6F02B25C" w14:textId="77777777" w:rsidR="004B2EB4" w:rsidRPr="00487209" w:rsidRDefault="004B2EB4" w:rsidP="006C6323">
            <w:pPr>
              <w:spacing w:before="120" w:after="120"/>
              <w:ind w:firstLine="5"/>
              <w:jc w:val="center"/>
              <w:rPr>
                <w:rFonts w:ascii="Times New Roman" w:hAnsi="Times New Roman" w:cs="Times New Roman"/>
                <w:sz w:val="18"/>
                <w:szCs w:val="18"/>
                <w:lang w:val="ru-RU"/>
              </w:rPr>
            </w:pPr>
          </w:p>
          <w:p w14:paraId="558160D1" w14:textId="77777777" w:rsidR="004B2EB4" w:rsidRPr="00487209" w:rsidRDefault="004B2EB4" w:rsidP="006C6323">
            <w:pPr>
              <w:spacing w:before="120" w:after="120"/>
              <w:ind w:firstLine="5"/>
              <w:jc w:val="center"/>
              <w:rPr>
                <w:rFonts w:ascii="Times New Roman" w:hAnsi="Times New Roman" w:cs="Times New Roman"/>
                <w:sz w:val="18"/>
                <w:szCs w:val="18"/>
                <w:lang w:val="ru-RU"/>
              </w:rPr>
            </w:pPr>
          </w:p>
          <w:p w14:paraId="5F6C1342" w14:textId="1C7F1C0D" w:rsidR="00147811" w:rsidRPr="00487209" w:rsidRDefault="00C94DCF" w:rsidP="006C6323">
            <w:pPr>
              <w:spacing w:before="120" w:after="120"/>
              <w:ind w:firstLine="5"/>
              <w:jc w:val="center"/>
              <w:rPr>
                <w:rFonts w:ascii="Times New Roman" w:hAnsi="Times New Roman" w:cs="Times New Roman"/>
                <w:sz w:val="18"/>
                <w:szCs w:val="18"/>
                <w:lang w:val="ru-RU"/>
              </w:rPr>
            </w:pPr>
            <w:r>
              <w:rPr>
                <w:rFonts w:ascii="Times New Roman" w:hAnsi="Times New Roman" w:cs="Times New Roman"/>
                <w:sz w:val="18"/>
                <w:szCs w:val="18"/>
                <w:lang w:val="ru-RU"/>
              </w:rPr>
              <w:t>56</w:t>
            </w:r>
            <w:r w:rsidR="00147811" w:rsidRPr="00487209">
              <w:rPr>
                <w:rFonts w:ascii="Times New Roman" w:hAnsi="Times New Roman" w:cs="Times New Roman"/>
                <w:sz w:val="18"/>
                <w:szCs w:val="18"/>
                <w:lang w:val="ru-RU"/>
              </w:rPr>
              <w:t>.3.</w:t>
            </w:r>
          </w:p>
        </w:tc>
        <w:tc>
          <w:tcPr>
            <w:tcW w:w="1231" w:type="pct"/>
            <w:gridSpan w:val="2"/>
            <w:shd w:val="clear" w:color="auto" w:fill="auto"/>
            <w:vAlign w:val="center"/>
          </w:tcPr>
          <w:p w14:paraId="508FD842" w14:textId="77777777" w:rsidR="00C94DCF" w:rsidRPr="00C94DCF" w:rsidRDefault="00C94DCF" w:rsidP="00C94DCF">
            <w:pPr>
              <w:spacing w:before="120"/>
              <w:ind w:right="-23"/>
              <w:jc w:val="both"/>
              <w:outlineLvl w:val="0"/>
              <w:rPr>
                <w:rFonts w:ascii="Times New Roman" w:eastAsia="Times New Roman" w:hAnsi="Times New Roman" w:cs="Times New Roman"/>
                <w:sz w:val="18"/>
                <w:szCs w:val="18"/>
                <w:lang w:val="sr-Cyrl-CS"/>
              </w:rPr>
            </w:pPr>
            <w:r w:rsidRPr="00C94DCF">
              <w:rPr>
                <w:rFonts w:ascii="Times New Roman" w:eastAsia="Times New Roman" w:hAnsi="Times New Roman" w:cs="Times New Roman"/>
                <w:sz w:val="18"/>
                <w:szCs w:val="18"/>
                <w:lang w:val="sr-Cyrl-CS"/>
              </w:rPr>
              <w:lastRenderedPageBreak/>
              <w:t xml:space="preserve">Када органи тржишног надзора предузимају мере у складу са законом којим се уређује тржишни надзор или кад имају основану сумњу да грађевински производ не поседује перформансе наведене у декларацији о перформансама и представља озбиљан ризик по испуњење основних захтева за објекте, органи тржишног надзора спроводе проверу тог производа која обухвата проверу испуњености одговарајућих захтева утврђених овим законом и прописима донетим на основу овог закона. </w:t>
            </w:r>
          </w:p>
          <w:p w14:paraId="396834B2" w14:textId="77777777" w:rsidR="00C94DCF" w:rsidRPr="00C94DCF" w:rsidRDefault="00C94DCF" w:rsidP="00C94DCF">
            <w:pPr>
              <w:spacing w:before="120"/>
              <w:ind w:right="-23"/>
              <w:jc w:val="both"/>
              <w:outlineLvl w:val="0"/>
              <w:rPr>
                <w:rFonts w:ascii="Times New Roman" w:eastAsia="Times New Roman" w:hAnsi="Times New Roman" w:cs="Times New Roman"/>
                <w:sz w:val="18"/>
                <w:szCs w:val="18"/>
                <w:lang w:val="sr-Cyrl-CS"/>
              </w:rPr>
            </w:pPr>
            <w:r w:rsidRPr="00C94DCF">
              <w:rPr>
                <w:rFonts w:ascii="Times New Roman" w:eastAsia="Times New Roman" w:hAnsi="Times New Roman" w:cs="Times New Roman"/>
                <w:sz w:val="18"/>
                <w:szCs w:val="18"/>
                <w:lang w:val="sr-Cyrl-CS"/>
              </w:rPr>
              <w:t xml:space="preserve">Када, у току провере из става 1. овог члана, надлежни орган тржишног надзора утврди да грађевински производ није усаглашен са захтевима из овог закона, техничке спецификације или техничког прописа и да представља озбиљан ризик, укључујући озбиљан ризик чије последице нису тренутне и захтевају </w:t>
            </w:r>
            <w:r w:rsidRPr="00C94DCF">
              <w:rPr>
                <w:rFonts w:ascii="Times New Roman" w:eastAsia="Times New Roman" w:hAnsi="Times New Roman" w:cs="Times New Roman"/>
                <w:sz w:val="18"/>
                <w:szCs w:val="18"/>
                <w:lang w:val="sr-Cyrl-CS"/>
              </w:rPr>
              <w:lastRenderedPageBreak/>
              <w:t>хитно поступање, он без одлагања налаже надзираном субјекту који грађевински производ ставља или чини доступним на тржишту да у примереном року предузме потребне корективне мере како би грађевински производ ускладио са прописаним захтевима или обезбеђује да грађевински производ буде опозван или повучен, или да се забрани његово стављање или испорука на тржиште.</w:t>
            </w:r>
          </w:p>
          <w:p w14:paraId="70DF1F2C" w14:textId="22691DFC" w:rsidR="00B50FD1" w:rsidRPr="00487209" w:rsidRDefault="00C94DCF" w:rsidP="00B50FD1">
            <w:pPr>
              <w:spacing w:before="120"/>
              <w:ind w:right="-23"/>
              <w:jc w:val="both"/>
              <w:outlineLvl w:val="0"/>
              <w:rPr>
                <w:rFonts w:ascii="Times New Roman" w:eastAsia="Times New Roman" w:hAnsi="Times New Roman" w:cs="Times New Roman"/>
                <w:sz w:val="18"/>
                <w:szCs w:val="18"/>
                <w:lang w:val="sr-Cyrl-CS"/>
              </w:rPr>
            </w:pPr>
            <w:r w:rsidRPr="00C94DCF">
              <w:rPr>
                <w:rFonts w:ascii="Times New Roman" w:eastAsia="Times New Roman" w:hAnsi="Times New Roman" w:cs="Times New Roman"/>
                <w:sz w:val="18"/>
                <w:szCs w:val="18"/>
                <w:lang w:val="sr-Cyrl-CS"/>
              </w:rPr>
              <w:t>Ако је у поступак оцењивања и верификације сталности перформаси грађевинских производа укључено именовано тело за оцењивање и верификацију сталности перформанси, надлежни орган тржишног надзора, у складу са законом којим се уређује тржишни надзор, обавештава то тело.</w:t>
            </w:r>
          </w:p>
          <w:p w14:paraId="5199E69D"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1830EC1B" w14:textId="77777777" w:rsidR="00147811" w:rsidRPr="00487209" w:rsidRDefault="00B704E2"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Д</w:t>
            </w:r>
            <w:r w:rsidR="00147811" w:rsidRPr="00487209">
              <w:rPr>
                <w:rFonts w:ascii="Times New Roman" w:hAnsi="Times New Roman" w:cs="Times New Roman"/>
                <w:sz w:val="18"/>
                <w:szCs w:val="18"/>
                <w:lang w:val="sr-Cyrl-CS"/>
              </w:rPr>
              <w:t>У</w:t>
            </w:r>
          </w:p>
        </w:tc>
        <w:tc>
          <w:tcPr>
            <w:tcW w:w="598" w:type="pct"/>
            <w:gridSpan w:val="2"/>
            <w:shd w:val="clear" w:color="auto" w:fill="auto"/>
            <w:vAlign w:val="center"/>
          </w:tcPr>
          <w:p w14:paraId="27DE7DD5" w14:textId="2E66FC33" w:rsidR="00147811" w:rsidRPr="00487209" w:rsidRDefault="00CC5598" w:rsidP="00C94DCF">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w:t>
            </w:r>
            <w:r w:rsidR="00C94DCF">
              <w:rPr>
                <w:rFonts w:ascii="Times New Roman" w:hAnsi="Times New Roman" w:cs="Times New Roman"/>
                <w:sz w:val="18"/>
                <w:szCs w:val="18"/>
                <w:lang w:val="ru-RU"/>
              </w:rPr>
              <w:t>56</w:t>
            </w:r>
            <w:r>
              <w:rPr>
                <w:rFonts w:ascii="Times New Roman" w:hAnsi="Times New Roman" w:cs="Times New Roman"/>
                <w:sz w:val="18"/>
                <w:szCs w:val="18"/>
                <w:lang w:val="ru-RU"/>
              </w:rPr>
              <w:t>. ст. 1</w:t>
            </w:r>
            <w:r w:rsidR="00147811" w:rsidRPr="00487209">
              <w:rPr>
                <w:rFonts w:ascii="Times New Roman" w:hAnsi="Times New Roman" w:cs="Times New Roman"/>
                <w:sz w:val="18"/>
                <w:szCs w:val="18"/>
                <w:lang w:val="ru-RU"/>
              </w:rPr>
              <w:t xml:space="preserve">, 2. и 3.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sidR="00147811" w:rsidRPr="00487209">
              <w:rPr>
                <w:rFonts w:ascii="Times New Roman" w:hAnsi="Times New Roman" w:cs="Times New Roman"/>
                <w:sz w:val="18"/>
                <w:szCs w:val="18"/>
                <w:lang w:val="ru-RU"/>
              </w:rPr>
              <w:t xml:space="preserve"> је </w:t>
            </w:r>
            <w:r w:rsidR="00B704E2" w:rsidRPr="00487209">
              <w:rPr>
                <w:rFonts w:ascii="Times New Roman" w:hAnsi="Times New Roman" w:cs="Times New Roman"/>
                <w:sz w:val="18"/>
                <w:szCs w:val="18"/>
                <w:lang w:val="ru-RU"/>
              </w:rPr>
              <w:t>делимич</w:t>
            </w:r>
            <w:r w:rsidR="00B9474F" w:rsidRPr="00487209">
              <w:rPr>
                <w:rFonts w:ascii="Times New Roman" w:hAnsi="Times New Roman" w:cs="Times New Roman"/>
                <w:sz w:val="18"/>
                <w:szCs w:val="18"/>
                <w:lang w:val="ru-RU"/>
              </w:rPr>
              <w:t xml:space="preserve">но </w:t>
            </w:r>
            <w:r w:rsidR="00147811" w:rsidRPr="00487209">
              <w:rPr>
                <w:rFonts w:ascii="Times New Roman" w:hAnsi="Times New Roman" w:cs="Times New Roman"/>
                <w:sz w:val="18"/>
                <w:szCs w:val="18"/>
                <w:lang w:val="ru-RU"/>
              </w:rPr>
              <w:t>уск</w:t>
            </w:r>
            <w:r>
              <w:rPr>
                <w:rFonts w:ascii="Times New Roman" w:hAnsi="Times New Roman" w:cs="Times New Roman"/>
                <w:sz w:val="18"/>
                <w:szCs w:val="18"/>
                <w:lang w:val="ru-RU"/>
              </w:rPr>
              <w:t>лађен са чланом</w:t>
            </w:r>
            <w:r w:rsidR="00147811" w:rsidRPr="00487209">
              <w:rPr>
                <w:rFonts w:ascii="Times New Roman" w:hAnsi="Times New Roman" w:cs="Times New Roman"/>
                <w:sz w:val="18"/>
                <w:szCs w:val="18"/>
                <w:lang w:val="ru-RU"/>
              </w:rPr>
              <w:t xml:space="preserve"> </w:t>
            </w:r>
            <w:r w:rsidR="004B2EB4" w:rsidRPr="00487209">
              <w:rPr>
                <w:rFonts w:ascii="Times New Roman" w:hAnsi="Times New Roman" w:cs="Times New Roman"/>
                <w:sz w:val="18"/>
                <w:szCs w:val="18"/>
                <w:lang w:val="sr-Cyrl-CS"/>
              </w:rPr>
              <w:t>56.1</w:t>
            </w:r>
            <w:r w:rsidR="00147811" w:rsidRPr="00487209">
              <w:rPr>
                <w:rFonts w:ascii="Times New Roman" w:hAnsi="Times New Roman" w:cs="Times New Roman"/>
                <w:sz w:val="18"/>
                <w:szCs w:val="18"/>
                <w:lang w:val="sr-Cyrl-CS"/>
              </w:rPr>
              <w:t>.</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lang w:val="sr-Cyrl-CS"/>
              </w:rPr>
              <w:t xml:space="preserve">Уредбе 305/2011 (ЕУ), </w:t>
            </w:r>
            <w:r w:rsidR="00B704E2" w:rsidRPr="00487209">
              <w:rPr>
                <w:rFonts w:ascii="Times New Roman" w:hAnsi="Times New Roman" w:cs="Times New Roman"/>
                <w:sz w:val="18"/>
                <w:szCs w:val="18"/>
                <w:lang w:val="sr-Cyrl-CS"/>
              </w:rPr>
              <w:t xml:space="preserve">због статуса нечланице, </w:t>
            </w:r>
            <w:r w:rsidR="00147811" w:rsidRPr="00487209">
              <w:rPr>
                <w:rFonts w:ascii="Times New Roman" w:hAnsi="Times New Roman" w:cs="Times New Roman"/>
                <w:sz w:val="18"/>
                <w:szCs w:val="18"/>
                <w:lang w:val="sr-Cyrl-CS"/>
              </w:rPr>
              <w:t>у</w:t>
            </w:r>
            <w:r w:rsidR="00B9474F" w:rsidRPr="00487209">
              <w:rPr>
                <w:rFonts w:ascii="Times New Roman" w:hAnsi="Times New Roman" w:cs="Times New Roman"/>
                <w:sz w:val="18"/>
                <w:szCs w:val="18"/>
                <w:lang w:val="sr-Cyrl-CS"/>
              </w:rPr>
              <w:t>з напомену да се</w:t>
            </w:r>
            <w:r w:rsidR="0001515C" w:rsidRPr="00487209">
              <w:rPr>
                <w:rFonts w:ascii="Times New Roman" w:hAnsi="Times New Roman" w:cs="Times New Roman"/>
                <w:sz w:val="18"/>
                <w:szCs w:val="18"/>
                <w:lang w:val="sr-Cyrl-CS"/>
              </w:rPr>
              <w:t xml:space="preserve"> </w:t>
            </w:r>
            <w:r w:rsidR="0073105A">
              <w:rPr>
                <w:rFonts w:ascii="Times New Roman" w:hAnsi="Times New Roman" w:cs="Times New Roman"/>
                <w:sz w:val="18"/>
                <w:szCs w:val="18"/>
                <w:lang w:val="sr-Cyrl-CS"/>
              </w:rPr>
              <w:t>Предлог</w:t>
            </w:r>
            <w:r w:rsidR="00BC196E" w:rsidRPr="00487209">
              <w:rPr>
                <w:rFonts w:ascii="Times New Roman" w:hAnsi="Times New Roman" w:cs="Times New Roman"/>
                <w:sz w:val="18"/>
                <w:szCs w:val="18"/>
                <w:lang w:val="sr-Cyrl-CS"/>
              </w:rPr>
              <w:t xml:space="preserve"> закона</w:t>
            </w:r>
            <w:r w:rsidR="0001515C" w:rsidRPr="00487209">
              <w:rPr>
                <w:rFonts w:ascii="Times New Roman" w:hAnsi="Times New Roman" w:cs="Times New Roman"/>
                <w:sz w:val="18"/>
                <w:szCs w:val="18"/>
                <w:lang w:val="sr-Cyrl-CS"/>
              </w:rPr>
              <w:t xml:space="preserve"> о грађевинским производима односи и на нехармонизовану област</w:t>
            </w:r>
            <w:r w:rsidR="00147811" w:rsidRPr="00487209">
              <w:rPr>
                <w:rFonts w:ascii="Times New Roman" w:hAnsi="Times New Roman" w:cs="Times New Roman"/>
                <w:sz w:val="18"/>
                <w:szCs w:val="18"/>
                <w:lang w:val="sr-Cyrl-CS"/>
              </w:rPr>
              <w:t>. Потпуно усклађивање биће могуће након приступања ЕУ.</w:t>
            </w:r>
          </w:p>
        </w:tc>
        <w:tc>
          <w:tcPr>
            <w:tcW w:w="480" w:type="pct"/>
            <w:shd w:val="clear" w:color="auto" w:fill="auto"/>
            <w:vAlign w:val="center"/>
          </w:tcPr>
          <w:p w14:paraId="1D8E2CCC"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24F3AC53" w14:textId="77777777" w:rsidTr="007D5144">
        <w:trPr>
          <w:trHeight w:val="1970"/>
          <w:jc w:val="center"/>
        </w:trPr>
        <w:tc>
          <w:tcPr>
            <w:tcW w:w="435" w:type="pct"/>
            <w:shd w:val="clear" w:color="auto" w:fill="auto"/>
            <w:vAlign w:val="center"/>
          </w:tcPr>
          <w:p w14:paraId="672452EB"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56.2.</w:t>
            </w:r>
          </w:p>
        </w:tc>
        <w:tc>
          <w:tcPr>
            <w:tcW w:w="1369" w:type="pct"/>
            <w:gridSpan w:val="2"/>
            <w:shd w:val="clear" w:color="auto" w:fill="auto"/>
            <w:vAlign w:val="center"/>
          </w:tcPr>
          <w:p w14:paraId="778DEEFD"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Where the market surveillance authorities consider that the non-compliance is not limited to their national territory, they shall inform the Commission and the other Member States of the results of the evaluation and of the actions which they have required the economic operator to take.</w:t>
            </w:r>
          </w:p>
        </w:tc>
        <w:tc>
          <w:tcPr>
            <w:tcW w:w="429" w:type="pct"/>
            <w:shd w:val="clear" w:color="auto" w:fill="auto"/>
            <w:vAlign w:val="center"/>
          </w:tcPr>
          <w:p w14:paraId="1B165626" w14:textId="77777777" w:rsidR="00147811" w:rsidRPr="00487209" w:rsidRDefault="00147811"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02.</w:t>
            </w:r>
          </w:p>
          <w:p w14:paraId="42F3BB8F" w14:textId="77777777" w:rsidR="00147811" w:rsidRPr="00487209" w:rsidRDefault="00147811"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15.1.</w:t>
            </w:r>
          </w:p>
        </w:tc>
        <w:tc>
          <w:tcPr>
            <w:tcW w:w="1231" w:type="pct"/>
            <w:gridSpan w:val="2"/>
            <w:shd w:val="clear" w:color="auto" w:fill="auto"/>
            <w:vAlign w:val="center"/>
          </w:tcPr>
          <w:p w14:paraId="1B6F28EE" w14:textId="77777777" w:rsidR="00147811" w:rsidRPr="00487209" w:rsidRDefault="00147811" w:rsidP="006C6323">
            <w:pPr>
              <w:pStyle w:val="Style9"/>
              <w:spacing w:before="240" w:line="240" w:lineRule="auto"/>
              <w:ind w:left="127" w:right="-23"/>
              <w:outlineLvl w:val="3"/>
              <w:rPr>
                <w:rStyle w:val="FontStyle41"/>
                <w:rFonts w:ascii="Times New Roman" w:hAnsi="Times New Roman" w:cs="Times New Roman"/>
                <w:sz w:val="18"/>
                <w:szCs w:val="18"/>
                <w:lang w:val="sr-Cyrl-CS"/>
              </w:rPr>
            </w:pPr>
            <w:r w:rsidRPr="00487209">
              <w:rPr>
                <w:rStyle w:val="FontStyle41"/>
                <w:rFonts w:ascii="Times New Roman" w:hAnsi="Times New Roman" w:cs="Times New Roman"/>
                <w:sz w:val="18"/>
                <w:szCs w:val="18"/>
                <w:lang w:val="sr-Cyrl-CS"/>
              </w:rPr>
              <w:t>Ако органи тржишног надзора предузимају или намеравају да предузму меру сходно члану 13. овог закона и сматрају да су разлози за предузимање мере или њени ефекти ван територије Републике Србије, Министарство ће одмах обавестити Европску комисију, у складу са ставом 4. овог члана, као и о изменама или укидању те мере.</w:t>
            </w:r>
          </w:p>
        </w:tc>
        <w:tc>
          <w:tcPr>
            <w:tcW w:w="458" w:type="pct"/>
            <w:shd w:val="clear" w:color="auto" w:fill="auto"/>
            <w:vAlign w:val="center"/>
          </w:tcPr>
          <w:p w14:paraId="1281ECFC"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ДУ</w:t>
            </w:r>
          </w:p>
        </w:tc>
        <w:tc>
          <w:tcPr>
            <w:tcW w:w="598" w:type="pct"/>
            <w:gridSpan w:val="2"/>
            <w:shd w:val="clear" w:color="auto" w:fill="auto"/>
            <w:vAlign w:val="center"/>
          </w:tcPr>
          <w:p w14:paraId="007F280A" w14:textId="2BC662B8"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 15. став</w:t>
            </w:r>
            <w:r w:rsidR="00147811" w:rsidRPr="00487209">
              <w:rPr>
                <w:rFonts w:ascii="Times New Roman" w:hAnsi="Times New Roman" w:cs="Times New Roman"/>
                <w:sz w:val="18"/>
                <w:szCs w:val="18"/>
                <w:lang w:val="ru-RU"/>
              </w:rPr>
              <w:t xml:space="preserve"> 1. Закона о тржишном надз</w:t>
            </w:r>
            <w:r>
              <w:rPr>
                <w:rFonts w:ascii="Times New Roman" w:hAnsi="Times New Roman" w:cs="Times New Roman"/>
                <w:sz w:val="18"/>
                <w:szCs w:val="18"/>
                <w:lang w:val="ru-RU"/>
              </w:rPr>
              <w:t>ору је делимично усклађен са чланом</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lang w:val="sr-Cyrl-CS"/>
              </w:rPr>
              <w:t>56.2.</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lang w:val="sr-Cyrl-CS"/>
              </w:rPr>
              <w:t xml:space="preserve">Уредбе 305/2011 (ЕУ), због статуса нечланице. Потпуно усклађивање биће </w:t>
            </w:r>
            <w:r w:rsidR="000414D5" w:rsidRPr="00487209">
              <w:rPr>
                <w:rFonts w:ascii="Times New Roman" w:hAnsi="Times New Roman" w:cs="Times New Roman"/>
                <w:sz w:val="18"/>
                <w:szCs w:val="18"/>
                <w:lang w:val="sr-Cyrl-CS"/>
              </w:rPr>
              <w:t>остварено</w:t>
            </w:r>
            <w:r w:rsidR="00147811" w:rsidRPr="00487209">
              <w:rPr>
                <w:rFonts w:ascii="Times New Roman" w:hAnsi="Times New Roman" w:cs="Times New Roman"/>
                <w:sz w:val="18"/>
                <w:szCs w:val="18"/>
                <w:lang w:val="sr-Cyrl-CS"/>
              </w:rPr>
              <w:t xml:space="preserve"> након приступања ЕУ.</w:t>
            </w:r>
          </w:p>
        </w:tc>
        <w:tc>
          <w:tcPr>
            <w:tcW w:w="480" w:type="pct"/>
            <w:shd w:val="clear" w:color="auto" w:fill="auto"/>
            <w:vAlign w:val="center"/>
          </w:tcPr>
          <w:p w14:paraId="292FAC59" w14:textId="77777777" w:rsidR="00147811" w:rsidRPr="00487209" w:rsidRDefault="00147811" w:rsidP="006C6323">
            <w:pPr>
              <w:spacing w:before="120" w:after="120"/>
              <w:jc w:val="center"/>
              <w:rPr>
                <w:rFonts w:ascii="Times New Roman" w:hAnsi="Times New Roman" w:cs="Times New Roman"/>
                <w:sz w:val="18"/>
                <w:szCs w:val="18"/>
                <w:lang w:val="nl-BE"/>
              </w:rPr>
            </w:pPr>
          </w:p>
        </w:tc>
      </w:tr>
      <w:tr w:rsidR="00337554" w:rsidRPr="00487209" w14:paraId="658E9326" w14:textId="77777777" w:rsidTr="007D5144">
        <w:trPr>
          <w:trHeight w:val="1970"/>
          <w:jc w:val="center"/>
        </w:trPr>
        <w:tc>
          <w:tcPr>
            <w:tcW w:w="435" w:type="pct"/>
            <w:shd w:val="clear" w:color="auto" w:fill="auto"/>
            <w:vAlign w:val="center"/>
          </w:tcPr>
          <w:p w14:paraId="3326B0E6"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56.3.</w:t>
            </w:r>
          </w:p>
        </w:tc>
        <w:tc>
          <w:tcPr>
            <w:tcW w:w="1369" w:type="pct"/>
            <w:gridSpan w:val="2"/>
            <w:shd w:val="clear" w:color="auto" w:fill="auto"/>
            <w:vAlign w:val="center"/>
          </w:tcPr>
          <w:p w14:paraId="6E5D4759"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The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economic</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operator</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shall</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ensure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that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all</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appropriate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corrective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action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is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taken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in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respect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of</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all</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construction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products concerned which that economic operator has made available on the market throughout the Union.</w:t>
            </w:r>
          </w:p>
        </w:tc>
        <w:tc>
          <w:tcPr>
            <w:tcW w:w="429" w:type="pct"/>
            <w:shd w:val="clear" w:color="auto" w:fill="auto"/>
            <w:vAlign w:val="center"/>
          </w:tcPr>
          <w:p w14:paraId="0B871716" w14:textId="32E83A78" w:rsidR="001A264B"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588D5885" w14:textId="7515ABDF" w:rsidR="00147811" w:rsidRPr="00487209" w:rsidRDefault="001A264B" w:rsidP="00C94DC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C94DCF">
              <w:rPr>
                <w:rFonts w:ascii="Times New Roman" w:hAnsi="Times New Roman" w:cs="Times New Roman"/>
                <w:sz w:val="18"/>
                <w:szCs w:val="18"/>
                <w:lang w:val="ru-RU"/>
              </w:rPr>
              <w:t>56</w:t>
            </w:r>
            <w:r w:rsidR="00147811" w:rsidRPr="00487209">
              <w:rPr>
                <w:rFonts w:ascii="Times New Roman" w:hAnsi="Times New Roman" w:cs="Times New Roman"/>
                <w:sz w:val="18"/>
                <w:szCs w:val="18"/>
                <w:lang w:val="ru-RU"/>
              </w:rPr>
              <w:t>.4.</w:t>
            </w:r>
          </w:p>
        </w:tc>
        <w:tc>
          <w:tcPr>
            <w:tcW w:w="1231" w:type="pct"/>
            <w:gridSpan w:val="2"/>
            <w:shd w:val="clear" w:color="auto" w:fill="auto"/>
            <w:vAlign w:val="center"/>
          </w:tcPr>
          <w:p w14:paraId="5CFC6BEF" w14:textId="0DA7BA6D" w:rsidR="00147811" w:rsidRPr="00487209" w:rsidRDefault="00C94DCF" w:rsidP="007D5144">
            <w:pPr>
              <w:jc w:val="both"/>
              <w:rPr>
                <w:rFonts w:ascii="Times New Roman" w:hAnsi="Times New Roman" w:cs="Times New Roman"/>
                <w:sz w:val="18"/>
                <w:szCs w:val="18"/>
                <w:lang w:val="sr-Latn-BA"/>
              </w:rPr>
            </w:pPr>
            <w:r w:rsidRPr="00C94DCF">
              <w:rPr>
                <w:rFonts w:ascii="Times New Roman" w:eastAsia="Times New Roman" w:hAnsi="Times New Roman" w:cs="Times New Roman"/>
                <w:sz w:val="18"/>
                <w:szCs w:val="18"/>
                <w:lang w:val="sr-Cyrl-CS"/>
              </w:rPr>
              <w:t>Привредни субјект обезбеђује предузимање свих одговарајућих корективних мера на свим грађевинским производима које је тај привредни субјект учинио доступним на тржишту.</w:t>
            </w:r>
          </w:p>
        </w:tc>
        <w:tc>
          <w:tcPr>
            <w:tcW w:w="458" w:type="pct"/>
            <w:shd w:val="clear" w:color="auto" w:fill="auto"/>
            <w:vAlign w:val="center"/>
          </w:tcPr>
          <w:p w14:paraId="5AC59AAC"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ДУ</w:t>
            </w:r>
          </w:p>
        </w:tc>
        <w:tc>
          <w:tcPr>
            <w:tcW w:w="598" w:type="pct"/>
            <w:gridSpan w:val="2"/>
            <w:shd w:val="clear" w:color="auto" w:fill="auto"/>
            <w:vAlign w:val="center"/>
          </w:tcPr>
          <w:p w14:paraId="4B5ED9F3" w14:textId="18C98665" w:rsidR="00B9474F" w:rsidRPr="00487209" w:rsidRDefault="00CC5598" w:rsidP="00C94DCF">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w:t>
            </w:r>
            <w:r w:rsidR="00C94DCF">
              <w:rPr>
                <w:rFonts w:ascii="Times New Roman" w:hAnsi="Times New Roman" w:cs="Times New Roman"/>
                <w:sz w:val="18"/>
                <w:szCs w:val="18"/>
                <w:lang w:val="ru-RU"/>
              </w:rPr>
              <w:t>56</w:t>
            </w:r>
            <w:r>
              <w:rPr>
                <w:rFonts w:ascii="Times New Roman" w:hAnsi="Times New Roman" w:cs="Times New Roman"/>
                <w:sz w:val="18"/>
                <w:szCs w:val="18"/>
                <w:lang w:val="ru-RU"/>
              </w:rPr>
              <w:t>. став</w:t>
            </w:r>
            <w:r w:rsidR="00147811" w:rsidRPr="00487209">
              <w:rPr>
                <w:rFonts w:ascii="Times New Roman" w:hAnsi="Times New Roman" w:cs="Times New Roman"/>
                <w:sz w:val="18"/>
                <w:szCs w:val="18"/>
                <w:lang w:val="ru-RU"/>
              </w:rPr>
              <w:t xml:space="preserve"> 4.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Pr>
                <w:rFonts w:ascii="Times New Roman" w:hAnsi="Times New Roman" w:cs="Times New Roman"/>
                <w:sz w:val="18"/>
                <w:szCs w:val="18"/>
                <w:lang w:val="ru-RU"/>
              </w:rPr>
              <w:t xml:space="preserve"> је делимично усклађен са чланом</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lang w:val="sr-Cyrl-CS"/>
              </w:rPr>
              <w:t>56.3.</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lang w:val="sr-Cyrl-CS"/>
              </w:rPr>
              <w:t>Уредбе 305/2011 (ЕУ), због статуса нечланице. Потпуно усклађивање биће могуће након приступања ЕУ.</w:t>
            </w:r>
          </w:p>
        </w:tc>
        <w:tc>
          <w:tcPr>
            <w:tcW w:w="480" w:type="pct"/>
            <w:shd w:val="clear" w:color="auto" w:fill="auto"/>
            <w:vAlign w:val="center"/>
          </w:tcPr>
          <w:p w14:paraId="10DC1141"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3D107889" w14:textId="77777777" w:rsidTr="007D5144">
        <w:trPr>
          <w:trHeight w:val="1338"/>
          <w:jc w:val="center"/>
        </w:trPr>
        <w:tc>
          <w:tcPr>
            <w:tcW w:w="435" w:type="pct"/>
            <w:shd w:val="clear" w:color="auto" w:fill="auto"/>
            <w:vAlign w:val="center"/>
          </w:tcPr>
          <w:p w14:paraId="29AFFCE9"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56.4.</w:t>
            </w:r>
          </w:p>
        </w:tc>
        <w:tc>
          <w:tcPr>
            <w:tcW w:w="1369" w:type="pct"/>
            <w:gridSpan w:val="2"/>
            <w:shd w:val="clear" w:color="auto" w:fill="auto"/>
            <w:vAlign w:val="center"/>
          </w:tcPr>
          <w:p w14:paraId="5F8643E5"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Where the relevant economic operator, within the period referred to in the second subparagraph of paragraph 1, does not take adequate corrective action, the market surveillance authorities shall take all appropriate provisional measures to prohibit or restrict the making available of the construction product on the national market or to withdraw the construction product from that market or to recall it.</w:t>
            </w:r>
          </w:p>
          <w:p w14:paraId="3CE78C72"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market surveillance authorities shall inform the Commission and the other Member States, without delay, of those measures.</w:t>
            </w:r>
          </w:p>
        </w:tc>
        <w:tc>
          <w:tcPr>
            <w:tcW w:w="429" w:type="pct"/>
            <w:shd w:val="clear" w:color="auto" w:fill="auto"/>
            <w:vAlign w:val="center"/>
          </w:tcPr>
          <w:p w14:paraId="1A03CC9B" w14:textId="379DFB73" w:rsidR="001A264B"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1ECD0BF6" w14:textId="4DA3352D" w:rsidR="00147811" w:rsidRPr="00487209" w:rsidRDefault="001A264B" w:rsidP="00C94DC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C94DCF">
              <w:rPr>
                <w:rFonts w:ascii="Times New Roman" w:hAnsi="Times New Roman" w:cs="Times New Roman"/>
                <w:sz w:val="18"/>
                <w:szCs w:val="18"/>
                <w:lang w:val="ru-RU"/>
              </w:rPr>
              <w:t>56</w:t>
            </w:r>
            <w:r w:rsidR="00147811" w:rsidRPr="00487209">
              <w:rPr>
                <w:rFonts w:ascii="Times New Roman" w:hAnsi="Times New Roman" w:cs="Times New Roman"/>
                <w:sz w:val="18"/>
                <w:szCs w:val="18"/>
                <w:lang w:val="ru-RU"/>
              </w:rPr>
              <w:t>.5.</w:t>
            </w:r>
          </w:p>
        </w:tc>
        <w:tc>
          <w:tcPr>
            <w:tcW w:w="1231" w:type="pct"/>
            <w:gridSpan w:val="2"/>
            <w:shd w:val="clear" w:color="auto" w:fill="auto"/>
            <w:vAlign w:val="center"/>
          </w:tcPr>
          <w:p w14:paraId="1CFB9F86" w14:textId="4EE66521" w:rsidR="00147811" w:rsidRPr="00487209" w:rsidRDefault="00C94DCF" w:rsidP="00B50FD1">
            <w:pPr>
              <w:spacing w:before="120"/>
              <w:ind w:right="-23"/>
              <w:jc w:val="both"/>
              <w:outlineLvl w:val="0"/>
              <w:rPr>
                <w:rFonts w:ascii="Times New Roman" w:eastAsia="Times New Roman" w:hAnsi="Times New Roman" w:cs="Times New Roman"/>
                <w:sz w:val="18"/>
                <w:szCs w:val="18"/>
                <w:lang w:val="sr-Cyrl-CS"/>
              </w:rPr>
            </w:pPr>
            <w:r w:rsidRPr="00C94DCF">
              <w:rPr>
                <w:rFonts w:ascii="Times New Roman" w:eastAsia="Times New Roman" w:hAnsi="Times New Roman" w:cs="Times New Roman"/>
                <w:sz w:val="18"/>
                <w:szCs w:val="18"/>
                <w:lang w:val="sr-Cyrl-CS"/>
              </w:rPr>
              <w:t>Када одговарајући привредни субјект, током периода из става 2. овог члана не предузме одговарајуће корективне мере, надлежни орган тржишног надзора доноси решење којим надзираном привредном субјекту забрањује или ограничава чињење доступним на тржишту тог грађевинског производа или налаже надзираном субјекту да тај грађевински производ повуче са тржишта или га опозове.</w:t>
            </w:r>
          </w:p>
        </w:tc>
        <w:tc>
          <w:tcPr>
            <w:tcW w:w="458" w:type="pct"/>
            <w:shd w:val="clear" w:color="auto" w:fill="auto"/>
            <w:vAlign w:val="center"/>
          </w:tcPr>
          <w:p w14:paraId="7C238A67"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ДУ</w:t>
            </w:r>
          </w:p>
        </w:tc>
        <w:tc>
          <w:tcPr>
            <w:tcW w:w="598" w:type="pct"/>
            <w:gridSpan w:val="2"/>
            <w:shd w:val="clear" w:color="auto" w:fill="auto"/>
            <w:vAlign w:val="center"/>
          </w:tcPr>
          <w:p w14:paraId="5791345F" w14:textId="32518785" w:rsidR="00147811" w:rsidRPr="00487209" w:rsidRDefault="00CC5598" w:rsidP="00C94DCF">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w:t>
            </w:r>
            <w:r w:rsidR="00C94DCF">
              <w:rPr>
                <w:rFonts w:ascii="Times New Roman" w:hAnsi="Times New Roman" w:cs="Times New Roman"/>
                <w:sz w:val="18"/>
                <w:szCs w:val="18"/>
                <w:lang w:val="ru-RU"/>
              </w:rPr>
              <w:t>56</w:t>
            </w:r>
            <w:r w:rsidR="00147811" w:rsidRPr="00487209">
              <w:rPr>
                <w:rFonts w:ascii="Times New Roman" w:hAnsi="Times New Roman" w:cs="Times New Roman"/>
                <w:sz w:val="18"/>
                <w:szCs w:val="18"/>
                <w:lang w:val="ru-RU"/>
              </w:rPr>
              <w:t>. ст</w:t>
            </w:r>
            <w:r>
              <w:rPr>
                <w:rFonts w:ascii="Times New Roman" w:hAnsi="Times New Roman" w:cs="Times New Roman"/>
                <w:sz w:val="18"/>
                <w:szCs w:val="18"/>
                <w:lang w:val="ru-RU"/>
              </w:rPr>
              <w:t>ав</w:t>
            </w:r>
            <w:r w:rsidR="00147811" w:rsidRPr="00487209">
              <w:rPr>
                <w:rFonts w:ascii="Times New Roman" w:hAnsi="Times New Roman" w:cs="Times New Roman"/>
                <w:sz w:val="18"/>
                <w:szCs w:val="18"/>
                <w:lang w:val="ru-RU"/>
              </w:rPr>
              <w:t xml:space="preserve"> 5.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Pr>
                <w:rFonts w:ascii="Times New Roman" w:hAnsi="Times New Roman" w:cs="Times New Roman"/>
                <w:sz w:val="18"/>
                <w:szCs w:val="18"/>
                <w:lang w:val="ru-RU"/>
              </w:rPr>
              <w:t xml:space="preserve"> је делимично усклађен са чланом</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lang w:val="sr-Cyrl-CS"/>
              </w:rPr>
              <w:t>56.4.</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lang w:val="sr-Cyrl-CS"/>
              </w:rPr>
              <w:t>Уредбе 305/2011 (ЕУ), због статуса нечланице. Потпуно усклађивање биће могуће након приступања ЕУ.</w:t>
            </w:r>
          </w:p>
        </w:tc>
        <w:tc>
          <w:tcPr>
            <w:tcW w:w="480" w:type="pct"/>
            <w:shd w:val="clear" w:color="auto" w:fill="auto"/>
            <w:vAlign w:val="center"/>
          </w:tcPr>
          <w:p w14:paraId="7893116D"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3C947BAB" w14:textId="77777777" w:rsidTr="007D5144">
        <w:trPr>
          <w:trHeight w:val="1970"/>
          <w:jc w:val="center"/>
        </w:trPr>
        <w:tc>
          <w:tcPr>
            <w:tcW w:w="435" w:type="pct"/>
            <w:shd w:val="clear" w:color="auto" w:fill="auto"/>
            <w:vAlign w:val="center"/>
          </w:tcPr>
          <w:p w14:paraId="3BECF603"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56.5.(a)</w:t>
            </w:r>
          </w:p>
        </w:tc>
        <w:tc>
          <w:tcPr>
            <w:tcW w:w="1369" w:type="pct"/>
            <w:gridSpan w:val="2"/>
            <w:shd w:val="clear" w:color="auto" w:fill="auto"/>
            <w:vAlign w:val="center"/>
          </w:tcPr>
          <w:p w14:paraId="0CA6AD8E"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information referred to in paragraph 4 shall include all available details, in particular the data necessary for the identification of the non-compliant construction product, the origin of the construction product, the nature of the non-compliance alleged and the risk involved, the nature and duration of national measures taken as well as the arguments put forward by the relevant economic operator. In particular, the market surveillance authorities shall indicate whether the non-compliance is due to either of the following:</w:t>
            </w:r>
          </w:p>
          <w:p w14:paraId="715CD99B"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failure of the product to achieve the declared performance and/or to meet the requirements related to the fulfilment of basic requirements for construction works laid down in this Regulation;</w:t>
            </w:r>
          </w:p>
          <w:p w14:paraId="1214F1EB" w14:textId="77777777" w:rsidR="00147811" w:rsidRPr="00487209" w:rsidRDefault="00147811" w:rsidP="006C6323">
            <w:pPr>
              <w:jc w:val="both"/>
              <w:rPr>
                <w:rFonts w:ascii="Times New Roman" w:hAnsi="Times New Roman" w:cs="Times New Roman"/>
                <w:sz w:val="18"/>
                <w:szCs w:val="18"/>
                <w:lang w:val="sr-Cyrl-CS"/>
              </w:rPr>
            </w:pPr>
          </w:p>
        </w:tc>
        <w:tc>
          <w:tcPr>
            <w:tcW w:w="429" w:type="pct"/>
            <w:shd w:val="clear" w:color="auto" w:fill="auto"/>
            <w:vAlign w:val="center"/>
          </w:tcPr>
          <w:p w14:paraId="48917958" w14:textId="77777777" w:rsidR="001A264B" w:rsidRPr="00487209" w:rsidRDefault="001A264B"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0FE90EEC" w14:textId="3E8904F5" w:rsidR="00147811" w:rsidRPr="00487209" w:rsidRDefault="001A264B" w:rsidP="00C94DC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C94DCF">
              <w:rPr>
                <w:rFonts w:ascii="Times New Roman" w:hAnsi="Times New Roman" w:cs="Times New Roman"/>
                <w:sz w:val="18"/>
                <w:szCs w:val="18"/>
                <w:lang w:val="ru-RU"/>
              </w:rPr>
              <w:t>56</w:t>
            </w:r>
            <w:r w:rsidR="00147811" w:rsidRPr="00487209">
              <w:rPr>
                <w:rFonts w:ascii="Times New Roman" w:hAnsi="Times New Roman" w:cs="Times New Roman"/>
                <w:sz w:val="18"/>
                <w:szCs w:val="18"/>
                <w:lang w:val="ru-RU"/>
              </w:rPr>
              <w:t>.6.</w:t>
            </w:r>
          </w:p>
        </w:tc>
        <w:tc>
          <w:tcPr>
            <w:tcW w:w="1231" w:type="pct"/>
            <w:gridSpan w:val="2"/>
            <w:shd w:val="clear" w:color="auto" w:fill="auto"/>
            <w:vAlign w:val="center"/>
          </w:tcPr>
          <w:p w14:paraId="1C775EE5" w14:textId="0A9A4EDA" w:rsidR="00147811" w:rsidRPr="00487209" w:rsidRDefault="00C94DCF" w:rsidP="00B50FD1">
            <w:pPr>
              <w:spacing w:before="120"/>
              <w:ind w:right="-23"/>
              <w:jc w:val="both"/>
              <w:rPr>
                <w:rFonts w:ascii="Times New Roman" w:eastAsia="Batang" w:hAnsi="Times New Roman" w:cs="Times New Roman"/>
                <w:sz w:val="18"/>
                <w:szCs w:val="18"/>
                <w:lang w:val="sr-Cyrl-CS" w:eastAsia="ko-KR"/>
              </w:rPr>
            </w:pPr>
            <w:r w:rsidRPr="00C94DCF">
              <w:rPr>
                <w:rFonts w:ascii="Times New Roman" w:eastAsia="MS Mincho" w:hAnsi="Times New Roman" w:cs="Times New Roman"/>
                <w:sz w:val="18"/>
                <w:szCs w:val="18"/>
                <w:lang w:val="sr-Cyrl-CS"/>
              </w:rPr>
              <w:t>Надлежни органи тржишног надзора о мерама из става 5. овог члана обавештавају, без одлагања, министарство надлежно за послове тржишног надзора. Информације из става 5. овог члана обухватају све доступне детаље, посебно податке потребне за идентификацију неусаглашеног грађевинског производа, порекло тог грађевинског производа, природу претпостављене неусаглашености и подразумеваног ризика, природу и трајање предузетих мера као и аргументе које је изнео одговарајући привредни субјект. Надлежни орган тржишног надзора нарочито назначава када је узрок неусаглашености немогућност производа да задовољи перформансе наведене у декларацији о перформансама и/или испуни захтеве у вези са испуњењем основних захтева за објекте утврђене овим законом, техничком спецификацијом или техничким прописом.</w:t>
            </w:r>
          </w:p>
        </w:tc>
        <w:tc>
          <w:tcPr>
            <w:tcW w:w="458" w:type="pct"/>
            <w:shd w:val="clear" w:color="auto" w:fill="auto"/>
            <w:vAlign w:val="center"/>
          </w:tcPr>
          <w:p w14:paraId="2A80493D"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ДУ</w:t>
            </w:r>
          </w:p>
        </w:tc>
        <w:tc>
          <w:tcPr>
            <w:tcW w:w="598" w:type="pct"/>
            <w:gridSpan w:val="2"/>
            <w:shd w:val="clear" w:color="auto" w:fill="auto"/>
            <w:vAlign w:val="center"/>
          </w:tcPr>
          <w:p w14:paraId="16867F08" w14:textId="0CA6EB87" w:rsidR="00147811" w:rsidRPr="00487209" w:rsidRDefault="00CC5598" w:rsidP="00C94DCF">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w:t>
            </w:r>
            <w:r w:rsidR="00C94DCF">
              <w:rPr>
                <w:rFonts w:ascii="Times New Roman" w:hAnsi="Times New Roman" w:cs="Times New Roman"/>
                <w:sz w:val="18"/>
                <w:szCs w:val="18"/>
                <w:lang w:val="ru-RU"/>
              </w:rPr>
              <w:t>56</w:t>
            </w:r>
            <w:r>
              <w:rPr>
                <w:rFonts w:ascii="Times New Roman" w:hAnsi="Times New Roman" w:cs="Times New Roman"/>
                <w:sz w:val="18"/>
                <w:szCs w:val="18"/>
                <w:lang w:val="ru-RU"/>
              </w:rPr>
              <w:t>. став</w:t>
            </w:r>
            <w:r w:rsidR="00147811" w:rsidRPr="00487209">
              <w:rPr>
                <w:rFonts w:ascii="Times New Roman" w:hAnsi="Times New Roman" w:cs="Times New Roman"/>
                <w:sz w:val="18"/>
                <w:szCs w:val="18"/>
                <w:lang w:val="ru-RU"/>
              </w:rPr>
              <w:t xml:space="preserve"> 6.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sidR="00147811" w:rsidRPr="00487209">
              <w:rPr>
                <w:rFonts w:ascii="Times New Roman" w:hAnsi="Times New Roman" w:cs="Times New Roman"/>
                <w:sz w:val="18"/>
                <w:szCs w:val="18"/>
                <w:lang w:val="ru-RU"/>
              </w:rPr>
              <w:t xml:space="preserve"> је</w:t>
            </w:r>
            <w:r>
              <w:rPr>
                <w:rFonts w:ascii="Times New Roman" w:hAnsi="Times New Roman" w:cs="Times New Roman"/>
                <w:sz w:val="18"/>
                <w:szCs w:val="18"/>
                <w:lang w:val="ru-RU"/>
              </w:rPr>
              <w:t xml:space="preserve"> делимично усклађен са чланом</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lang w:val="sr-Cyrl-CS"/>
              </w:rPr>
              <w:t>56.4.</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lang w:val="sr-Cyrl-CS"/>
              </w:rPr>
              <w:t>Уредбе 305/2011 (ЕУ), због статуса нечланице</w:t>
            </w:r>
            <w:r w:rsidR="000414D5" w:rsidRPr="00487209">
              <w:rPr>
                <w:rFonts w:ascii="Times New Roman" w:hAnsi="Times New Roman" w:cs="Times New Roman"/>
                <w:sz w:val="18"/>
                <w:szCs w:val="18"/>
                <w:lang w:val="sr-Cyrl-CS"/>
              </w:rPr>
              <w:t xml:space="preserve">, као и зато што је </w:t>
            </w:r>
            <w:r w:rsidR="0073105A">
              <w:rPr>
                <w:rFonts w:ascii="Times New Roman" w:hAnsi="Times New Roman" w:cs="Times New Roman"/>
                <w:sz w:val="18"/>
                <w:szCs w:val="18"/>
                <w:lang w:val="sr-Cyrl-CS"/>
              </w:rPr>
              <w:t>Предлог</w:t>
            </w:r>
            <w:r w:rsidR="00BC196E" w:rsidRPr="00487209">
              <w:rPr>
                <w:rFonts w:ascii="Times New Roman" w:hAnsi="Times New Roman" w:cs="Times New Roman"/>
                <w:sz w:val="18"/>
                <w:szCs w:val="18"/>
                <w:lang w:val="sr-Cyrl-CS"/>
              </w:rPr>
              <w:t>ом закона</w:t>
            </w:r>
            <w:r w:rsidR="000414D5" w:rsidRPr="00487209">
              <w:rPr>
                <w:rFonts w:ascii="Times New Roman" w:hAnsi="Times New Roman" w:cs="Times New Roman"/>
                <w:sz w:val="18"/>
                <w:szCs w:val="18"/>
                <w:lang w:val="sr-Cyrl-CS"/>
              </w:rPr>
              <w:t xml:space="preserve"> о грађевинским производима обухваћена и нехармонизована област</w:t>
            </w:r>
            <w:r w:rsidR="00147811" w:rsidRPr="00487209">
              <w:rPr>
                <w:rFonts w:ascii="Times New Roman" w:hAnsi="Times New Roman" w:cs="Times New Roman"/>
                <w:sz w:val="18"/>
                <w:szCs w:val="18"/>
                <w:lang w:val="sr-Cyrl-CS"/>
              </w:rPr>
              <w:t>. Потпуно усклађивање биће могуће након приступања ЕУ.</w:t>
            </w:r>
          </w:p>
        </w:tc>
        <w:tc>
          <w:tcPr>
            <w:tcW w:w="480" w:type="pct"/>
            <w:shd w:val="clear" w:color="auto" w:fill="auto"/>
            <w:vAlign w:val="center"/>
          </w:tcPr>
          <w:p w14:paraId="40C40F87"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720B7378" w14:textId="77777777" w:rsidTr="007D5144">
        <w:trPr>
          <w:trHeight w:val="487"/>
          <w:jc w:val="center"/>
        </w:trPr>
        <w:tc>
          <w:tcPr>
            <w:tcW w:w="435" w:type="pct"/>
            <w:shd w:val="clear" w:color="auto" w:fill="auto"/>
            <w:vAlign w:val="center"/>
          </w:tcPr>
          <w:p w14:paraId="27592FDB"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56.5.(b)</w:t>
            </w:r>
          </w:p>
        </w:tc>
        <w:tc>
          <w:tcPr>
            <w:tcW w:w="1369" w:type="pct"/>
            <w:gridSpan w:val="2"/>
            <w:shd w:val="clear" w:color="auto" w:fill="auto"/>
            <w:vAlign w:val="center"/>
          </w:tcPr>
          <w:p w14:paraId="238DAB25"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shortcomings in the harmonised technical specifications or in the Specific Technical Documentation.</w:t>
            </w:r>
          </w:p>
          <w:p w14:paraId="0CEB61F7" w14:textId="77777777" w:rsidR="00147811" w:rsidRPr="00487209" w:rsidRDefault="00147811" w:rsidP="006C6323">
            <w:pPr>
              <w:rPr>
                <w:rFonts w:ascii="Times New Roman" w:hAnsi="Times New Roman" w:cs="Times New Roman"/>
                <w:sz w:val="18"/>
                <w:szCs w:val="18"/>
              </w:rPr>
            </w:pPr>
          </w:p>
          <w:p w14:paraId="3D1A0B0F" w14:textId="77777777" w:rsidR="00147811" w:rsidRPr="00487209" w:rsidRDefault="00147811" w:rsidP="006C6323">
            <w:pPr>
              <w:rPr>
                <w:rFonts w:ascii="Times New Roman" w:hAnsi="Times New Roman" w:cs="Times New Roman"/>
                <w:sz w:val="18"/>
                <w:szCs w:val="18"/>
              </w:rPr>
            </w:pPr>
          </w:p>
          <w:p w14:paraId="2B271F7C" w14:textId="77777777" w:rsidR="00147811" w:rsidRPr="00487209" w:rsidRDefault="00147811" w:rsidP="006C6323">
            <w:pPr>
              <w:rPr>
                <w:rFonts w:ascii="Times New Roman" w:hAnsi="Times New Roman" w:cs="Times New Roman"/>
                <w:sz w:val="18"/>
                <w:szCs w:val="18"/>
              </w:rPr>
            </w:pPr>
          </w:p>
          <w:p w14:paraId="16EF9424" w14:textId="77777777" w:rsidR="00147811" w:rsidRPr="00487209" w:rsidRDefault="00147811" w:rsidP="006C6323">
            <w:pPr>
              <w:rPr>
                <w:rFonts w:ascii="Times New Roman" w:hAnsi="Times New Roman" w:cs="Times New Roman"/>
                <w:sz w:val="18"/>
                <w:szCs w:val="18"/>
              </w:rPr>
            </w:pPr>
          </w:p>
          <w:p w14:paraId="0012F67C" w14:textId="77777777" w:rsidR="00147811" w:rsidRPr="00487209" w:rsidRDefault="00147811" w:rsidP="006C6323">
            <w:pPr>
              <w:rPr>
                <w:rFonts w:ascii="Times New Roman" w:hAnsi="Times New Roman" w:cs="Times New Roman"/>
                <w:sz w:val="18"/>
                <w:szCs w:val="18"/>
              </w:rPr>
            </w:pPr>
          </w:p>
        </w:tc>
        <w:tc>
          <w:tcPr>
            <w:tcW w:w="429" w:type="pct"/>
            <w:shd w:val="clear" w:color="auto" w:fill="auto"/>
            <w:vAlign w:val="center"/>
          </w:tcPr>
          <w:p w14:paraId="72869882"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3095AC8A"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7908EE3D"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НУ</w:t>
            </w:r>
          </w:p>
        </w:tc>
        <w:tc>
          <w:tcPr>
            <w:tcW w:w="598" w:type="pct"/>
            <w:gridSpan w:val="2"/>
            <w:shd w:val="clear" w:color="auto" w:fill="auto"/>
            <w:vAlign w:val="center"/>
          </w:tcPr>
          <w:p w14:paraId="743CFCA9" w14:textId="7C31AA7C" w:rsidR="0055701C" w:rsidRPr="00487209" w:rsidRDefault="00147811" w:rsidP="002E171A">
            <w:pPr>
              <w:spacing w:before="120" w:after="120"/>
              <w:ind w:firstLine="2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F421F0" w:rsidRPr="00487209">
              <w:rPr>
                <w:rFonts w:ascii="Times New Roman" w:hAnsi="Times New Roman" w:cs="Times New Roman"/>
                <w:sz w:val="18"/>
                <w:szCs w:val="18"/>
                <w:lang w:val="sr-Cyrl-CS"/>
              </w:rPr>
              <w:t>а закона о грађевинским производима</w:t>
            </w:r>
            <w:r w:rsidRPr="00487209">
              <w:rPr>
                <w:rFonts w:ascii="Times New Roman" w:hAnsi="Times New Roman" w:cs="Times New Roman"/>
                <w:sz w:val="18"/>
                <w:szCs w:val="18"/>
                <w:lang w:val="sr-Cyrl-CS"/>
              </w:rPr>
              <w:t xml:space="preserve"> која се може упоредити са ч</w:t>
            </w:r>
            <w:r w:rsidR="00CC5598">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lang w:val="sr-Cyrl-CS"/>
              </w:rPr>
              <w:t>56.5.(</w:t>
            </w:r>
            <w:r w:rsidRPr="00487209">
              <w:rPr>
                <w:rFonts w:ascii="Times New Roman" w:hAnsi="Times New Roman" w:cs="Times New Roman"/>
                <w:sz w:val="18"/>
                <w:szCs w:val="18"/>
              </w:rPr>
              <w:t>b</w:t>
            </w:r>
            <w:r w:rsidRPr="00487209">
              <w:rPr>
                <w:rFonts w:ascii="Times New Roman" w:hAnsi="Times New Roman" w:cs="Times New Roman"/>
                <w:sz w:val="18"/>
                <w:szCs w:val="18"/>
                <w:lang w:val="sr-Cyrl-CS"/>
              </w:rPr>
              <w:t xml:space="preserve">) Уредбе 305/2011 (ЕУ), због статуса нечланице. Усклађивање ће бити могуће након </w:t>
            </w:r>
            <w:r w:rsidRPr="00487209">
              <w:rPr>
                <w:rFonts w:ascii="Times New Roman" w:hAnsi="Times New Roman" w:cs="Times New Roman"/>
                <w:sz w:val="18"/>
                <w:szCs w:val="18"/>
                <w:lang w:val="sr-Cyrl-CS"/>
              </w:rPr>
              <w:lastRenderedPageBreak/>
              <w:t>приступања ЕУ.</w:t>
            </w:r>
          </w:p>
        </w:tc>
        <w:tc>
          <w:tcPr>
            <w:tcW w:w="480" w:type="pct"/>
            <w:shd w:val="clear" w:color="auto" w:fill="auto"/>
            <w:vAlign w:val="center"/>
          </w:tcPr>
          <w:p w14:paraId="62B5C31F"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11453BFD" w14:textId="77777777" w:rsidTr="007D5144">
        <w:trPr>
          <w:trHeight w:val="1970"/>
          <w:jc w:val="center"/>
        </w:trPr>
        <w:tc>
          <w:tcPr>
            <w:tcW w:w="435" w:type="pct"/>
            <w:shd w:val="clear" w:color="auto" w:fill="auto"/>
            <w:vAlign w:val="center"/>
          </w:tcPr>
          <w:p w14:paraId="3C59C26C"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56.6.</w:t>
            </w:r>
          </w:p>
        </w:tc>
        <w:tc>
          <w:tcPr>
            <w:tcW w:w="1369" w:type="pct"/>
            <w:gridSpan w:val="2"/>
            <w:shd w:val="clear" w:color="auto" w:fill="auto"/>
            <w:vAlign w:val="center"/>
          </w:tcPr>
          <w:p w14:paraId="5A847E94"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Member States other than the Member State initiating the procedure shall without delay inform the Commission and the other Member States of any measures adopted and of any additional information at their disposal relating to the non-compliance of the construction product concerned, and, in the event of disagreement with the notified national measure, of their objections.</w:t>
            </w:r>
          </w:p>
        </w:tc>
        <w:tc>
          <w:tcPr>
            <w:tcW w:w="429" w:type="pct"/>
            <w:shd w:val="clear" w:color="auto" w:fill="auto"/>
            <w:vAlign w:val="center"/>
          </w:tcPr>
          <w:p w14:paraId="27F8C956"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0E50AC5B"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47F0D6CE"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7D6D7C11" w14:textId="2645856B" w:rsidR="00147811" w:rsidRPr="00487209" w:rsidRDefault="00147811" w:rsidP="00BC196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BC196E" w:rsidRPr="00487209">
              <w:rPr>
                <w:rFonts w:ascii="Times New Roman" w:hAnsi="Times New Roman" w:cs="Times New Roman"/>
                <w:sz w:val="18"/>
                <w:szCs w:val="18"/>
                <w:lang w:val="sr-Cyrl-CS"/>
              </w:rPr>
              <w:t>а закона о грађевинским</w:t>
            </w:r>
            <w:r w:rsidRPr="00487209">
              <w:rPr>
                <w:rFonts w:ascii="Times New Roman" w:hAnsi="Times New Roman" w:cs="Times New Roman"/>
                <w:sz w:val="18"/>
                <w:szCs w:val="18"/>
                <w:lang w:val="sr-Cyrl-CS"/>
              </w:rPr>
              <w:t xml:space="preserve"> производима која се може упоредити са ч</w:t>
            </w:r>
            <w:r w:rsidRPr="00487209">
              <w:rPr>
                <w:rFonts w:ascii="Times New Roman" w:hAnsi="Times New Roman" w:cs="Times New Roman"/>
                <w:sz w:val="18"/>
                <w:szCs w:val="18"/>
                <w:lang w:val="ru-RU"/>
              </w:rPr>
              <w:t>л</w:t>
            </w:r>
            <w:r w:rsidR="00CC5598">
              <w:rPr>
                <w:rFonts w:ascii="Times New Roman" w:hAnsi="Times New Roman" w:cs="Times New Roman"/>
                <w:sz w:val="18"/>
                <w:szCs w:val="18"/>
                <w:lang w:val="ru-RU"/>
              </w:rPr>
              <w:t>аном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lang w:val="sr-Cyrl-CS"/>
              </w:rPr>
              <w:t>56.6. Уредбе 305/2011 (ЕУ), због статуса нечланице. Усклађивање ће бити могуће након приступања ЕУ.</w:t>
            </w:r>
          </w:p>
        </w:tc>
        <w:tc>
          <w:tcPr>
            <w:tcW w:w="480" w:type="pct"/>
            <w:shd w:val="clear" w:color="auto" w:fill="auto"/>
            <w:vAlign w:val="center"/>
          </w:tcPr>
          <w:p w14:paraId="6C3D9335"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5A21AFD4" w14:textId="77777777" w:rsidTr="007D5144">
        <w:trPr>
          <w:trHeight w:val="1970"/>
          <w:jc w:val="center"/>
        </w:trPr>
        <w:tc>
          <w:tcPr>
            <w:tcW w:w="435" w:type="pct"/>
            <w:shd w:val="clear" w:color="auto" w:fill="auto"/>
            <w:vAlign w:val="center"/>
          </w:tcPr>
          <w:p w14:paraId="281B0365"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56.7</w:t>
            </w:r>
            <w:r w:rsidRPr="00487209">
              <w:rPr>
                <w:rFonts w:ascii="Times New Roman" w:hAnsi="Times New Roman" w:cs="Times New Roman"/>
                <w:sz w:val="18"/>
                <w:szCs w:val="18"/>
                <w:shd w:val="clear" w:color="auto" w:fill="D9D9D9" w:themeFill="background1" w:themeFillShade="D9"/>
                <w:lang w:val="sr-Cyrl-CS"/>
              </w:rPr>
              <w:t>.</w:t>
            </w:r>
          </w:p>
        </w:tc>
        <w:tc>
          <w:tcPr>
            <w:tcW w:w="1369" w:type="pct"/>
            <w:gridSpan w:val="2"/>
            <w:shd w:val="clear" w:color="auto" w:fill="auto"/>
            <w:vAlign w:val="center"/>
          </w:tcPr>
          <w:p w14:paraId="2F5E1328"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Where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within</w:t>
            </w:r>
            <w:r w:rsidRPr="00487209">
              <w:rPr>
                <w:rFonts w:ascii="Times New Roman" w:hAnsi="Times New Roman" w:cs="Times New Roman"/>
                <w:sz w:val="18"/>
                <w:szCs w:val="18"/>
                <w:lang w:val="sr-Cyrl-CS"/>
              </w:rPr>
              <w:t xml:space="preserve"> 15 </w:t>
            </w:r>
            <w:r w:rsidRPr="00487209">
              <w:rPr>
                <w:rFonts w:ascii="Times New Roman" w:hAnsi="Times New Roman" w:cs="Times New Roman"/>
                <w:sz w:val="18"/>
                <w:szCs w:val="18"/>
              </w:rPr>
              <w:t>working</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days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of</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receipt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of</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information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referred</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to</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in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paragraph</w:t>
            </w:r>
            <w:r w:rsidRPr="00487209">
              <w:rPr>
                <w:rFonts w:ascii="Times New Roman" w:hAnsi="Times New Roman" w:cs="Times New Roman"/>
                <w:sz w:val="18"/>
                <w:szCs w:val="18"/>
                <w:lang w:val="sr-Cyrl-CS"/>
              </w:rPr>
              <w:t xml:space="preserve"> 4, </w:t>
            </w:r>
            <w:r w:rsidRPr="00487209">
              <w:rPr>
                <w:rFonts w:ascii="Times New Roman" w:hAnsi="Times New Roman" w:cs="Times New Roman"/>
                <w:sz w:val="18"/>
                <w:szCs w:val="18"/>
              </w:rPr>
              <w:t>no</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objection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has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been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raised</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by either a Member State or the Commission in respect of a provisional measure taken by a Member State in relation to the construction product concerned, that measure shall be deemed justified.</w:t>
            </w:r>
          </w:p>
        </w:tc>
        <w:tc>
          <w:tcPr>
            <w:tcW w:w="429" w:type="pct"/>
            <w:shd w:val="clear" w:color="auto" w:fill="auto"/>
            <w:vAlign w:val="center"/>
          </w:tcPr>
          <w:p w14:paraId="4711BABA"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0E353935"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2AE04C3F"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w:t>
            </w:r>
            <w:r w:rsidR="006E476F" w:rsidRPr="00487209">
              <w:rPr>
                <w:rFonts w:ascii="Times New Roman" w:hAnsi="Times New Roman" w:cs="Times New Roman"/>
                <w:sz w:val="18"/>
                <w:szCs w:val="18"/>
                <w:lang w:val="sr-Cyrl-CS"/>
              </w:rPr>
              <w:t>П</w:t>
            </w:r>
          </w:p>
        </w:tc>
        <w:tc>
          <w:tcPr>
            <w:tcW w:w="598" w:type="pct"/>
            <w:gridSpan w:val="2"/>
            <w:shd w:val="clear" w:color="auto" w:fill="auto"/>
            <w:vAlign w:val="center"/>
          </w:tcPr>
          <w:p w14:paraId="79D9C3E2" w14:textId="0C426562"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6E476F" w:rsidRPr="00487209">
              <w:rPr>
                <w:rFonts w:ascii="Times New Roman" w:hAnsi="Times New Roman" w:cs="Times New Roman"/>
                <w:sz w:val="18"/>
                <w:szCs w:val="18"/>
                <w:lang w:val="ru-RU"/>
              </w:rPr>
              <w:t xml:space="preserve"> 56.7. </w:t>
            </w:r>
            <w:r w:rsidR="006E476F" w:rsidRPr="00487209">
              <w:rPr>
                <w:rFonts w:ascii="Times New Roman" w:hAnsi="Times New Roman" w:cs="Times New Roman"/>
                <w:sz w:val="18"/>
                <w:szCs w:val="18"/>
                <w:lang w:val="sr-Cyrl-CS"/>
              </w:rPr>
              <w:t>Уредбе 305/2011 (ЕУ) није пренет, пошто се, између осталог односи на обавезу Европске комисије</w:t>
            </w:r>
            <w:r w:rsidR="006E476F" w:rsidRPr="00487209">
              <w:rPr>
                <w:rFonts w:ascii="Times New Roman" w:hAnsi="Times New Roman" w:cs="Times New Roman"/>
                <w:bCs/>
                <w:sz w:val="18"/>
                <w:szCs w:val="18"/>
                <w:lang w:val="sr-Cyrl-CS"/>
              </w:rPr>
              <w:t>.</w:t>
            </w:r>
          </w:p>
        </w:tc>
        <w:tc>
          <w:tcPr>
            <w:tcW w:w="480" w:type="pct"/>
            <w:shd w:val="clear" w:color="auto" w:fill="auto"/>
            <w:vAlign w:val="center"/>
          </w:tcPr>
          <w:p w14:paraId="323C9B61"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5360C4B9" w14:textId="77777777" w:rsidTr="007D5144">
        <w:trPr>
          <w:trHeight w:val="546"/>
          <w:jc w:val="center"/>
        </w:trPr>
        <w:tc>
          <w:tcPr>
            <w:tcW w:w="435" w:type="pct"/>
            <w:shd w:val="clear" w:color="auto" w:fill="auto"/>
            <w:vAlign w:val="center"/>
          </w:tcPr>
          <w:p w14:paraId="59633ED1"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56.8.</w:t>
            </w:r>
          </w:p>
        </w:tc>
        <w:tc>
          <w:tcPr>
            <w:tcW w:w="1369" w:type="pct"/>
            <w:gridSpan w:val="2"/>
            <w:shd w:val="clear" w:color="auto" w:fill="auto"/>
            <w:vAlign w:val="center"/>
          </w:tcPr>
          <w:p w14:paraId="4F6DB9DB"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Member</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States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shall</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ensure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that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appropriate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restrictive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measures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are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taken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without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delay</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in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respect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of</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construction product concerned, such as withdrawal of the product from their market.</w:t>
            </w:r>
          </w:p>
        </w:tc>
        <w:tc>
          <w:tcPr>
            <w:tcW w:w="429" w:type="pct"/>
            <w:shd w:val="clear" w:color="auto" w:fill="auto"/>
            <w:vAlign w:val="center"/>
          </w:tcPr>
          <w:p w14:paraId="3F7FEFE8" w14:textId="7C5B8C28" w:rsidR="001A264B" w:rsidRPr="00487209" w:rsidRDefault="00F249E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2A237FF5" w14:textId="62071A62" w:rsidR="00147811" w:rsidRPr="00487209" w:rsidRDefault="001A264B" w:rsidP="00C94DCF">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C94DCF">
              <w:rPr>
                <w:rFonts w:ascii="Times New Roman" w:hAnsi="Times New Roman" w:cs="Times New Roman"/>
                <w:sz w:val="18"/>
                <w:szCs w:val="18"/>
                <w:lang w:val="ru-RU"/>
              </w:rPr>
              <w:t>59</w:t>
            </w:r>
            <w:r w:rsidR="00AD27EF" w:rsidRPr="00487209">
              <w:rPr>
                <w:rFonts w:ascii="Times New Roman" w:hAnsi="Times New Roman" w:cs="Times New Roman"/>
                <w:sz w:val="18"/>
                <w:szCs w:val="18"/>
                <w:lang w:val="ru-RU"/>
              </w:rPr>
              <w:t>.1.5)</w:t>
            </w:r>
          </w:p>
        </w:tc>
        <w:tc>
          <w:tcPr>
            <w:tcW w:w="1231" w:type="pct"/>
            <w:gridSpan w:val="2"/>
            <w:shd w:val="clear" w:color="auto" w:fill="auto"/>
            <w:vAlign w:val="center"/>
          </w:tcPr>
          <w:p w14:paraId="2EF0AA54" w14:textId="77777777" w:rsidR="00AD27EF" w:rsidRPr="00487209" w:rsidRDefault="00AD27EF" w:rsidP="006C6323">
            <w:pPr>
              <w:pStyle w:val="Style7"/>
              <w:spacing w:before="240" w:after="0" w:line="240" w:lineRule="auto"/>
              <w:ind w:right="-23"/>
              <w:jc w:val="both"/>
              <w:outlineLvl w:val="3"/>
              <w:rPr>
                <w:sz w:val="18"/>
                <w:szCs w:val="18"/>
              </w:rPr>
            </w:pPr>
            <w:r w:rsidRPr="00487209">
              <w:rPr>
                <w:sz w:val="18"/>
                <w:szCs w:val="18"/>
              </w:rPr>
              <w:t xml:space="preserve">У вршењу инспекцијског надзора надлежни инспектор је овлашћен да привредном субјекту који грађевински производ ставља или испоручује на тржиште: </w:t>
            </w:r>
          </w:p>
          <w:p w14:paraId="61C32790" w14:textId="79424EA0" w:rsidR="00AD27EF" w:rsidRPr="00487209" w:rsidRDefault="00AD27EF" w:rsidP="006C6323">
            <w:pPr>
              <w:pStyle w:val="Style6"/>
              <w:numPr>
                <w:ilvl w:val="0"/>
                <w:numId w:val="24"/>
              </w:numPr>
              <w:spacing w:before="240" w:line="240" w:lineRule="auto"/>
              <w:ind w:left="0" w:right="-23" w:firstLine="284"/>
              <w:rPr>
                <w:rFonts w:ascii="Times New Roman" w:hAnsi="Times New Roman"/>
                <w:sz w:val="18"/>
                <w:szCs w:val="18"/>
                <w:lang w:val="sr-Cyrl-CS"/>
              </w:rPr>
            </w:pPr>
            <w:r w:rsidRPr="00487209">
              <w:rPr>
                <w:rFonts w:ascii="Times New Roman" w:hAnsi="Times New Roman"/>
                <w:sz w:val="18"/>
                <w:szCs w:val="18"/>
              </w:rPr>
              <w:t xml:space="preserve">решењем забрани или ограничи стављање </w:t>
            </w:r>
            <w:r w:rsidR="00C94DCF">
              <w:rPr>
                <w:rFonts w:ascii="Times New Roman" w:hAnsi="Times New Roman"/>
                <w:sz w:val="18"/>
                <w:szCs w:val="18"/>
                <w:lang w:val="sr-Cyrl-CS"/>
              </w:rPr>
              <w:t xml:space="preserve">на тржиште </w:t>
            </w:r>
            <w:r w:rsidRPr="00487209">
              <w:rPr>
                <w:rFonts w:ascii="Times New Roman" w:hAnsi="Times New Roman"/>
                <w:sz w:val="18"/>
                <w:szCs w:val="18"/>
              </w:rPr>
              <w:t xml:space="preserve">или испоруку на тржиште неусаглашених грађевинских производа, или нареди њихово повлачење са тржишта или </w:t>
            </w:r>
            <w:r w:rsidRPr="00487209">
              <w:rPr>
                <w:rFonts w:ascii="Times New Roman" w:hAnsi="Times New Roman"/>
                <w:sz w:val="18"/>
                <w:szCs w:val="18"/>
              </w:rPr>
              <w:lastRenderedPageBreak/>
              <w:t>опозив и проведе додатне мере којима ће се осигурати поштовање те забране,</w:t>
            </w:r>
          </w:p>
          <w:p w14:paraId="16D1B15B" w14:textId="77777777" w:rsidR="00147811" w:rsidRPr="00487209" w:rsidRDefault="00147811" w:rsidP="007D5144">
            <w:pPr>
              <w:rPr>
                <w:rFonts w:ascii="Times New Roman" w:hAnsi="Times New Roman" w:cs="Times New Roman"/>
                <w:sz w:val="18"/>
                <w:szCs w:val="18"/>
                <w:lang w:val="sr-Cyrl-CS"/>
              </w:rPr>
            </w:pPr>
          </w:p>
        </w:tc>
        <w:tc>
          <w:tcPr>
            <w:tcW w:w="458" w:type="pct"/>
            <w:shd w:val="clear" w:color="auto" w:fill="auto"/>
            <w:vAlign w:val="center"/>
          </w:tcPr>
          <w:p w14:paraId="058DB512" w14:textId="77777777" w:rsidR="00147811" w:rsidRPr="00487209" w:rsidRDefault="00AD27EF"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ПУ</w:t>
            </w:r>
          </w:p>
        </w:tc>
        <w:tc>
          <w:tcPr>
            <w:tcW w:w="598" w:type="pct"/>
            <w:gridSpan w:val="2"/>
            <w:shd w:val="clear" w:color="auto" w:fill="auto"/>
            <w:vAlign w:val="center"/>
          </w:tcPr>
          <w:p w14:paraId="2868322E" w14:textId="77777777" w:rsidR="00147811" w:rsidRPr="00487209" w:rsidRDefault="00147811"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4059E2DB"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495F41C0" w14:textId="77777777" w:rsidTr="007D5144">
        <w:trPr>
          <w:trHeight w:val="546"/>
          <w:jc w:val="center"/>
        </w:trPr>
        <w:tc>
          <w:tcPr>
            <w:tcW w:w="435" w:type="pct"/>
            <w:shd w:val="clear" w:color="auto" w:fill="auto"/>
            <w:vAlign w:val="center"/>
          </w:tcPr>
          <w:p w14:paraId="4267CCE4"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57.1.</w:t>
            </w:r>
          </w:p>
        </w:tc>
        <w:tc>
          <w:tcPr>
            <w:tcW w:w="1369" w:type="pct"/>
            <w:gridSpan w:val="2"/>
            <w:shd w:val="clear" w:color="auto" w:fill="auto"/>
            <w:vAlign w:val="center"/>
          </w:tcPr>
          <w:p w14:paraId="232C1EF2" w14:textId="77777777" w:rsidR="00EE55B4" w:rsidRPr="00487209" w:rsidRDefault="00EE55B4" w:rsidP="006C6323">
            <w:pPr>
              <w:jc w:val="both"/>
              <w:rPr>
                <w:rFonts w:ascii="Times New Roman" w:hAnsi="Times New Roman" w:cs="Times New Roman"/>
                <w:sz w:val="18"/>
                <w:szCs w:val="18"/>
                <w:lang w:val="sr-Cyrl-CS"/>
              </w:rPr>
            </w:pPr>
          </w:p>
          <w:p w14:paraId="6EABF4C4"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Where, on completion of the procedure set out in Article 56(3) and (4), objections are raised against a measure taken by a Member State or where the Commission considers a national measure to be contrary to Union legislation, the Commission shall without delay enter into consultation with the Member States and the relevant economic operator(s) and shall evaluate the national measure. On the basis of the results of that evaluation, the Commission shall decide whether the measure is justified or not.</w:t>
            </w:r>
          </w:p>
          <w:p w14:paraId="55D9EEA6"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Commission shall address its decision to all Member States and shall immediately communicate it to them and to the relevant economic operator(s).</w:t>
            </w:r>
          </w:p>
          <w:p w14:paraId="24A5426E" w14:textId="77777777" w:rsidR="00147811" w:rsidRPr="00487209" w:rsidRDefault="00147811" w:rsidP="006C6323">
            <w:pPr>
              <w:jc w:val="both"/>
              <w:rPr>
                <w:rFonts w:ascii="Times New Roman" w:hAnsi="Times New Roman" w:cs="Times New Roman"/>
                <w:sz w:val="18"/>
                <w:szCs w:val="18"/>
                <w:lang w:val="sr-Cyrl-CS"/>
              </w:rPr>
            </w:pPr>
          </w:p>
        </w:tc>
        <w:tc>
          <w:tcPr>
            <w:tcW w:w="429" w:type="pct"/>
            <w:shd w:val="clear" w:color="auto" w:fill="auto"/>
            <w:vAlign w:val="center"/>
          </w:tcPr>
          <w:p w14:paraId="72F22D8E"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4FCA983F"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2A3F85E0"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НП</w:t>
            </w:r>
          </w:p>
        </w:tc>
        <w:tc>
          <w:tcPr>
            <w:tcW w:w="598" w:type="pct"/>
            <w:gridSpan w:val="2"/>
            <w:shd w:val="clear" w:color="auto" w:fill="auto"/>
            <w:vAlign w:val="center"/>
          </w:tcPr>
          <w:p w14:paraId="61FFA5CF" w14:textId="5E662292"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57.1. </w:t>
            </w:r>
            <w:r w:rsidR="00147811" w:rsidRPr="00487209">
              <w:rPr>
                <w:rFonts w:ascii="Times New Roman" w:hAnsi="Times New Roman" w:cs="Times New Roman"/>
                <w:sz w:val="18"/>
                <w:szCs w:val="18"/>
                <w:lang w:val="sr-Cyrl-CS"/>
              </w:rPr>
              <w:t>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2788E253"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4B969B01" w14:textId="77777777" w:rsidTr="007D5144">
        <w:trPr>
          <w:trHeight w:val="4326"/>
          <w:jc w:val="center"/>
        </w:trPr>
        <w:tc>
          <w:tcPr>
            <w:tcW w:w="435" w:type="pct"/>
            <w:shd w:val="clear" w:color="auto" w:fill="auto"/>
            <w:vAlign w:val="center"/>
          </w:tcPr>
          <w:p w14:paraId="666A340C" w14:textId="77777777" w:rsidR="00EE55B4" w:rsidRPr="00487209" w:rsidRDefault="00EE55B4"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57.2.</w:t>
            </w:r>
          </w:p>
        </w:tc>
        <w:tc>
          <w:tcPr>
            <w:tcW w:w="1369" w:type="pct"/>
            <w:gridSpan w:val="2"/>
            <w:shd w:val="clear" w:color="auto" w:fill="auto"/>
            <w:vAlign w:val="center"/>
          </w:tcPr>
          <w:p w14:paraId="135B8D46" w14:textId="77777777" w:rsidR="00EE55B4" w:rsidRPr="00487209" w:rsidRDefault="00EE55B4" w:rsidP="006C6323">
            <w:pPr>
              <w:jc w:val="both"/>
              <w:rPr>
                <w:rFonts w:ascii="Times New Roman" w:hAnsi="Times New Roman" w:cs="Times New Roman"/>
                <w:sz w:val="18"/>
                <w:szCs w:val="18"/>
              </w:rPr>
            </w:pPr>
          </w:p>
          <w:p w14:paraId="3A4772E6" w14:textId="77777777" w:rsidR="00EE55B4" w:rsidRPr="00487209" w:rsidRDefault="00EE55B4" w:rsidP="006C6323">
            <w:pPr>
              <w:jc w:val="both"/>
              <w:rPr>
                <w:rFonts w:ascii="Times New Roman" w:hAnsi="Times New Roman" w:cs="Times New Roman"/>
                <w:sz w:val="18"/>
                <w:szCs w:val="18"/>
              </w:rPr>
            </w:pPr>
            <w:r w:rsidRPr="00487209">
              <w:rPr>
                <w:rFonts w:ascii="Times New Roman" w:hAnsi="Times New Roman" w:cs="Times New Roman"/>
                <w:sz w:val="18"/>
                <w:szCs w:val="18"/>
              </w:rPr>
              <w:t>If the national measure is considered justified, all Member States shall take the necessary measures to ensure that the non-compliant construction product is withdrawn from their markets and shall inform the Commission accordingly. If the national measure is considered unjustified, the Member State concerned shall withdraw the measure.</w:t>
            </w:r>
          </w:p>
          <w:p w14:paraId="620FAB6F" w14:textId="77777777" w:rsidR="00EE55B4" w:rsidRPr="00487209" w:rsidRDefault="00EE55B4" w:rsidP="006C6323">
            <w:pPr>
              <w:jc w:val="both"/>
              <w:rPr>
                <w:rFonts w:ascii="Times New Roman" w:hAnsi="Times New Roman" w:cs="Times New Roman"/>
                <w:sz w:val="18"/>
                <w:szCs w:val="18"/>
              </w:rPr>
            </w:pPr>
          </w:p>
        </w:tc>
        <w:tc>
          <w:tcPr>
            <w:tcW w:w="429" w:type="pct"/>
            <w:shd w:val="clear" w:color="auto" w:fill="auto"/>
            <w:vAlign w:val="center"/>
          </w:tcPr>
          <w:p w14:paraId="44AA76B4" w14:textId="77777777" w:rsidR="002E171A" w:rsidRPr="00487209" w:rsidRDefault="002E171A" w:rsidP="006C6323">
            <w:pPr>
              <w:spacing w:before="120" w:after="120"/>
              <w:ind w:firstLine="5"/>
              <w:jc w:val="center"/>
              <w:rPr>
                <w:rFonts w:ascii="Times New Roman" w:hAnsi="Times New Roman" w:cs="Times New Roman"/>
                <w:sz w:val="18"/>
                <w:szCs w:val="18"/>
                <w:lang w:val="ru-RU"/>
              </w:rPr>
            </w:pPr>
          </w:p>
          <w:p w14:paraId="4F79551C" w14:textId="77777777" w:rsidR="002E171A" w:rsidRPr="00487209" w:rsidRDefault="002E171A" w:rsidP="006C6323">
            <w:pPr>
              <w:spacing w:before="120" w:after="120"/>
              <w:ind w:firstLine="5"/>
              <w:jc w:val="center"/>
              <w:rPr>
                <w:rFonts w:ascii="Times New Roman" w:hAnsi="Times New Roman" w:cs="Times New Roman"/>
                <w:sz w:val="18"/>
                <w:szCs w:val="18"/>
                <w:lang w:val="ru-RU"/>
              </w:rPr>
            </w:pPr>
          </w:p>
          <w:p w14:paraId="0E309EEA" w14:textId="34161D93" w:rsidR="00EE55B4" w:rsidRPr="00487209" w:rsidRDefault="00EE55B4"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02.</w:t>
            </w:r>
          </w:p>
          <w:p w14:paraId="7A4D2576" w14:textId="77777777" w:rsidR="00EE55B4" w:rsidRPr="00487209" w:rsidRDefault="00EE55B4"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13.1.</w:t>
            </w:r>
          </w:p>
          <w:p w14:paraId="7CA31161" w14:textId="77777777" w:rsidR="00EE55B4" w:rsidRPr="00487209" w:rsidRDefault="00EE55B4" w:rsidP="006C6323">
            <w:pPr>
              <w:spacing w:before="120" w:after="120"/>
              <w:ind w:firstLine="5"/>
              <w:jc w:val="center"/>
              <w:rPr>
                <w:rFonts w:ascii="Times New Roman" w:hAnsi="Times New Roman" w:cs="Times New Roman"/>
                <w:sz w:val="18"/>
                <w:szCs w:val="18"/>
                <w:lang w:val="ru-RU"/>
              </w:rPr>
            </w:pPr>
          </w:p>
          <w:p w14:paraId="1D169151" w14:textId="3600E4EF" w:rsidR="00EE55B4" w:rsidRPr="00487209" w:rsidRDefault="00EE55B4" w:rsidP="006C6323">
            <w:pPr>
              <w:spacing w:before="120" w:after="120"/>
              <w:ind w:firstLine="5"/>
              <w:jc w:val="center"/>
              <w:rPr>
                <w:rFonts w:ascii="Times New Roman" w:hAnsi="Times New Roman" w:cs="Times New Roman"/>
                <w:sz w:val="18"/>
                <w:szCs w:val="18"/>
                <w:lang w:val="ru-RU"/>
              </w:rPr>
            </w:pPr>
          </w:p>
          <w:p w14:paraId="5B5B6CD4" w14:textId="77777777" w:rsidR="002E171A" w:rsidRPr="00487209" w:rsidRDefault="002E171A" w:rsidP="006C6323">
            <w:pPr>
              <w:spacing w:before="120" w:after="120"/>
              <w:ind w:firstLine="5"/>
              <w:jc w:val="center"/>
              <w:rPr>
                <w:rFonts w:ascii="Times New Roman" w:hAnsi="Times New Roman" w:cs="Times New Roman"/>
                <w:sz w:val="18"/>
                <w:szCs w:val="18"/>
                <w:lang w:val="ru-RU"/>
              </w:rPr>
            </w:pPr>
          </w:p>
          <w:p w14:paraId="05D18B53" w14:textId="77777777" w:rsidR="00EE55B4" w:rsidRPr="00487209" w:rsidRDefault="00EE55B4" w:rsidP="006C6323">
            <w:pPr>
              <w:spacing w:before="120" w:after="120"/>
              <w:ind w:firstLine="5"/>
              <w:jc w:val="center"/>
              <w:rPr>
                <w:rFonts w:ascii="Times New Roman" w:hAnsi="Times New Roman" w:cs="Times New Roman"/>
                <w:sz w:val="18"/>
                <w:szCs w:val="18"/>
                <w:lang w:val="ru-RU"/>
              </w:rPr>
            </w:pPr>
          </w:p>
          <w:p w14:paraId="52DA99C9" w14:textId="77777777" w:rsidR="00EE55B4" w:rsidRPr="00487209" w:rsidRDefault="00EE55B4" w:rsidP="006C6323">
            <w:pPr>
              <w:spacing w:before="120" w:after="120"/>
              <w:ind w:firstLine="5"/>
              <w:jc w:val="center"/>
              <w:rPr>
                <w:rFonts w:ascii="Times New Roman" w:hAnsi="Times New Roman" w:cs="Times New Roman"/>
                <w:sz w:val="18"/>
                <w:szCs w:val="18"/>
                <w:lang w:val="ru-RU"/>
              </w:rPr>
            </w:pPr>
          </w:p>
          <w:p w14:paraId="274A9B6C" w14:textId="77777777" w:rsidR="00EE55B4" w:rsidRPr="00487209" w:rsidRDefault="00EE55B4" w:rsidP="006C6323">
            <w:pPr>
              <w:spacing w:before="120" w:after="120"/>
              <w:ind w:firstLine="5"/>
              <w:jc w:val="center"/>
              <w:rPr>
                <w:rFonts w:ascii="Times New Roman" w:hAnsi="Times New Roman" w:cs="Times New Roman"/>
                <w:sz w:val="18"/>
                <w:szCs w:val="18"/>
                <w:lang w:val="ru-RU"/>
              </w:rPr>
            </w:pPr>
          </w:p>
          <w:p w14:paraId="74394B2F" w14:textId="77777777" w:rsidR="00EE55B4" w:rsidRPr="00487209" w:rsidRDefault="00EE55B4"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13.2.</w:t>
            </w:r>
          </w:p>
        </w:tc>
        <w:tc>
          <w:tcPr>
            <w:tcW w:w="1231" w:type="pct"/>
            <w:gridSpan w:val="2"/>
            <w:shd w:val="clear" w:color="auto" w:fill="auto"/>
            <w:vAlign w:val="center"/>
          </w:tcPr>
          <w:p w14:paraId="550638D1" w14:textId="77777777" w:rsidR="00EE55B4" w:rsidRPr="00487209" w:rsidRDefault="00EE55B4" w:rsidP="006C6323">
            <w:pPr>
              <w:pStyle w:val="Style7"/>
              <w:spacing w:before="240" w:after="0" w:line="240" w:lineRule="auto"/>
              <w:ind w:right="-23"/>
              <w:jc w:val="both"/>
              <w:outlineLvl w:val="3"/>
              <w:rPr>
                <w:sz w:val="18"/>
                <w:szCs w:val="18"/>
              </w:rPr>
            </w:pPr>
            <w:r w:rsidRPr="00487209">
              <w:rPr>
                <w:sz w:val="18"/>
                <w:szCs w:val="18"/>
              </w:rPr>
              <w:t>Органи тржишног надзора су дужни да спроведу активности и предузму мере у складу са законом да би обезбедили да производи који представљају озбиљан ризик, укључујући озбиљан ризик чије последице нису тренутне и које захтевају хитно поступање, буду опозвани од корисника, повучени са тржишта, односно да се забрани њихова испорука на тржиште и да о томе, без одлагања, буде обавештено Министарство системом брзе размене информација, у складу са чланом 15. овог закона.</w:t>
            </w:r>
          </w:p>
          <w:p w14:paraId="6ABE95BF" w14:textId="77777777" w:rsidR="00EE55B4" w:rsidRPr="00487209" w:rsidRDefault="00EE55B4" w:rsidP="006C6323">
            <w:pPr>
              <w:pStyle w:val="Style7"/>
              <w:spacing w:before="240" w:after="0" w:line="240" w:lineRule="auto"/>
              <w:ind w:right="-23"/>
              <w:jc w:val="both"/>
              <w:outlineLvl w:val="3"/>
              <w:rPr>
                <w:sz w:val="18"/>
                <w:szCs w:val="18"/>
              </w:rPr>
            </w:pPr>
            <w:r w:rsidRPr="00487209">
              <w:rPr>
                <w:sz w:val="18"/>
                <w:szCs w:val="18"/>
              </w:rPr>
              <w:t>О мерама из става 1. овог члана, Министарство обавештава Европску комисију.</w:t>
            </w:r>
          </w:p>
          <w:p w14:paraId="2C83A8D7" w14:textId="77777777" w:rsidR="00EE55B4" w:rsidRPr="00487209" w:rsidRDefault="00EE55B4" w:rsidP="006C6323">
            <w:pPr>
              <w:jc w:val="both"/>
              <w:rPr>
                <w:rFonts w:ascii="Times New Roman" w:hAnsi="Times New Roman" w:cs="Times New Roman"/>
                <w:sz w:val="18"/>
                <w:szCs w:val="18"/>
                <w:lang w:val="nl-BE"/>
              </w:rPr>
            </w:pPr>
          </w:p>
        </w:tc>
        <w:tc>
          <w:tcPr>
            <w:tcW w:w="458" w:type="pct"/>
            <w:shd w:val="clear" w:color="auto" w:fill="auto"/>
            <w:vAlign w:val="center"/>
          </w:tcPr>
          <w:p w14:paraId="51F0FB86" w14:textId="77777777" w:rsidR="00EE55B4" w:rsidRPr="00487209" w:rsidRDefault="00EE55B4"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ДУ</w:t>
            </w:r>
          </w:p>
        </w:tc>
        <w:tc>
          <w:tcPr>
            <w:tcW w:w="598" w:type="pct"/>
            <w:gridSpan w:val="2"/>
            <w:shd w:val="clear" w:color="auto" w:fill="auto"/>
            <w:vAlign w:val="center"/>
          </w:tcPr>
          <w:p w14:paraId="24EE1F18" w14:textId="37A3A52A" w:rsidR="00EE55B4"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EE55B4" w:rsidRPr="00487209">
              <w:rPr>
                <w:rFonts w:ascii="Times New Roman" w:hAnsi="Times New Roman" w:cs="Times New Roman"/>
                <w:sz w:val="18"/>
                <w:szCs w:val="18"/>
                <w:lang w:val="ru-RU"/>
              </w:rPr>
              <w:t xml:space="preserve"> 13. ст. 1. и 2.  Закона о тржишном надзору (</w:t>
            </w:r>
            <w:r w:rsidR="00EE55B4" w:rsidRPr="00487209">
              <w:rPr>
                <w:rFonts w:ascii="Times New Roman" w:hAnsi="Times New Roman" w:cs="Times New Roman"/>
                <w:bCs/>
                <w:sz w:val="18"/>
                <w:szCs w:val="18"/>
                <w:lang w:val="ru-RU"/>
              </w:rPr>
              <w:t>„Службени гласник РСˮ, број 92/11)</w:t>
            </w:r>
            <w:r w:rsidR="00EE55B4" w:rsidRPr="00487209">
              <w:rPr>
                <w:rFonts w:ascii="Times New Roman" w:hAnsi="Times New Roman" w:cs="Times New Roman"/>
                <w:bCs/>
                <w:sz w:val="18"/>
                <w:szCs w:val="18"/>
                <w:lang w:val="sr-Cyrl-CS"/>
              </w:rPr>
              <w:t xml:space="preserve"> </w:t>
            </w:r>
            <w:r>
              <w:rPr>
                <w:rFonts w:ascii="Times New Roman" w:hAnsi="Times New Roman" w:cs="Times New Roman"/>
                <w:sz w:val="18"/>
                <w:szCs w:val="18"/>
                <w:lang w:val="ru-RU"/>
              </w:rPr>
              <w:t>је делимично усклађен са чланом</w:t>
            </w:r>
            <w:r w:rsidR="00EE55B4" w:rsidRPr="00487209">
              <w:rPr>
                <w:rFonts w:ascii="Times New Roman" w:hAnsi="Times New Roman" w:cs="Times New Roman"/>
                <w:sz w:val="18"/>
                <w:szCs w:val="18"/>
                <w:lang w:val="ru-RU"/>
              </w:rPr>
              <w:t xml:space="preserve"> </w:t>
            </w:r>
            <w:r w:rsidR="00EE55B4" w:rsidRPr="00487209">
              <w:rPr>
                <w:rFonts w:ascii="Times New Roman" w:hAnsi="Times New Roman" w:cs="Times New Roman"/>
                <w:sz w:val="18"/>
                <w:szCs w:val="18"/>
                <w:lang w:val="sr-Cyrl-CS"/>
              </w:rPr>
              <w:t>57.2.</w:t>
            </w:r>
            <w:r w:rsidR="00EE55B4" w:rsidRPr="00487209">
              <w:rPr>
                <w:rFonts w:ascii="Times New Roman" w:hAnsi="Times New Roman" w:cs="Times New Roman"/>
                <w:sz w:val="18"/>
                <w:szCs w:val="18"/>
                <w:lang w:val="ru-RU"/>
              </w:rPr>
              <w:t xml:space="preserve"> </w:t>
            </w:r>
            <w:r w:rsidR="00EE55B4" w:rsidRPr="00487209">
              <w:rPr>
                <w:rFonts w:ascii="Times New Roman" w:hAnsi="Times New Roman" w:cs="Times New Roman"/>
                <w:sz w:val="18"/>
                <w:szCs w:val="18"/>
                <w:lang w:val="sr-Cyrl-CS"/>
              </w:rPr>
              <w:t>Уредбе 305/2011 (ЕУ), због статуса нечланице. Потпуно усклађивање биће могуће након приступања ЕУ.</w:t>
            </w:r>
          </w:p>
        </w:tc>
        <w:tc>
          <w:tcPr>
            <w:tcW w:w="480" w:type="pct"/>
            <w:shd w:val="clear" w:color="auto" w:fill="auto"/>
            <w:vAlign w:val="center"/>
          </w:tcPr>
          <w:p w14:paraId="5E2BA645" w14:textId="77777777" w:rsidR="00EE55B4" w:rsidRPr="00487209" w:rsidRDefault="00EE55B4" w:rsidP="006C6323">
            <w:pPr>
              <w:spacing w:before="120" w:after="120"/>
              <w:jc w:val="center"/>
              <w:rPr>
                <w:rFonts w:ascii="Times New Roman" w:hAnsi="Times New Roman" w:cs="Times New Roman"/>
                <w:sz w:val="18"/>
                <w:szCs w:val="18"/>
                <w:lang w:val="nl-BE"/>
              </w:rPr>
            </w:pPr>
          </w:p>
        </w:tc>
      </w:tr>
      <w:tr w:rsidR="00337554" w:rsidRPr="00487209" w14:paraId="68E4110F" w14:textId="77777777" w:rsidTr="007D5144">
        <w:trPr>
          <w:trHeight w:val="1397"/>
          <w:jc w:val="center"/>
        </w:trPr>
        <w:tc>
          <w:tcPr>
            <w:tcW w:w="435" w:type="pct"/>
            <w:shd w:val="clear" w:color="auto" w:fill="auto"/>
            <w:vAlign w:val="center"/>
          </w:tcPr>
          <w:p w14:paraId="6BC54B74" w14:textId="77777777" w:rsidR="00DA10DA" w:rsidRPr="00487209" w:rsidRDefault="00DA10DA"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57.3.</w:t>
            </w:r>
          </w:p>
        </w:tc>
        <w:tc>
          <w:tcPr>
            <w:tcW w:w="1369" w:type="pct"/>
            <w:gridSpan w:val="2"/>
            <w:shd w:val="clear" w:color="auto" w:fill="auto"/>
            <w:vAlign w:val="center"/>
          </w:tcPr>
          <w:p w14:paraId="0AEC9608" w14:textId="77777777" w:rsidR="00DA10DA" w:rsidRPr="00487209" w:rsidRDefault="00DA10DA" w:rsidP="006C6323">
            <w:pPr>
              <w:jc w:val="both"/>
              <w:rPr>
                <w:rFonts w:ascii="Times New Roman" w:hAnsi="Times New Roman" w:cs="Times New Roman"/>
                <w:sz w:val="18"/>
                <w:szCs w:val="18"/>
                <w:lang w:val="sr-Cyrl-CS"/>
              </w:rPr>
            </w:pPr>
          </w:p>
          <w:p w14:paraId="3144722C" w14:textId="77777777" w:rsidR="00DA10DA" w:rsidRPr="00487209" w:rsidRDefault="00DA10DA"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Where the national measure is considered to be justified and the non-compliance of the construction product is attributed to shortcomings in the harmonised standards as referred to in Article 56(5)(b), the Commission shall inform the relevant European standardisation body or bodies and shall bring the matter before the Committee set up pursuant to Article 5 of Directive 98/34/EC. That Committee shall consult with the relevant European standardisation body or bodies and deliver its opinion without delay.</w:t>
            </w:r>
          </w:p>
          <w:p w14:paraId="145DD3B4" w14:textId="61F6155F" w:rsidR="00DA10DA" w:rsidRPr="00487209" w:rsidRDefault="00DA10DA"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Where the national measure is considered to be justified and the non-compliance of the construction product is attributed to shortcomings in the European Assessment Document or in the Specific Technical Documentation as referred to in Article 56(5)(b), the Commission shall bring the </w:t>
            </w:r>
            <w:r w:rsidRPr="00487209">
              <w:rPr>
                <w:rFonts w:ascii="Times New Roman" w:hAnsi="Times New Roman" w:cs="Times New Roman"/>
                <w:sz w:val="18"/>
                <w:szCs w:val="18"/>
                <w:lang w:val="sr-Cyrl-CS"/>
              </w:rPr>
              <w:lastRenderedPageBreak/>
              <w:t>matter before the Standing Committee on Construction and subsequently adopt the appropriate measures.</w:t>
            </w:r>
          </w:p>
        </w:tc>
        <w:tc>
          <w:tcPr>
            <w:tcW w:w="429" w:type="pct"/>
            <w:shd w:val="clear" w:color="auto" w:fill="auto"/>
            <w:vAlign w:val="center"/>
          </w:tcPr>
          <w:p w14:paraId="6E8F66D2" w14:textId="77777777" w:rsidR="00DA10DA" w:rsidRPr="00487209" w:rsidRDefault="00DA10DA"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0E687C9B" w14:textId="77777777" w:rsidR="00DA10DA" w:rsidRPr="00487209" w:rsidRDefault="00DA10DA" w:rsidP="006C6323">
            <w:pPr>
              <w:jc w:val="center"/>
              <w:rPr>
                <w:rFonts w:ascii="Times New Roman" w:hAnsi="Times New Roman" w:cs="Times New Roman"/>
                <w:sz w:val="18"/>
                <w:szCs w:val="18"/>
                <w:lang w:val="sr-Cyrl-CS"/>
              </w:rPr>
            </w:pPr>
          </w:p>
        </w:tc>
        <w:tc>
          <w:tcPr>
            <w:tcW w:w="458" w:type="pct"/>
            <w:shd w:val="clear" w:color="auto" w:fill="auto"/>
            <w:vAlign w:val="center"/>
          </w:tcPr>
          <w:p w14:paraId="5980F297" w14:textId="77777777" w:rsidR="00DA10DA" w:rsidRPr="00487209" w:rsidRDefault="00DA10DA"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НП</w:t>
            </w:r>
          </w:p>
        </w:tc>
        <w:tc>
          <w:tcPr>
            <w:tcW w:w="598" w:type="pct"/>
            <w:gridSpan w:val="2"/>
            <w:shd w:val="clear" w:color="auto" w:fill="auto"/>
            <w:vAlign w:val="center"/>
          </w:tcPr>
          <w:p w14:paraId="42E7721B" w14:textId="04BDAD07" w:rsidR="00DA10DA"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DA10DA" w:rsidRPr="00487209">
              <w:rPr>
                <w:rFonts w:ascii="Times New Roman" w:hAnsi="Times New Roman" w:cs="Times New Roman"/>
                <w:sz w:val="18"/>
                <w:szCs w:val="18"/>
                <w:lang w:val="ru-RU"/>
              </w:rPr>
              <w:t xml:space="preserve"> 57.3. </w:t>
            </w:r>
            <w:r w:rsidR="00DA10DA" w:rsidRPr="00487209">
              <w:rPr>
                <w:rFonts w:ascii="Times New Roman" w:hAnsi="Times New Roman" w:cs="Times New Roman"/>
                <w:sz w:val="18"/>
                <w:szCs w:val="18"/>
                <w:lang w:val="sr-Cyrl-CS"/>
              </w:rPr>
              <w:t>Уредбе 305/2011 (ЕУ) није пренет, пошто се односи на обавезу Европске комисије</w:t>
            </w:r>
            <w:r w:rsidR="00DA10DA" w:rsidRPr="00487209">
              <w:rPr>
                <w:rFonts w:ascii="Times New Roman" w:hAnsi="Times New Roman" w:cs="Times New Roman"/>
                <w:bCs/>
                <w:sz w:val="18"/>
                <w:szCs w:val="18"/>
                <w:lang w:val="sr-Cyrl-CS"/>
              </w:rPr>
              <w:t>.</w:t>
            </w:r>
          </w:p>
        </w:tc>
        <w:tc>
          <w:tcPr>
            <w:tcW w:w="480" w:type="pct"/>
            <w:shd w:val="clear" w:color="auto" w:fill="auto"/>
            <w:vAlign w:val="center"/>
          </w:tcPr>
          <w:p w14:paraId="44115B30" w14:textId="77777777" w:rsidR="00DA10DA" w:rsidRPr="00487209" w:rsidRDefault="00DA10DA" w:rsidP="006C6323">
            <w:pPr>
              <w:spacing w:before="120" w:after="120"/>
              <w:jc w:val="center"/>
              <w:rPr>
                <w:rFonts w:ascii="Times New Roman" w:hAnsi="Times New Roman" w:cs="Times New Roman"/>
                <w:sz w:val="18"/>
                <w:szCs w:val="18"/>
                <w:lang w:val="sr-Cyrl-CS"/>
              </w:rPr>
            </w:pPr>
          </w:p>
        </w:tc>
      </w:tr>
      <w:tr w:rsidR="00337554" w:rsidRPr="00487209" w14:paraId="0E10E580" w14:textId="77777777" w:rsidTr="007D5144">
        <w:trPr>
          <w:trHeight w:val="4452"/>
          <w:jc w:val="center"/>
        </w:trPr>
        <w:tc>
          <w:tcPr>
            <w:tcW w:w="435" w:type="pct"/>
            <w:shd w:val="clear" w:color="auto" w:fill="auto"/>
            <w:vAlign w:val="center"/>
          </w:tcPr>
          <w:p w14:paraId="106F5760"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58.1.</w:t>
            </w:r>
          </w:p>
        </w:tc>
        <w:tc>
          <w:tcPr>
            <w:tcW w:w="1369" w:type="pct"/>
            <w:gridSpan w:val="2"/>
            <w:shd w:val="clear" w:color="auto" w:fill="auto"/>
            <w:vAlign w:val="center"/>
          </w:tcPr>
          <w:p w14:paraId="1A77B912"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Where, having performed an evaluation pursuant to Article 56(1), a Member State finds that, although a construction product is in compliance with this Regulation, it presents a risk for the fulfilment of the basic requirements for construction works, to the health or safety of persons or to other aspects of public interest protection, it shall require the relevant economic operator to take all appropriate measures to ensure that the construction product concerned, when placed on the market, no longer presents that risk, to withdraw the construction product from the market or to recall it within a reasonable period, commensurate with the nature of the risk, which it may prescribe.</w:t>
            </w:r>
          </w:p>
        </w:tc>
        <w:tc>
          <w:tcPr>
            <w:tcW w:w="429" w:type="pct"/>
            <w:shd w:val="clear" w:color="auto" w:fill="auto"/>
            <w:vAlign w:val="center"/>
          </w:tcPr>
          <w:p w14:paraId="7E03AE0B" w14:textId="77777777" w:rsidR="001A264B" w:rsidRPr="00487209" w:rsidRDefault="001A264B"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6E38D946" w14:textId="062B03CB" w:rsidR="00147811" w:rsidRPr="00487209" w:rsidRDefault="001A264B" w:rsidP="00256AF0">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256AF0">
              <w:rPr>
                <w:rFonts w:ascii="Times New Roman" w:hAnsi="Times New Roman" w:cs="Times New Roman"/>
                <w:sz w:val="18"/>
                <w:szCs w:val="18"/>
                <w:lang w:val="ru-RU"/>
              </w:rPr>
              <w:t>57</w:t>
            </w:r>
            <w:r w:rsidR="00147811" w:rsidRPr="00487209">
              <w:rPr>
                <w:rFonts w:ascii="Times New Roman" w:hAnsi="Times New Roman" w:cs="Times New Roman"/>
                <w:sz w:val="18"/>
                <w:szCs w:val="18"/>
                <w:lang w:val="ru-RU"/>
              </w:rPr>
              <w:t>.1.</w:t>
            </w:r>
          </w:p>
        </w:tc>
        <w:tc>
          <w:tcPr>
            <w:tcW w:w="1231" w:type="pct"/>
            <w:gridSpan w:val="2"/>
            <w:shd w:val="clear" w:color="auto" w:fill="auto"/>
            <w:vAlign w:val="center"/>
          </w:tcPr>
          <w:p w14:paraId="4ABD088F" w14:textId="165E9FD2" w:rsidR="00DA10DA" w:rsidRPr="00487209" w:rsidRDefault="00B50FD1" w:rsidP="00B50FD1">
            <w:pPr>
              <w:spacing w:before="120"/>
              <w:ind w:right="-23"/>
              <w:jc w:val="both"/>
              <w:rPr>
                <w:rFonts w:ascii="Times New Roman" w:eastAsia="MS Mincho" w:hAnsi="Times New Roman" w:cs="Times New Roman"/>
                <w:sz w:val="18"/>
                <w:szCs w:val="18"/>
              </w:rPr>
            </w:pPr>
            <w:r w:rsidRPr="00487209">
              <w:rPr>
                <w:rFonts w:ascii="Times New Roman" w:eastAsia="MS Mincho" w:hAnsi="Times New Roman" w:cs="Times New Roman"/>
                <w:sz w:val="18"/>
                <w:szCs w:val="18"/>
              </w:rPr>
              <w:t>Када, након спроведене провере у складу са чланом 64. овог закона надлежни инспектор утврди да грађевински производ, без обзира што је усаглашен са овим законом, техничком спецификацијом или техничким прописом, представља ризик по испуњење основних захтева за објекте, здравље или безбедност људи или друге аспекте заштите јавног интереса, он захтева од одговарајућег привредног субјекта да предузме све одговарајуће мере како би обезбедио да предметни грађевински производ приликом стављања на тржиште више не представља ризик, повукао тај грађевински производ са тржишта или га опозвао у неком разумном року, сразмерно природи тог ризика.</w:t>
            </w:r>
          </w:p>
        </w:tc>
        <w:tc>
          <w:tcPr>
            <w:tcW w:w="458" w:type="pct"/>
            <w:shd w:val="clear" w:color="auto" w:fill="auto"/>
            <w:vAlign w:val="center"/>
          </w:tcPr>
          <w:p w14:paraId="50FE33D5" w14:textId="77777777" w:rsidR="00147811" w:rsidRPr="00487209" w:rsidRDefault="00DA10DA"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w:t>
            </w:r>
            <w:r w:rsidR="00147811" w:rsidRPr="00487209">
              <w:rPr>
                <w:rFonts w:ascii="Times New Roman" w:hAnsi="Times New Roman" w:cs="Times New Roman"/>
                <w:sz w:val="18"/>
                <w:szCs w:val="18"/>
                <w:lang w:val="sr-Cyrl-CS"/>
              </w:rPr>
              <w:t>У</w:t>
            </w:r>
          </w:p>
        </w:tc>
        <w:tc>
          <w:tcPr>
            <w:tcW w:w="598" w:type="pct"/>
            <w:gridSpan w:val="2"/>
            <w:shd w:val="clear" w:color="auto" w:fill="auto"/>
            <w:vAlign w:val="center"/>
          </w:tcPr>
          <w:p w14:paraId="43176312" w14:textId="77777777" w:rsidR="00147811" w:rsidRPr="00487209" w:rsidRDefault="00147811" w:rsidP="006C6323">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73408A92"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58FE6773" w14:textId="77777777" w:rsidTr="007D5144">
        <w:trPr>
          <w:trHeight w:val="688"/>
          <w:jc w:val="center"/>
        </w:trPr>
        <w:tc>
          <w:tcPr>
            <w:tcW w:w="435" w:type="pct"/>
            <w:shd w:val="clear" w:color="auto" w:fill="auto"/>
            <w:vAlign w:val="center"/>
          </w:tcPr>
          <w:p w14:paraId="394106B0"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58.2.</w:t>
            </w:r>
          </w:p>
        </w:tc>
        <w:tc>
          <w:tcPr>
            <w:tcW w:w="1369" w:type="pct"/>
            <w:gridSpan w:val="2"/>
            <w:shd w:val="clear" w:color="auto" w:fill="auto"/>
            <w:vAlign w:val="center"/>
          </w:tcPr>
          <w:p w14:paraId="0EAA67B4"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The economic operator shall ensure that any corrective action is taken in respect of all the construction products concerned which that economic operator has made available on the market throughout the Union.</w:t>
            </w:r>
          </w:p>
        </w:tc>
        <w:tc>
          <w:tcPr>
            <w:tcW w:w="429" w:type="pct"/>
            <w:shd w:val="clear" w:color="auto" w:fill="auto"/>
            <w:vAlign w:val="center"/>
          </w:tcPr>
          <w:p w14:paraId="3A592F18" w14:textId="77777777" w:rsidR="001A264B" w:rsidRPr="00487209" w:rsidRDefault="001A264B"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0A70893C" w14:textId="52CD224C" w:rsidR="00147811" w:rsidRPr="00487209" w:rsidRDefault="001A264B" w:rsidP="00256AF0">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256AF0">
              <w:rPr>
                <w:rFonts w:ascii="Times New Roman" w:hAnsi="Times New Roman" w:cs="Times New Roman"/>
                <w:sz w:val="18"/>
                <w:szCs w:val="18"/>
                <w:lang w:val="ru-RU"/>
              </w:rPr>
              <w:t>57</w:t>
            </w:r>
            <w:r w:rsidR="00147811" w:rsidRPr="00487209">
              <w:rPr>
                <w:rFonts w:ascii="Times New Roman" w:hAnsi="Times New Roman" w:cs="Times New Roman"/>
                <w:sz w:val="18"/>
                <w:szCs w:val="18"/>
                <w:lang w:val="ru-RU"/>
              </w:rPr>
              <w:t>.2.</w:t>
            </w:r>
          </w:p>
        </w:tc>
        <w:tc>
          <w:tcPr>
            <w:tcW w:w="1231" w:type="pct"/>
            <w:gridSpan w:val="2"/>
            <w:shd w:val="clear" w:color="auto" w:fill="auto"/>
            <w:vAlign w:val="center"/>
          </w:tcPr>
          <w:p w14:paraId="26F341CC" w14:textId="061FB3FB" w:rsidR="00147811" w:rsidRPr="00487209" w:rsidRDefault="00B50FD1" w:rsidP="00B50FD1">
            <w:pPr>
              <w:spacing w:before="120"/>
              <w:ind w:right="-23"/>
              <w:jc w:val="both"/>
              <w:rPr>
                <w:rFonts w:ascii="Times New Roman" w:eastAsia="Batang" w:hAnsi="Times New Roman" w:cs="Times New Roman"/>
                <w:sz w:val="18"/>
                <w:szCs w:val="18"/>
                <w:lang w:eastAsia="ko-KR"/>
              </w:rPr>
            </w:pPr>
            <w:r w:rsidRPr="00487209">
              <w:rPr>
                <w:rFonts w:ascii="Times New Roman" w:eastAsia="MS Mincho" w:hAnsi="Times New Roman" w:cs="Times New Roman"/>
                <w:sz w:val="18"/>
                <w:szCs w:val="18"/>
              </w:rPr>
              <w:t>Привредни субјект обезбеђује предузимање свих корективних мера сходно решењу надлежног инспектора, у вези свих грађевинских производа из става 1. овог члана које је тај привредни учинио доступним на тржишту.</w:t>
            </w:r>
          </w:p>
        </w:tc>
        <w:tc>
          <w:tcPr>
            <w:tcW w:w="458" w:type="pct"/>
            <w:shd w:val="clear" w:color="auto" w:fill="auto"/>
            <w:vAlign w:val="center"/>
          </w:tcPr>
          <w:p w14:paraId="5D2FE954"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ДУ</w:t>
            </w:r>
          </w:p>
        </w:tc>
        <w:tc>
          <w:tcPr>
            <w:tcW w:w="598" w:type="pct"/>
            <w:gridSpan w:val="2"/>
            <w:shd w:val="clear" w:color="auto" w:fill="auto"/>
            <w:vAlign w:val="center"/>
          </w:tcPr>
          <w:p w14:paraId="03980AC8" w14:textId="751BCC74" w:rsidR="00DA10DA" w:rsidRPr="00487209" w:rsidRDefault="00CC5598" w:rsidP="00256AF0">
            <w:pPr>
              <w:spacing w:before="120" w:after="120"/>
              <w:ind w:firstLine="21"/>
              <w:jc w:val="both"/>
              <w:rPr>
                <w:rFonts w:ascii="Times New Roman" w:hAnsi="Times New Roman" w:cs="Times New Roman"/>
                <w:sz w:val="18"/>
                <w:szCs w:val="18"/>
                <w:lang w:val="sr-Cyrl-CS"/>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w:t>
            </w:r>
            <w:r w:rsidR="00256AF0">
              <w:rPr>
                <w:rFonts w:ascii="Times New Roman" w:hAnsi="Times New Roman" w:cs="Times New Roman"/>
                <w:sz w:val="18"/>
                <w:szCs w:val="18"/>
                <w:lang w:val="ru-RU"/>
              </w:rPr>
              <w:t>57</w:t>
            </w:r>
            <w:r>
              <w:rPr>
                <w:rFonts w:ascii="Times New Roman" w:hAnsi="Times New Roman" w:cs="Times New Roman"/>
                <w:sz w:val="18"/>
                <w:szCs w:val="18"/>
                <w:lang w:val="ru-RU"/>
              </w:rPr>
              <w:t>. став</w:t>
            </w:r>
            <w:r w:rsidR="00147811" w:rsidRPr="00487209">
              <w:rPr>
                <w:rFonts w:ascii="Times New Roman" w:hAnsi="Times New Roman" w:cs="Times New Roman"/>
                <w:sz w:val="18"/>
                <w:szCs w:val="18"/>
                <w:lang w:val="ru-RU"/>
              </w:rPr>
              <w:t xml:space="preserve"> 2.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sidR="00147811" w:rsidRPr="00487209">
              <w:rPr>
                <w:rFonts w:ascii="Times New Roman" w:hAnsi="Times New Roman" w:cs="Times New Roman"/>
                <w:sz w:val="18"/>
                <w:szCs w:val="18"/>
                <w:lang w:val="ru-RU"/>
              </w:rPr>
              <w:t xml:space="preserve"> је делимично усклађен</w:t>
            </w:r>
            <w:r>
              <w:rPr>
                <w:rFonts w:ascii="Times New Roman" w:hAnsi="Times New Roman" w:cs="Times New Roman"/>
                <w:sz w:val="18"/>
                <w:szCs w:val="18"/>
                <w:lang w:val="ru-RU"/>
              </w:rPr>
              <w:t xml:space="preserve"> са чланом</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lang w:val="sr-Cyrl-CS"/>
              </w:rPr>
              <w:t>58.2.</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lang w:val="sr-Cyrl-CS"/>
              </w:rPr>
              <w:t xml:space="preserve">Уредбе 305/2011 (ЕУ), због статуса нечланице. Потпуно </w:t>
            </w:r>
            <w:r w:rsidR="00147811" w:rsidRPr="00487209">
              <w:rPr>
                <w:rFonts w:ascii="Times New Roman" w:hAnsi="Times New Roman" w:cs="Times New Roman"/>
                <w:sz w:val="18"/>
                <w:szCs w:val="18"/>
                <w:lang w:val="sr-Cyrl-CS"/>
              </w:rPr>
              <w:lastRenderedPageBreak/>
              <w:t>усклађивање биће могуће након приступања ЕУ.</w:t>
            </w:r>
          </w:p>
        </w:tc>
        <w:tc>
          <w:tcPr>
            <w:tcW w:w="480" w:type="pct"/>
            <w:shd w:val="clear" w:color="auto" w:fill="auto"/>
            <w:vAlign w:val="center"/>
          </w:tcPr>
          <w:p w14:paraId="7AE25C5D"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5CBA79DA" w14:textId="77777777" w:rsidTr="007D5144">
        <w:trPr>
          <w:trHeight w:val="1970"/>
          <w:jc w:val="center"/>
        </w:trPr>
        <w:tc>
          <w:tcPr>
            <w:tcW w:w="435" w:type="pct"/>
            <w:shd w:val="clear" w:color="auto" w:fill="auto"/>
            <w:vAlign w:val="center"/>
          </w:tcPr>
          <w:p w14:paraId="32D396CC" w14:textId="77777777" w:rsidR="00DA10DA" w:rsidRPr="00487209" w:rsidRDefault="00DA10DA"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58.3.</w:t>
            </w:r>
          </w:p>
        </w:tc>
        <w:tc>
          <w:tcPr>
            <w:tcW w:w="1369" w:type="pct"/>
            <w:gridSpan w:val="2"/>
            <w:shd w:val="clear" w:color="auto" w:fill="auto"/>
            <w:vAlign w:val="center"/>
          </w:tcPr>
          <w:p w14:paraId="7A4CD8C9" w14:textId="77777777" w:rsidR="00DA10DA" w:rsidRPr="00487209" w:rsidRDefault="00DA10DA" w:rsidP="006C6323">
            <w:pPr>
              <w:jc w:val="both"/>
              <w:rPr>
                <w:rFonts w:ascii="Times New Roman" w:hAnsi="Times New Roman" w:cs="Times New Roman"/>
                <w:sz w:val="18"/>
                <w:szCs w:val="18"/>
              </w:rPr>
            </w:pPr>
            <w:r w:rsidRPr="00487209">
              <w:rPr>
                <w:rFonts w:ascii="Times New Roman" w:hAnsi="Times New Roman" w:cs="Times New Roman"/>
                <w:sz w:val="18"/>
                <w:szCs w:val="18"/>
              </w:rPr>
              <w:t>The Member State shall immediately inform the Commission and the other Member States. That information shall include all available details, in particular the data necessary for the identification of the construction product concerned, the origin and the supply chain of the product, the nature of the risk involved and the nature and duration of the national measures taken.</w:t>
            </w:r>
          </w:p>
        </w:tc>
        <w:tc>
          <w:tcPr>
            <w:tcW w:w="429" w:type="pct"/>
            <w:shd w:val="clear" w:color="auto" w:fill="auto"/>
            <w:vAlign w:val="center"/>
          </w:tcPr>
          <w:p w14:paraId="6F3398BC" w14:textId="77777777" w:rsidR="002E171A" w:rsidRPr="00487209" w:rsidRDefault="002E171A" w:rsidP="006C6323">
            <w:pPr>
              <w:spacing w:before="120" w:after="120"/>
              <w:ind w:firstLine="5"/>
              <w:jc w:val="center"/>
              <w:rPr>
                <w:rFonts w:ascii="Times New Roman" w:hAnsi="Times New Roman" w:cs="Times New Roman"/>
                <w:sz w:val="18"/>
                <w:szCs w:val="18"/>
                <w:lang w:val="ru-RU"/>
              </w:rPr>
            </w:pPr>
          </w:p>
          <w:p w14:paraId="6487B5CD" w14:textId="77777777" w:rsidR="002E171A" w:rsidRPr="00487209" w:rsidRDefault="002E171A" w:rsidP="006C6323">
            <w:pPr>
              <w:spacing w:before="120" w:after="120"/>
              <w:ind w:firstLine="5"/>
              <w:jc w:val="center"/>
              <w:rPr>
                <w:rFonts w:ascii="Times New Roman" w:hAnsi="Times New Roman" w:cs="Times New Roman"/>
                <w:sz w:val="18"/>
                <w:szCs w:val="18"/>
                <w:lang w:val="ru-RU"/>
              </w:rPr>
            </w:pPr>
          </w:p>
          <w:p w14:paraId="71259E90" w14:textId="745463DB" w:rsidR="00DA10DA" w:rsidRPr="00487209" w:rsidRDefault="00DA10DA"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02.</w:t>
            </w:r>
          </w:p>
          <w:p w14:paraId="4B40EAC8" w14:textId="77777777" w:rsidR="00DA10DA" w:rsidRPr="00487209" w:rsidRDefault="00DA10DA"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13.1.</w:t>
            </w:r>
          </w:p>
          <w:p w14:paraId="147BC6DC" w14:textId="77777777" w:rsidR="00DA10DA" w:rsidRPr="00487209" w:rsidRDefault="00DA10DA" w:rsidP="006C6323">
            <w:pPr>
              <w:spacing w:before="120" w:after="120"/>
              <w:ind w:firstLine="5"/>
              <w:jc w:val="center"/>
              <w:rPr>
                <w:rFonts w:ascii="Times New Roman" w:hAnsi="Times New Roman" w:cs="Times New Roman"/>
                <w:sz w:val="18"/>
                <w:szCs w:val="18"/>
                <w:lang w:val="ru-RU"/>
              </w:rPr>
            </w:pPr>
          </w:p>
          <w:p w14:paraId="3B079541" w14:textId="61229C85" w:rsidR="00DA10DA" w:rsidRPr="00487209" w:rsidRDefault="00DA10DA" w:rsidP="002E171A">
            <w:pPr>
              <w:spacing w:before="120" w:after="120"/>
              <w:rPr>
                <w:rFonts w:ascii="Times New Roman" w:hAnsi="Times New Roman" w:cs="Times New Roman"/>
                <w:sz w:val="18"/>
                <w:szCs w:val="18"/>
                <w:lang w:val="ru-RU"/>
              </w:rPr>
            </w:pPr>
          </w:p>
          <w:p w14:paraId="2CF5A62C" w14:textId="77777777" w:rsidR="00DA10DA" w:rsidRPr="00487209" w:rsidRDefault="00DA10DA" w:rsidP="006C6323">
            <w:pPr>
              <w:spacing w:before="120" w:after="120"/>
              <w:ind w:firstLine="5"/>
              <w:jc w:val="center"/>
              <w:rPr>
                <w:rFonts w:ascii="Times New Roman" w:hAnsi="Times New Roman" w:cs="Times New Roman"/>
                <w:sz w:val="18"/>
                <w:szCs w:val="18"/>
                <w:lang w:val="ru-RU"/>
              </w:rPr>
            </w:pPr>
          </w:p>
          <w:p w14:paraId="66F4AB5E" w14:textId="77777777" w:rsidR="00DA10DA" w:rsidRPr="00487209" w:rsidRDefault="00DA10DA" w:rsidP="006C6323">
            <w:pPr>
              <w:spacing w:before="120" w:after="120"/>
              <w:ind w:firstLine="5"/>
              <w:jc w:val="center"/>
              <w:rPr>
                <w:rFonts w:ascii="Times New Roman" w:hAnsi="Times New Roman" w:cs="Times New Roman"/>
                <w:sz w:val="18"/>
                <w:szCs w:val="18"/>
                <w:lang w:val="ru-RU"/>
              </w:rPr>
            </w:pPr>
          </w:p>
          <w:p w14:paraId="535F16A1" w14:textId="77777777" w:rsidR="00DA10DA" w:rsidRPr="00487209" w:rsidRDefault="00DA10DA" w:rsidP="006C6323">
            <w:pPr>
              <w:spacing w:before="120" w:after="120"/>
              <w:ind w:firstLine="5"/>
              <w:jc w:val="center"/>
              <w:rPr>
                <w:rFonts w:ascii="Times New Roman" w:hAnsi="Times New Roman" w:cs="Times New Roman"/>
                <w:sz w:val="18"/>
                <w:szCs w:val="18"/>
                <w:lang w:val="ru-RU"/>
              </w:rPr>
            </w:pPr>
          </w:p>
          <w:p w14:paraId="01F40465" w14:textId="77777777" w:rsidR="00DA10DA" w:rsidRPr="00487209" w:rsidRDefault="00DA10DA" w:rsidP="006C6323">
            <w:pPr>
              <w:spacing w:before="120" w:after="120"/>
              <w:ind w:firstLine="5"/>
              <w:jc w:val="center"/>
              <w:rPr>
                <w:rFonts w:ascii="Times New Roman" w:hAnsi="Times New Roman" w:cs="Times New Roman"/>
                <w:sz w:val="18"/>
                <w:szCs w:val="18"/>
                <w:lang w:val="ru-RU"/>
              </w:rPr>
            </w:pPr>
          </w:p>
          <w:p w14:paraId="09594B5F" w14:textId="77777777" w:rsidR="00DA10DA" w:rsidRPr="00487209" w:rsidRDefault="00DA10DA"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13.2.</w:t>
            </w:r>
          </w:p>
        </w:tc>
        <w:tc>
          <w:tcPr>
            <w:tcW w:w="1231" w:type="pct"/>
            <w:gridSpan w:val="2"/>
            <w:shd w:val="clear" w:color="auto" w:fill="auto"/>
            <w:vAlign w:val="center"/>
          </w:tcPr>
          <w:p w14:paraId="41AD233A" w14:textId="77777777" w:rsidR="00DA10DA" w:rsidRPr="00487209" w:rsidRDefault="00DA10DA" w:rsidP="006C6323">
            <w:pPr>
              <w:pStyle w:val="Style7"/>
              <w:spacing w:before="240" w:after="0" w:line="240" w:lineRule="auto"/>
              <w:ind w:right="-23"/>
              <w:jc w:val="both"/>
              <w:outlineLvl w:val="3"/>
              <w:rPr>
                <w:sz w:val="18"/>
                <w:szCs w:val="18"/>
              </w:rPr>
            </w:pPr>
            <w:r w:rsidRPr="00487209">
              <w:rPr>
                <w:sz w:val="18"/>
                <w:szCs w:val="18"/>
              </w:rPr>
              <w:t>Органи тржишног надзора су дужни да спроведу активности и предузму мере у складу са законом да би обезбедили да производи који представљају озбиљан ризик, укључујући озбиљан ризик чије последице нису тренутне и које захтевају хитно поступање, буду опозвани од корисника, повучени са тржишта, односно да се забрани њихова испорука на тржиште и да о томе, без одлагања, буде обавештено Министарство системом брзе размене информација, у складу са чланом 15. овог закона.</w:t>
            </w:r>
          </w:p>
          <w:p w14:paraId="2A2D3CE2" w14:textId="77777777" w:rsidR="00DA10DA" w:rsidRPr="00487209" w:rsidRDefault="00DA10DA" w:rsidP="006C6323">
            <w:pPr>
              <w:pStyle w:val="Style7"/>
              <w:spacing w:before="240" w:after="0" w:line="240" w:lineRule="auto"/>
              <w:ind w:right="-23"/>
              <w:jc w:val="both"/>
              <w:outlineLvl w:val="3"/>
              <w:rPr>
                <w:sz w:val="18"/>
                <w:szCs w:val="18"/>
              </w:rPr>
            </w:pPr>
            <w:r w:rsidRPr="00487209">
              <w:rPr>
                <w:sz w:val="18"/>
                <w:szCs w:val="18"/>
              </w:rPr>
              <w:t>О мерама из става 1. овог члана, Министарство обавештава Европску комисију.</w:t>
            </w:r>
          </w:p>
          <w:p w14:paraId="248565F9" w14:textId="77777777" w:rsidR="00DA10DA" w:rsidRPr="00487209" w:rsidRDefault="00DA10DA" w:rsidP="006C6323">
            <w:pPr>
              <w:jc w:val="both"/>
              <w:rPr>
                <w:rFonts w:ascii="Times New Roman" w:hAnsi="Times New Roman" w:cs="Times New Roman"/>
                <w:sz w:val="18"/>
                <w:szCs w:val="18"/>
                <w:lang w:val="nl-BE"/>
              </w:rPr>
            </w:pPr>
          </w:p>
        </w:tc>
        <w:tc>
          <w:tcPr>
            <w:tcW w:w="458" w:type="pct"/>
            <w:shd w:val="clear" w:color="auto" w:fill="auto"/>
            <w:vAlign w:val="center"/>
          </w:tcPr>
          <w:p w14:paraId="2CA5B9F4" w14:textId="77777777" w:rsidR="00DA10DA" w:rsidRPr="00487209" w:rsidRDefault="00DA10DA"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ДУ</w:t>
            </w:r>
          </w:p>
        </w:tc>
        <w:tc>
          <w:tcPr>
            <w:tcW w:w="598" w:type="pct"/>
            <w:gridSpan w:val="2"/>
            <w:shd w:val="clear" w:color="auto" w:fill="auto"/>
            <w:vAlign w:val="center"/>
          </w:tcPr>
          <w:p w14:paraId="6CDB9DD4" w14:textId="0F1B2521" w:rsidR="00DA10DA"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DA10DA" w:rsidRPr="00487209">
              <w:rPr>
                <w:rFonts w:ascii="Times New Roman" w:hAnsi="Times New Roman" w:cs="Times New Roman"/>
                <w:sz w:val="18"/>
                <w:szCs w:val="18"/>
                <w:lang w:val="ru-RU"/>
              </w:rPr>
              <w:t xml:space="preserve"> 13. ст. 1. и 2.  Закона о тржишном надзору (</w:t>
            </w:r>
            <w:r w:rsidR="00DA10DA" w:rsidRPr="00487209">
              <w:rPr>
                <w:rFonts w:ascii="Times New Roman" w:hAnsi="Times New Roman" w:cs="Times New Roman"/>
                <w:bCs/>
                <w:sz w:val="18"/>
                <w:szCs w:val="18"/>
                <w:lang w:val="ru-RU"/>
              </w:rPr>
              <w:t>„Службени гласник РСˮ, број 92/11)</w:t>
            </w:r>
            <w:r w:rsidR="00DA10DA" w:rsidRPr="00487209">
              <w:rPr>
                <w:rFonts w:ascii="Times New Roman" w:hAnsi="Times New Roman" w:cs="Times New Roman"/>
                <w:bCs/>
                <w:sz w:val="18"/>
                <w:szCs w:val="18"/>
                <w:lang w:val="sr-Cyrl-CS"/>
              </w:rPr>
              <w:t xml:space="preserve"> </w:t>
            </w:r>
            <w:r w:rsidR="00DA10DA" w:rsidRPr="00487209">
              <w:rPr>
                <w:rFonts w:ascii="Times New Roman" w:hAnsi="Times New Roman" w:cs="Times New Roman"/>
                <w:sz w:val="18"/>
                <w:szCs w:val="18"/>
                <w:lang w:val="ru-RU"/>
              </w:rPr>
              <w:t xml:space="preserve">је делимично усклађен са чл. </w:t>
            </w:r>
            <w:r w:rsidR="00DA10DA" w:rsidRPr="00487209">
              <w:rPr>
                <w:rFonts w:ascii="Times New Roman" w:hAnsi="Times New Roman" w:cs="Times New Roman"/>
                <w:sz w:val="18"/>
                <w:szCs w:val="18"/>
                <w:lang w:val="sr-Cyrl-CS"/>
              </w:rPr>
              <w:t>58.3.</w:t>
            </w:r>
            <w:r w:rsidR="00DA10DA" w:rsidRPr="00487209">
              <w:rPr>
                <w:rFonts w:ascii="Times New Roman" w:hAnsi="Times New Roman" w:cs="Times New Roman"/>
                <w:sz w:val="18"/>
                <w:szCs w:val="18"/>
                <w:lang w:val="ru-RU"/>
              </w:rPr>
              <w:t xml:space="preserve"> </w:t>
            </w:r>
            <w:r w:rsidR="00DA10DA" w:rsidRPr="00487209">
              <w:rPr>
                <w:rFonts w:ascii="Times New Roman" w:hAnsi="Times New Roman" w:cs="Times New Roman"/>
                <w:sz w:val="18"/>
                <w:szCs w:val="18"/>
                <w:lang w:val="sr-Cyrl-CS"/>
              </w:rPr>
              <w:t>Уредбе 305/2011 (ЕУ), због статуса нечланице. Потпуно усклађивање биће могуће након приступања ЕУ.</w:t>
            </w:r>
          </w:p>
        </w:tc>
        <w:tc>
          <w:tcPr>
            <w:tcW w:w="480" w:type="pct"/>
            <w:shd w:val="clear" w:color="auto" w:fill="auto"/>
            <w:vAlign w:val="center"/>
          </w:tcPr>
          <w:p w14:paraId="4042C633" w14:textId="77777777" w:rsidR="00DA10DA" w:rsidRPr="00487209" w:rsidRDefault="00DA10DA" w:rsidP="006C6323">
            <w:pPr>
              <w:spacing w:before="120" w:after="120"/>
              <w:jc w:val="center"/>
              <w:rPr>
                <w:rFonts w:ascii="Times New Roman" w:hAnsi="Times New Roman" w:cs="Times New Roman"/>
                <w:sz w:val="18"/>
                <w:szCs w:val="18"/>
                <w:lang w:val="sr-Cyrl-CS"/>
              </w:rPr>
            </w:pPr>
          </w:p>
        </w:tc>
      </w:tr>
      <w:tr w:rsidR="00337554" w:rsidRPr="00487209" w14:paraId="09C1C94D" w14:textId="77777777" w:rsidTr="007D5144">
        <w:trPr>
          <w:trHeight w:val="1970"/>
          <w:jc w:val="center"/>
        </w:trPr>
        <w:tc>
          <w:tcPr>
            <w:tcW w:w="435" w:type="pct"/>
            <w:shd w:val="clear" w:color="auto" w:fill="auto"/>
            <w:vAlign w:val="center"/>
          </w:tcPr>
          <w:p w14:paraId="78E18C8A"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58.4.</w:t>
            </w:r>
          </w:p>
        </w:tc>
        <w:tc>
          <w:tcPr>
            <w:tcW w:w="1369" w:type="pct"/>
            <w:gridSpan w:val="2"/>
            <w:shd w:val="clear" w:color="auto" w:fill="auto"/>
            <w:vAlign w:val="center"/>
          </w:tcPr>
          <w:p w14:paraId="7FD97CFF"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The Commission shall without delay enter into consultation with the Member States and the relevant economic operator(s) and shall evaluate the national measures taken. On the basis of the results of that evaluation, the Commission shall decide whether the measure is justified or not and, where necessary, propose appropriate measures.</w:t>
            </w:r>
          </w:p>
        </w:tc>
        <w:tc>
          <w:tcPr>
            <w:tcW w:w="429" w:type="pct"/>
            <w:shd w:val="clear" w:color="auto" w:fill="auto"/>
            <w:vAlign w:val="center"/>
          </w:tcPr>
          <w:p w14:paraId="559D2E02"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09FAE7CF"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799BA4F2"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6313D352" w14:textId="26EB6168"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rPr>
              <w:t>58.4.</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0A9ED0ED"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70C0F54C" w14:textId="77777777" w:rsidTr="007D5144">
        <w:trPr>
          <w:trHeight w:val="1970"/>
          <w:jc w:val="center"/>
        </w:trPr>
        <w:tc>
          <w:tcPr>
            <w:tcW w:w="435" w:type="pct"/>
            <w:shd w:val="clear" w:color="auto" w:fill="auto"/>
            <w:vAlign w:val="center"/>
          </w:tcPr>
          <w:p w14:paraId="6A544119"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58.5.</w:t>
            </w:r>
          </w:p>
        </w:tc>
        <w:tc>
          <w:tcPr>
            <w:tcW w:w="1369" w:type="pct"/>
            <w:gridSpan w:val="2"/>
            <w:shd w:val="clear" w:color="auto" w:fill="auto"/>
            <w:vAlign w:val="center"/>
          </w:tcPr>
          <w:p w14:paraId="3D5249C7"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The Commission shall address its decision to all Member States and shall immediately communicate it to them and to the relevant economic operator(s).</w:t>
            </w:r>
          </w:p>
        </w:tc>
        <w:tc>
          <w:tcPr>
            <w:tcW w:w="429" w:type="pct"/>
            <w:shd w:val="clear" w:color="auto" w:fill="auto"/>
            <w:vAlign w:val="center"/>
          </w:tcPr>
          <w:p w14:paraId="18E52E23"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2B27BC33"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2E6BAEF2"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74233927" w14:textId="16604220"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rPr>
              <w:t>58.5.</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065472B3"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62DB3298" w14:textId="77777777" w:rsidTr="007D5144">
        <w:trPr>
          <w:trHeight w:val="1970"/>
          <w:jc w:val="center"/>
        </w:trPr>
        <w:tc>
          <w:tcPr>
            <w:tcW w:w="435" w:type="pct"/>
            <w:shd w:val="clear" w:color="auto" w:fill="auto"/>
            <w:vAlign w:val="center"/>
          </w:tcPr>
          <w:p w14:paraId="358F4E42"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59.1.(a)</w:t>
            </w:r>
          </w:p>
        </w:tc>
        <w:tc>
          <w:tcPr>
            <w:tcW w:w="1369" w:type="pct"/>
            <w:gridSpan w:val="2"/>
            <w:shd w:val="clear" w:color="auto" w:fill="auto"/>
            <w:vAlign w:val="center"/>
          </w:tcPr>
          <w:p w14:paraId="55BA184F"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Without prejudice to Article 56, where a Member State makes one of the following findings, it shall require the relevant economic operator to put an end to the non-compliance concerned:</w:t>
            </w:r>
          </w:p>
          <w:p w14:paraId="5F4382D6"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the CE marking has been affixed in breach of Article 8 or 9;</w:t>
            </w:r>
          </w:p>
          <w:p w14:paraId="3BFF3A69" w14:textId="77777777" w:rsidR="00147811" w:rsidRPr="00487209" w:rsidRDefault="00147811" w:rsidP="006C6323">
            <w:pPr>
              <w:jc w:val="both"/>
              <w:rPr>
                <w:rFonts w:ascii="Times New Roman" w:hAnsi="Times New Roman" w:cs="Times New Roman"/>
                <w:sz w:val="18"/>
                <w:szCs w:val="18"/>
                <w:lang w:val="sr-Cyrl-CS"/>
              </w:rPr>
            </w:pPr>
          </w:p>
        </w:tc>
        <w:tc>
          <w:tcPr>
            <w:tcW w:w="429" w:type="pct"/>
            <w:shd w:val="clear" w:color="auto" w:fill="auto"/>
            <w:vAlign w:val="center"/>
          </w:tcPr>
          <w:p w14:paraId="4970B2D9" w14:textId="77777777" w:rsidR="001A264B" w:rsidRPr="00487209" w:rsidRDefault="001A264B"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038A0D78" w14:textId="7F7D6A81" w:rsidR="00147811" w:rsidRPr="00487209" w:rsidRDefault="001A264B" w:rsidP="0022093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220934">
              <w:rPr>
                <w:rFonts w:ascii="Times New Roman" w:hAnsi="Times New Roman" w:cs="Times New Roman"/>
                <w:sz w:val="18"/>
                <w:szCs w:val="18"/>
                <w:lang w:val="ru-RU"/>
              </w:rPr>
              <w:t>59</w:t>
            </w:r>
            <w:r w:rsidR="00147811" w:rsidRPr="00487209">
              <w:rPr>
                <w:rFonts w:ascii="Times New Roman" w:hAnsi="Times New Roman" w:cs="Times New Roman"/>
                <w:sz w:val="18"/>
                <w:szCs w:val="18"/>
                <w:lang w:val="ru-RU"/>
              </w:rPr>
              <w:t>.2.1)</w:t>
            </w:r>
          </w:p>
        </w:tc>
        <w:tc>
          <w:tcPr>
            <w:tcW w:w="1231" w:type="pct"/>
            <w:gridSpan w:val="2"/>
            <w:shd w:val="clear" w:color="auto" w:fill="auto"/>
            <w:vAlign w:val="center"/>
          </w:tcPr>
          <w:p w14:paraId="623377E1" w14:textId="4FE4F221" w:rsidR="00147811" w:rsidRPr="00487209" w:rsidRDefault="00147811" w:rsidP="006C6323">
            <w:pPr>
              <w:pStyle w:val="Style7"/>
              <w:spacing w:before="240" w:after="0" w:line="240" w:lineRule="auto"/>
              <w:ind w:right="-23"/>
              <w:jc w:val="both"/>
              <w:outlineLvl w:val="3"/>
              <w:rPr>
                <w:rStyle w:val="FontStyle42"/>
                <w:rFonts w:ascii="Times New Roman" w:hAnsi="Times New Roman" w:cs="Times New Roman"/>
                <w:sz w:val="18"/>
                <w:szCs w:val="18"/>
              </w:rPr>
            </w:pPr>
            <w:r w:rsidRPr="00487209">
              <w:rPr>
                <w:rStyle w:val="FontStyle42"/>
                <w:rFonts w:ascii="Times New Roman" w:hAnsi="Times New Roman" w:cs="Times New Roman"/>
                <w:sz w:val="18"/>
                <w:szCs w:val="18"/>
              </w:rPr>
              <w:t xml:space="preserve">Надлежни инспектор је овлашћен да привредном субјекту </w:t>
            </w:r>
            <w:r w:rsidR="00220934">
              <w:rPr>
                <w:rStyle w:val="FontStyle42"/>
                <w:rFonts w:ascii="Times New Roman" w:hAnsi="Times New Roman" w:cs="Times New Roman"/>
                <w:sz w:val="18"/>
                <w:szCs w:val="18"/>
              </w:rPr>
              <w:t xml:space="preserve">наложи </w:t>
            </w:r>
            <w:r w:rsidRPr="00487209">
              <w:rPr>
                <w:rStyle w:val="FontStyle42"/>
                <w:rFonts w:ascii="Times New Roman" w:hAnsi="Times New Roman" w:cs="Times New Roman"/>
                <w:sz w:val="18"/>
                <w:szCs w:val="18"/>
              </w:rPr>
              <w:t xml:space="preserve">отклањање формалних неусаглашености и одреди примерен рок за </w:t>
            </w:r>
            <w:r w:rsidR="00220934">
              <w:rPr>
                <w:rStyle w:val="FontStyle42"/>
                <w:rFonts w:ascii="Times New Roman" w:hAnsi="Times New Roman" w:cs="Times New Roman"/>
                <w:sz w:val="18"/>
                <w:szCs w:val="18"/>
              </w:rPr>
              <w:t xml:space="preserve">њихово </w:t>
            </w:r>
            <w:r w:rsidRPr="00487209">
              <w:rPr>
                <w:rStyle w:val="FontStyle42"/>
                <w:rFonts w:ascii="Times New Roman" w:hAnsi="Times New Roman" w:cs="Times New Roman"/>
                <w:sz w:val="18"/>
                <w:szCs w:val="18"/>
              </w:rPr>
              <w:t xml:space="preserve">отклањањене ако утврди да грађевински производ који је стављен </w:t>
            </w:r>
            <w:r w:rsidR="00220934">
              <w:rPr>
                <w:rStyle w:val="FontStyle42"/>
                <w:rFonts w:ascii="Times New Roman" w:hAnsi="Times New Roman" w:cs="Times New Roman"/>
                <w:sz w:val="18"/>
                <w:szCs w:val="18"/>
              </w:rPr>
              <w:t xml:space="preserve">на тржиште </w:t>
            </w:r>
            <w:r w:rsidRPr="00487209">
              <w:rPr>
                <w:rStyle w:val="FontStyle42"/>
                <w:rFonts w:ascii="Times New Roman" w:hAnsi="Times New Roman" w:cs="Times New Roman"/>
                <w:sz w:val="18"/>
                <w:szCs w:val="18"/>
              </w:rPr>
              <w:t xml:space="preserve">или </w:t>
            </w:r>
            <w:r w:rsidR="00220934">
              <w:rPr>
                <w:rStyle w:val="FontStyle42"/>
                <w:rFonts w:ascii="Times New Roman" w:hAnsi="Times New Roman" w:cs="Times New Roman"/>
                <w:sz w:val="18"/>
                <w:szCs w:val="18"/>
              </w:rPr>
              <w:t xml:space="preserve">учињен доступним </w:t>
            </w:r>
            <w:r w:rsidRPr="00487209">
              <w:rPr>
                <w:rStyle w:val="FontStyle42"/>
                <w:rFonts w:ascii="Times New Roman" w:hAnsi="Times New Roman" w:cs="Times New Roman"/>
                <w:sz w:val="18"/>
                <w:szCs w:val="18"/>
              </w:rPr>
              <w:t>на тржишт</w:t>
            </w:r>
            <w:r w:rsidR="00220934">
              <w:rPr>
                <w:rStyle w:val="FontStyle42"/>
                <w:rFonts w:ascii="Times New Roman" w:hAnsi="Times New Roman" w:cs="Times New Roman"/>
                <w:sz w:val="18"/>
                <w:szCs w:val="18"/>
              </w:rPr>
              <w:t>у</w:t>
            </w:r>
            <w:r w:rsidRPr="00487209">
              <w:rPr>
                <w:rStyle w:val="FontStyle42"/>
                <w:rFonts w:ascii="Times New Roman" w:hAnsi="Times New Roman" w:cs="Times New Roman"/>
                <w:sz w:val="18"/>
                <w:szCs w:val="18"/>
              </w:rPr>
              <w:t>:</w:t>
            </w:r>
          </w:p>
          <w:p w14:paraId="6B8AD0EC" w14:textId="5A0D6477" w:rsidR="00147811" w:rsidRPr="00487209" w:rsidRDefault="00147811" w:rsidP="006C6323">
            <w:pPr>
              <w:pStyle w:val="Style7"/>
              <w:spacing w:before="240" w:after="0" w:line="240" w:lineRule="auto"/>
              <w:ind w:right="-23"/>
              <w:jc w:val="both"/>
              <w:outlineLvl w:val="3"/>
              <w:rPr>
                <w:rStyle w:val="FontStyle42"/>
                <w:rFonts w:ascii="Times New Roman" w:hAnsi="Times New Roman" w:cs="Times New Roman"/>
                <w:sz w:val="18"/>
                <w:szCs w:val="18"/>
              </w:rPr>
            </w:pPr>
            <w:r w:rsidRPr="00487209">
              <w:rPr>
                <w:rStyle w:val="FontStyle42"/>
                <w:rFonts w:ascii="Times New Roman" w:hAnsi="Times New Roman" w:cs="Times New Roman"/>
                <w:sz w:val="18"/>
                <w:szCs w:val="18"/>
              </w:rPr>
              <w:t xml:space="preserve">1) није означен знаком усаглашености или је знак усаглашености стављен у супротности са одредбама </w:t>
            </w:r>
            <w:r w:rsidR="005F2A07" w:rsidRPr="00487209">
              <w:rPr>
                <w:rStyle w:val="FontStyle42"/>
                <w:rFonts w:ascii="Times New Roman" w:hAnsi="Times New Roman" w:cs="Times New Roman"/>
                <w:sz w:val="18"/>
                <w:szCs w:val="18"/>
              </w:rPr>
              <w:t>овог закона</w:t>
            </w:r>
            <w:r w:rsidRPr="00487209">
              <w:rPr>
                <w:rStyle w:val="FontStyle42"/>
                <w:rFonts w:ascii="Times New Roman" w:hAnsi="Times New Roman" w:cs="Times New Roman"/>
                <w:sz w:val="18"/>
                <w:szCs w:val="18"/>
              </w:rPr>
              <w:t xml:space="preserve"> и </w:t>
            </w:r>
            <w:r w:rsidRPr="00487209">
              <w:rPr>
                <w:sz w:val="18"/>
                <w:szCs w:val="18"/>
              </w:rPr>
              <w:t xml:space="preserve">прописима којима се уређује начин стављања, као и облик, изглед и </w:t>
            </w:r>
            <w:r w:rsidR="00220934">
              <w:rPr>
                <w:sz w:val="18"/>
                <w:szCs w:val="18"/>
              </w:rPr>
              <w:t>садржина</w:t>
            </w:r>
            <w:r w:rsidR="00220934" w:rsidRPr="00487209">
              <w:rPr>
                <w:sz w:val="18"/>
                <w:szCs w:val="18"/>
              </w:rPr>
              <w:t xml:space="preserve"> </w:t>
            </w:r>
            <w:r w:rsidRPr="00487209">
              <w:rPr>
                <w:sz w:val="18"/>
                <w:szCs w:val="18"/>
              </w:rPr>
              <w:t>знака усаглашености</w:t>
            </w:r>
            <w:r w:rsidRPr="00487209">
              <w:rPr>
                <w:rStyle w:val="FontStyle42"/>
                <w:rFonts w:ascii="Times New Roman" w:hAnsi="Times New Roman" w:cs="Times New Roman"/>
                <w:sz w:val="18"/>
                <w:szCs w:val="18"/>
              </w:rPr>
              <w:t>;</w:t>
            </w:r>
          </w:p>
          <w:p w14:paraId="477DD3F0"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41386EBC"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ДУ</w:t>
            </w:r>
          </w:p>
        </w:tc>
        <w:tc>
          <w:tcPr>
            <w:tcW w:w="598" w:type="pct"/>
            <w:gridSpan w:val="2"/>
            <w:shd w:val="clear" w:color="auto" w:fill="auto"/>
            <w:vAlign w:val="center"/>
          </w:tcPr>
          <w:p w14:paraId="2CFD0641" w14:textId="55C55F67" w:rsidR="00147811" w:rsidRPr="00487209" w:rsidRDefault="00CC5598" w:rsidP="00220934">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Члан </w:t>
            </w:r>
            <w:r w:rsidR="00220934">
              <w:rPr>
                <w:rFonts w:ascii="Times New Roman" w:hAnsi="Times New Roman" w:cs="Times New Roman"/>
                <w:sz w:val="18"/>
                <w:szCs w:val="18"/>
                <w:lang w:val="ru-RU"/>
              </w:rPr>
              <w:t>59</w:t>
            </w:r>
            <w:r>
              <w:rPr>
                <w:rFonts w:ascii="Times New Roman" w:hAnsi="Times New Roman" w:cs="Times New Roman"/>
                <w:sz w:val="18"/>
                <w:szCs w:val="18"/>
                <w:lang w:val="ru-RU"/>
              </w:rPr>
              <w:t>. став 2. тачка</w:t>
            </w:r>
            <w:r w:rsidR="00147811" w:rsidRPr="00487209">
              <w:rPr>
                <w:rFonts w:ascii="Times New Roman" w:hAnsi="Times New Roman" w:cs="Times New Roman"/>
                <w:sz w:val="18"/>
                <w:szCs w:val="18"/>
                <w:lang w:val="ru-RU"/>
              </w:rPr>
              <w:t xml:space="preserve"> 1)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sidR="00147811" w:rsidRPr="00487209">
              <w:rPr>
                <w:rFonts w:ascii="Times New Roman" w:hAnsi="Times New Roman" w:cs="Times New Roman"/>
                <w:sz w:val="18"/>
                <w:szCs w:val="18"/>
                <w:lang w:val="ru-RU"/>
              </w:rPr>
              <w:t xml:space="preserve"> је делимично </w:t>
            </w:r>
            <w:r w:rsidR="005A66C0" w:rsidRPr="00487209">
              <w:rPr>
                <w:rFonts w:ascii="Times New Roman" w:hAnsi="Times New Roman" w:cs="Times New Roman"/>
                <w:sz w:val="18"/>
                <w:szCs w:val="18"/>
                <w:lang w:val="ru-RU"/>
              </w:rPr>
              <w:t>не</w:t>
            </w:r>
            <w:r>
              <w:rPr>
                <w:rFonts w:ascii="Times New Roman" w:hAnsi="Times New Roman" w:cs="Times New Roman"/>
                <w:sz w:val="18"/>
                <w:szCs w:val="18"/>
                <w:lang w:val="ru-RU"/>
              </w:rPr>
              <w:t>усклађен са чланом</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lang w:val="sr-Cyrl-CS"/>
              </w:rPr>
              <w:t>59.1.(</w:t>
            </w:r>
            <w:r w:rsidR="00147811" w:rsidRPr="00487209">
              <w:rPr>
                <w:rFonts w:ascii="Times New Roman" w:hAnsi="Times New Roman" w:cs="Times New Roman"/>
                <w:sz w:val="18"/>
                <w:szCs w:val="18"/>
              </w:rPr>
              <w:t>a</w:t>
            </w:r>
            <w:r w:rsidR="00147811" w:rsidRPr="00487209">
              <w:rPr>
                <w:rFonts w:ascii="Times New Roman" w:hAnsi="Times New Roman" w:cs="Times New Roman"/>
                <w:sz w:val="18"/>
                <w:szCs w:val="18"/>
                <w:lang w:val="sr-Cyrl-CS"/>
              </w:rPr>
              <w:t>) Уредбе 305/2011 (ЕУ),</w:t>
            </w:r>
            <w:r w:rsidR="005A66C0" w:rsidRPr="00487209">
              <w:rPr>
                <w:rFonts w:ascii="Times New Roman" w:hAnsi="Times New Roman" w:cs="Times New Roman"/>
                <w:sz w:val="18"/>
                <w:szCs w:val="18"/>
                <w:lang w:val="sr-Cyrl-CS"/>
              </w:rPr>
              <w:t xml:space="preserve"> у делу који се односи на стављање СЕ знака</w:t>
            </w:r>
            <w:r w:rsidR="00CA1496" w:rsidRPr="00487209">
              <w:rPr>
                <w:rFonts w:ascii="Times New Roman" w:hAnsi="Times New Roman" w:cs="Times New Roman"/>
                <w:sz w:val="18"/>
                <w:szCs w:val="18"/>
                <w:lang w:val="sr-Cyrl-CS"/>
              </w:rPr>
              <w:t>,</w:t>
            </w:r>
            <w:r w:rsidR="005A66C0" w:rsidRPr="00487209">
              <w:rPr>
                <w:rFonts w:ascii="Times New Roman" w:hAnsi="Times New Roman" w:cs="Times New Roman"/>
                <w:sz w:val="18"/>
                <w:szCs w:val="18"/>
                <w:lang w:val="sr-Cyrl-CS"/>
              </w:rPr>
              <w:t xml:space="preserve"> </w:t>
            </w:r>
            <w:r w:rsidR="00147811" w:rsidRPr="00487209">
              <w:rPr>
                <w:rFonts w:ascii="Times New Roman" w:hAnsi="Times New Roman" w:cs="Times New Roman"/>
                <w:sz w:val="18"/>
                <w:szCs w:val="18"/>
                <w:lang w:val="sr-Cyrl-CS"/>
              </w:rPr>
              <w:t>због статуса нечланице. Потпуно усклађивање биће могуће након приступања ЕУ.</w:t>
            </w:r>
          </w:p>
        </w:tc>
        <w:tc>
          <w:tcPr>
            <w:tcW w:w="480" w:type="pct"/>
            <w:shd w:val="clear" w:color="auto" w:fill="auto"/>
            <w:vAlign w:val="center"/>
          </w:tcPr>
          <w:p w14:paraId="01E5AAEF"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0BCB5780" w14:textId="77777777" w:rsidTr="007D5144">
        <w:trPr>
          <w:trHeight w:val="1681"/>
          <w:jc w:val="center"/>
        </w:trPr>
        <w:tc>
          <w:tcPr>
            <w:tcW w:w="435" w:type="pct"/>
            <w:shd w:val="clear" w:color="auto" w:fill="auto"/>
            <w:vAlign w:val="center"/>
          </w:tcPr>
          <w:p w14:paraId="0E30CBAA"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59.1.(</w:t>
            </w:r>
            <w:r w:rsidRPr="00487209">
              <w:rPr>
                <w:rFonts w:ascii="Times New Roman" w:hAnsi="Times New Roman" w:cs="Times New Roman"/>
                <w:sz w:val="18"/>
                <w:szCs w:val="18"/>
              </w:rPr>
              <w:t>b</w:t>
            </w:r>
            <w:r w:rsidRPr="00487209">
              <w:rPr>
                <w:rFonts w:ascii="Times New Roman" w:hAnsi="Times New Roman" w:cs="Times New Roman"/>
                <w:sz w:val="18"/>
                <w:szCs w:val="18"/>
                <w:lang w:val="sr-Cyrl-CS"/>
              </w:rPr>
              <w:t>)</w:t>
            </w:r>
          </w:p>
        </w:tc>
        <w:tc>
          <w:tcPr>
            <w:tcW w:w="1369" w:type="pct"/>
            <w:gridSpan w:val="2"/>
            <w:shd w:val="clear" w:color="auto" w:fill="auto"/>
            <w:vAlign w:val="center"/>
          </w:tcPr>
          <w:p w14:paraId="0101E618"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the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CE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marking</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has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not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been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affixed</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when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required</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in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accordance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with</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Article</w:t>
            </w:r>
            <w:r w:rsidRPr="00487209">
              <w:rPr>
                <w:rFonts w:ascii="Times New Roman" w:hAnsi="Times New Roman" w:cs="Times New Roman"/>
                <w:sz w:val="18"/>
                <w:szCs w:val="18"/>
                <w:lang w:val="sr-Cyrl-CS"/>
              </w:rPr>
              <w:t xml:space="preserve"> 8(2);</w:t>
            </w:r>
          </w:p>
        </w:tc>
        <w:tc>
          <w:tcPr>
            <w:tcW w:w="429" w:type="pct"/>
            <w:shd w:val="clear" w:color="auto" w:fill="auto"/>
            <w:vAlign w:val="center"/>
          </w:tcPr>
          <w:p w14:paraId="40E4D613" w14:textId="77777777" w:rsidR="001A264B" w:rsidRPr="00487209" w:rsidRDefault="001A264B"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25F568F4" w14:textId="52DAABF1" w:rsidR="00147811" w:rsidRPr="00487209" w:rsidRDefault="001A264B" w:rsidP="0022093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220934">
              <w:rPr>
                <w:rFonts w:ascii="Times New Roman" w:hAnsi="Times New Roman" w:cs="Times New Roman"/>
                <w:sz w:val="18"/>
                <w:szCs w:val="18"/>
                <w:lang w:val="ru-RU"/>
              </w:rPr>
              <w:t>59</w:t>
            </w:r>
            <w:r w:rsidR="00147811" w:rsidRPr="00487209">
              <w:rPr>
                <w:rFonts w:ascii="Times New Roman" w:hAnsi="Times New Roman" w:cs="Times New Roman"/>
                <w:sz w:val="18"/>
                <w:szCs w:val="18"/>
                <w:lang w:val="ru-RU"/>
              </w:rPr>
              <w:t>.2.1)</w:t>
            </w:r>
          </w:p>
        </w:tc>
        <w:tc>
          <w:tcPr>
            <w:tcW w:w="1231" w:type="pct"/>
            <w:gridSpan w:val="2"/>
            <w:shd w:val="clear" w:color="auto" w:fill="auto"/>
            <w:vAlign w:val="center"/>
          </w:tcPr>
          <w:p w14:paraId="0E907164" w14:textId="77777777" w:rsidR="00220934" w:rsidRPr="00220934" w:rsidRDefault="00220934" w:rsidP="007D5144">
            <w:pPr>
              <w:spacing w:before="120" w:after="120"/>
              <w:ind w:firstLine="5"/>
              <w:jc w:val="both"/>
              <w:rPr>
                <w:rStyle w:val="FontStyle42"/>
                <w:rFonts w:ascii="Times New Roman" w:eastAsia="Batang" w:hAnsi="Times New Roman" w:cs="Times New Roman"/>
                <w:sz w:val="18"/>
                <w:szCs w:val="18"/>
                <w:lang w:val="sr-Cyrl-CS" w:eastAsia="ko-KR"/>
              </w:rPr>
            </w:pPr>
            <w:r w:rsidRPr="00220934">
              <w:rPr>
                <w:rStyle w:val="FontStyle42"/>
                <w:rFonts w:ascii="Times New Roman" w:eastAsia="Batang" w:hAnsi="Times New Roman" w:cs="Times New Roman"/>
                <w:sz w:val="18"/>
                <w:szCs w:val="18"/>
                <w:lang w:val="sr-Cyrl-CS" w:eastAsia="ko-KR"/>
              </w:rPr>
              <w:t>Надлежни инспектор је овлашћен да привредном субјекту наложи отклањање формалних неусаглашености и одреди примерен рок за њихово отклањањене ако утврди да грађевински производ који је стављен на тржиште или учињен доступним на тржишту:</w:t>
            </w:r>
          </w:p>
          <w:p w14:paraId="60A51FA3" w14:textId="267A686C" w:rsidR="00147811" w:rsidRPr="00487209" w:rsidRDefault="00220934" w:rsidP="00220934">
            <w:pPr>
              <w:pStyle w:val="Style7"/>
              <w:spacing w:before="240" w:after="0" w:line="240" w:lineRule="auto"/>
              <w:ind w:right="-23"/>
              <w:jc w:val="both"/>
              <w:outlineLvl w:val="3"/>
              <w:rPr>
                <w:sz w:val="18"/>
                <w:szCs w:val="18"/>
              </w:rPr>
            </w:pPr>
            <w:r w:rsidRPr="00220934">
              <w:rPr>
                <w:rStyle w:val="FontStyle42"/>
                <w:rFonts w:ascii="Times New Roman" w:hAnsi="Times New Roman" w:cs="Times New Roman"/>
                <w:sz w:val="18"/>
                <w:szCs w:val="18"/>
              </w:rPr>
              <w:t xml:space="preserve">1) није означен знаком усаглашености </w:t>
            </w:r>
            <w:r w:rsidRPr="00220934">
              <w:rPr>
                <w:rStyle w:val="FontStyle42"/>
                <w:rFonts w:ascii="Times New Roman" w:hAnsi="Times New Roman" w:cs="Times New Roman"/>
                <w:sz w:val="18"/>
                <w:szCs w:val="18"/>
              </w:rPr>
              <w:lastRenderedPageBreak/>
              <w:t>или је знак усаглашености стављен у супротности са одредбама овог закона и прописима којима се уређује начин стављања, као и облик, изглед и садржина знака усаглашености;</w:t>
            </w:r>
          </w:p>
        </w:tc>
        <w:tc>
          <w:tcPr>
            <w:tcW w:w="458" w:type="pct"/>
            <w:shd w:val="clear" w:color="auto" w:fill="auto"/>
            <w:vAlign w:val="center"/>
          </w:tcPr>
          <w:p w14:paraId="39BB937F"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ДУ</w:t>
            </w:r>
          </w:p>
        </w:tc>
        <w:tc>
          <w:tcPr>
            <w:tcW w:w="598" w:type="pct"/>
            <w:gridSpan w:val="2"/>
            <w:shd w:val="clear" w:color="auto" w:fill="auto"/>
            <w:vAlign w:val="center"/>
          </w:tcPr>
          <w:p w14:paraId="6C163C76" w14:textId="1370CA50" w:rsidR="00147811" w:rsidRPr="00487209" w:rsidRDefault="00CC5598" w:rsidP="00220934">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Члсн</w:t>
            </w:r>
            <w:r w:rsidR="00147811" w:rsidRPr="00487209">
              <w:rPr>
                <w:rFonts w:ascii="Times New Roman" w:hAnsi="Times New Roman" w:cs="Times New Roman"/>
                <w:sz w:val="18"/>
                <w:szCs w:val="18"/>
                <w:lang w:val="ru-RU"/>
              </w:rPr>
              <w:t xml:space="preserve"> </w:t>
            </w:r>
            <w:r w:rsidR="00220934">
              <w:rPr>
                <w:rFonts w:ascii="Times New Roman" w:hAnsi="Times New Roman" w:cs="Times New Roman"/>
                <w:sz w:val="18"/>
                <w:szCs w:val="18"/>
                <w:lang w:val="ru-RU"/>
              </w:rPr>
              <w:t>59</w:t>
            </w:r>
            <w:r>
              <w:rPr>
                <w:rFonts w:ascii="Times New Roman" w:hAnsi="Times New Roman" w:cs="Times New Roman"/>
                <w:sz w:val="18"/>
                <w:szCs w:val="18"/>
                <w:lang w:val="ru-RU"/>
              </w:rPr>
              <w:t>. стсв 2. тачка</w:t>
            </w:r>
            <w:r w:rsidR="00147811" w:rsidRPr="00487209">
              <w:rPr>
                <w:rFonts w:ascii="Times New Roman" w:hAnsi="Times New Roman" w:cs="Times New Roman"/>
                <w:sz w:val="18"/>
                <w:szCs w:val="18"/>
                <w:lang w:val="ru-RU"/>
              </w:rPr>
              <w:t xml:space="preserve"> 1) </w:t>
            </w:r>
            <w:r w:rsidR="0073105A">
              <w:rPr>
                <w:rFonts w:ascii="Times New Roman" w:hAnsi="Times New Roman" w:cs="Times New Roman"/>
                <w:sz w:val="18"/>
                <w:szCs w:val="18"/>
                <w:lang w:val="ru-RU"/>
              </w:rPr>
              <w:t>Предлог</w:t>
            </w:r>
            <w:r w:rsidR="00F421F0" w:rsidRPr="00487209">
              <w:rPr>
                <w:rFonts w:ascii="Times New Roman" w:hAnsi="Times New Roman" w:cs="Times New Roman"/>
                <w:sz w:val="18"/>
                <w:szCs w:val="18"/>
                <w:lang w:val="ru-RU"/>
              </w:rPr>
              <w:t>а закона о грађевинским производима</w:t>
            </w:r>
            <w:r w:rsidR="00147811" w:rsidRPr="00487209">
              <w:rPr>
                <w:rFonts w:ascii="Times New Roman" w:hAnsi="Times New Roman" w:cs="Times New Roman"/>
                <w:sz w:val="18"/>
                <w:szCs w:val="18"/>
                <w:lang w:val="ru-RU"/>
              </w:rPr>
              <w:t xml:space="preserve"> је делимично </w:t>
            </w:r>
            <w:r w:rsidR="00CA1496" w:rsidRPr="00487209">
              <w:rPr>
                <w:rFonts w:ascii="Times New Roman" w:hAnsi="Times New Roman" w:cs="Times New Roman"/>
                <w:sz w:val="18"/>
                <w:szCs w:val="18"/>
                <w:lang w:val="ru-RU"/>
              </w:rPr>
              <w:t>не</w:t>
            </w:r>
            <w:r>
              <w:rPr>
                <w:rFonts w:ascii="Times New Roman" w:hAnsi="Times New Roman" w:cs="Times New Roman"/>
                <w:sz w:val="18"/>
                <w:szCs w:val="18"/>
                <w:lang w:val="ru-RU"/>
              </w:rPr>
              <w:t>усклађен са чланом</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lang w:val="sr-Cyrl-CS"/>
              </w:rPr>
              <w:t>59.1.(</w:t>
            </w:r>
            <w:r w:rsidR="00147811" w:rsidRPr="00487209">
              <w:rPr>
                <w:rFonts w:ascii="Times New Roman" w:hAnsi="Times New Roman" w:cs="Times New Roman"/>
                <w:sz w:val="18"/>
                <w:szCs w:val="18"/>
              </w:rPr>
              <w:t>b</w:t>
            </w:r>
            <w:r w:rsidR="00147811" w:rsidRPr="00487209">
              <w:rPr>
                <w:rFonts w:ascii="Times New Roman" w:hAnsi="Times New Roman" w:cs="Times New Roman"/>
                <w:sz w:val="18"/>
                <w:szCs w:val="18"/>
                <w:lang w:val="sr-Cyrl-CS"/>
              </w:rPr>
              <w:t xml:space="preserve">) Уредбе 305/2011 (ЕУ), </w:t>
            </w:r>
            <w:r w:rsidR="00CA1496" w:rsidRPr="00487209">
              <w:rPr>
                <w:rFonts w:ascii="Times New Roman" w:hAnsi="Times New Roman" w:cs="Times New Roman"/>
                <w:sz w:val="18"/>
                <w:szCs w:val="18"/>
                <w:lang w:val="sr-Cyrl-CS"/>
              </w:rPr>
              <w:t xml:space="preserve">у делу који </w:t>
            </w:r>
            <w:r w:rsidR="00CA1496" w:rsidRPr="00487209">
              <w:rPr>
                <w:rFonts w:ascii="Times New Roman" w:hAnsi="Times New Roman" w:cs="Times New Roman"/>
                <w:sz w:val="18"/>
                <w:szCs w:val="18"/>
                <w:lang w:val="sr-Cyrl-CS"/>
              </w:rPr>
              <w:lastRenderedPageBreak/>
              <w:t xml:space="preserve">се односи на стављање СЕ знака, </w:t>
            </w:r>
            <w:r w:rsidR="00147811" w:rsidRPr="00487209">
              <w:rPr>
                <w:rFonts w:ascii="Times New Roman" w:hAnsi="Times New Roman" w:cs="Times New Roman"/>
                <w:sz w:val="18"/>
                <w:szCs w:val="18"/>
                <w:lang w:val="sr-Cyrl-CS"/>
              </w:rPr>
              <w:t>због статуса нечланице. Потпуно усклађивање биће могуће након приступања ЕУ.</w:t>
            </w:r>
          </w:p>
        </w:tc>
        <w:tc>
          <w:tcPr>
            <w:tcW w:w="480" w:type="pct"/>
            <w:shd w:val="clear" w:color="auto" w:fill="auto"/>
            <w:vAlign w:val="center"/>
          </w:tcPr>
          <w:p w14:paraId="2C1A6617"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73B2F537" w14:textId="77777777" w:rsidTr="007D5144">
        <w:trPr>
          <w:trHeight w:val="1970"/>
          <w:jc w:val="center"/>
        </w:trPr>
        <w:tc>
          <w:tcPr>
            <w:tcW w:w="435" w:type="pct"/>
            <w:shd w:val="clear" w:color="auto" w:fill="auto"/>
            <w:vAlign w:val="center"/>
          </w:tcPr>
          <w:p w14:paraId="12E8867F"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59.1.(c)</w:t>
            </w:r>
          </w:p>
        </w:tc>
        <w:tc>
          <w:tcPr>
            <w:tcW w:w="1369" w:type="pct"/>
            <w:gridSpan w:val="2"/>
            <w:shd w:val="clear" w:color="auto" w:fill="auto"/>
            <w:vAlign w:val="center"/>
          </w:tcPr>
          <w:p w14:paraId="7D7C6410"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without prejudice to Article 5, the declaration of performance has not been drawn up, when required, in accordance with Article 4;</w:t>
            </w:r>
          </w:p>
        </w:tc>
        <w:tc>
          <w:tcPr>
            <w:tcW w:w="429" w:type="pct"/>
            <w:shd w:val="clear" w:color="auto" w:fill="auto"/>
            <w:vAlign w:val="center"/>
          </w:tcPr>
          <w:p w14:paraId="2817C747" w14:textId="77777777" w:rsidR="001A264B" w:rsidRPr="00487209" w:rsidRDefault="001A264B"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3344C63C" w14:textId="032724DF" w:rsidR="00147811" w:rsidRPr="00487209" w:rsidRDefault="001A264B" w:rsidP="0022093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220934">
              <w:rPr>
                <w:rFonts w:ascii="Times New Roman" w:hAnsi="Times New Roman" w:cs="Times New Roman"/>
                <w:sz w:val="18"/>
                <w:szCs w:val="18"/>
                <w:lang w:val="ru-RU"/>
              </w:rPr>
              <w:t>59</w:t>
            </w:r>
            <w:r w:rsidR="000A140D" w:rsidRPr="00487209">
              <w:rPr>
                <w:rFonts w:ascii="Times New Roman" w:hAnsi="Times New Roman" w:cs="Times New Roman"/>
                <w:sz w:val="18"/>
                <w:szCs w:val="18"/>
                <w:lang w:val="ru-RU"/>
              </w:rPr>
              <w:t>.2.3)</w:t>
            </w:r>
          </w:p>
        </w:tc>
        <w:tc>
          <w:tcPr>
            <w:tcW w:w="1231" w:type="pct"/>
            <w:gridSpan w:val="2"/>
            <w:shd w:val="clear" w:color="auto" w:fill="auto"/>
            <w:vAlign w:val="center"/>
          </w:tcPr>
          <w:p w14:paraId="7075C4A9" w14:textId="130C570C" w:rsidR="000A140D" w:rsidRPr="00487209" w:rsidRDefault="000A140D" w:rsidP="006C6323">
            <w:pPr>
              <w:pStyle w:val="Style7"/>
              <w:spacing w:before="240" w:after="0" w:line="240" w:lineRule="auto"/>
              <w:ind w:right="-23"/>
              <w:jc w:val="both"/>
              <w:outlineLvl w:val="3"/>
              <w:rPr>
                <w:rStyle w:val="FontStyle42"/>
                <w:rFonts w:ascii="Times New Roman" w:hAnsi="Times New Roman" w:cs="Times New Roman"/>
                <w:sz w:val="18"/>
                <w:szCs w:val="18"/>
                <w:lang w:val="sr-Latn-CS"/>
              </w:rPr>
            </w:pPr>
            <w:r w:rsidRPr="00487209">
              <w:rPr>
                <w:rStyle w:val="FontStyle42"/>
                <w:rFonts w:ascii="Times New Roman" w:hAnsi="Times New Roman" w:cs="Times New Roman"/>
                <w:sz w:val="18"/>
                <w:szCs w:val="18"/>
              </w:rPr>
              <w:t xml:space="preserve">3) није праћен декларацијом о перформансама или је декларација о перформансама непотпуна, имајући у виду члан 7. </w:t>
            </w:r>
            <w:r w:rsidR="00882961" w:rsidRPr="00487209">
              <w:rPr>
                <w:rStyle w:val="FontStyle42"/>
                <w:rFonts w:ascii="Times New Roman" w:hAnsi="Times New Roman" w:cs="Times New Roman"/>
                <w:sz w:val="18"/>
                <w:szCs w:val="18"/>
              </w:rPr>
              <w:t>овог закона</w:t>
            </w:r>
            <w:r w:rsidR="00B50FD1" w:rsidRPr="00487209">
              <w:rPr>
                <w:rStyle w:val="FontStyle42"/>
                <w:rFonts w:ascii="Times New Roman" w:hAnsi="Times New Roman" w:cs="Times New Roman"/>
                <w:sz w:val="18"/>
                <w:szCs w:val="18"/>
                <w:lang w:val="sr-Latn-CS"/>
              </w:rPr>
              <w:t>;</w:t>
            </w:r>
          </w:p>
          <w:p w14:paraId="71067191"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1F3FB05A" w14:textId="77777777" w:rsidR="00147811" w:rsidRPr="00487209" w:rsidRDefault="000A140D"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695D3D17"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8FD97BD"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019A5B49" w14:textId="77777777" w:rsidTr="007D5144">
        <w:trPr>
          <w:trHeight w:val="1970"/>
          <w:jc w:val="center"/>
        </w:trPr>
        <w:tc>
          <w:tcPr>
            <w:tcW w:w="435" w:type="pct"/>
            <w:shd w:val="clear" w:color="auto" w:fill="auto"/>
            <w:vAlign w:val="center"/>
          </w:tcPr>
          <w:p w14:paraId="33762ABA" w14:textId="77777777" w:rsidR="000A140D" w:rsidRPr="00487209" w:rsidRDefault="000A140D"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59.1.(d)</w:t>
            </w:r>
          </w:p>
        </w:tc>
        <w:tc>
          <w:tcPr>
            <w:tcW w:w="1369" w:type="pct"/>
            <w:gridSpan w:val="2"/>
            <w:shd w:val="clear" w:color="auto" w:fill="auto"/>
            <w:vAlign w:val="center"/>
          </w:tcPr>
          <w:p w14:paraId="57520333" w14:textId="77777777" w:rsidR="000A140D" w:rsidRPr="00487209" w:rsidRDefault="000A140D" w:rsidP="006C6323">
            <w:pPr>
              <w:jc w:val="both"/>
              <w:rPr>
                <w:rFonts w:ascii="Times New Roman" w:hAnsi="Times New Roman" w:cs="Times New Roman"/>
                <w:sz w:val="18"/>
                <w:szCs w:val="18"/>
              </w:rPr>
            </w:pPr>
            <w:r w:rsidRPr="00487209">
              <w:rPr>
                <w:rFonts w:ascii="Times New Roman" w:hAnsi="Times New Roman" w:cs="Times New Roman"/>
                <w:sz w:val="18"/>
                <w:szCs w:val="18"/>
              </w:rPr>
              <w:t>the declaration of performance has not been drawn up in accordance with Articles 4, 6 and 7;</w:t>
            </w:r>
          </w:p>
        </w:tc>
        <w:tc>
          <w:tcPr>
            <w:tcW w:w="429" w:type="pct"/>
            <w:shd w:val="clear" w:color="auto" w:fill="auto"/>
            <w:vAlign w:val="center"/>
          </w:tcPr>
          <w:p w14:paraId="0051AF5F" w14:textId="77777777" w:rsidR="001A264B" w:rsidRPr="00487209" w:rsidRDefault="001A264B"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58C17BF1" w14:textId="06BB7A08" w:rsidR="000A140D" w:rsidRPr="00487209" w:rsidRDefault="001A264B" w:rsidP="0022093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220934">
              <w:rPr>
                <w:rFonts w:ascii="Times New Roman" w:hAnsi="Times New Roman" w:cs="Times New Roman"/>
                <w:sz w:val="18"/>
                <w:szCs w:val="18"/>
                <w:lang w:val="ru-RU"/>
              </w:rPr>
              <w:t>59</w:t>
            </w:r>
            <w:r w:rsidR="000A140D" w:rsidRPr="00487209">
              <w:rPr>
                <w:rFonts w:ascii="Times New Roman" w:hAnsi="Times New Roman" w:cs="Times New Roman"/>
                <w:sz w:val="18"/>
                <w:szCs w:val="18"/>
                <w:lang w:val="ru-RU"/>
              </w:rPr>
              <w:t>.2.3)</w:t>
            </w:r>
          </w:p>
        </w:tc>
        <w:tc>
          <w:tcPr>
            <w:tcW w:w="1231" w:type="pct"/>
            <w:gridSpan w:val="2"/>
            <w:shd w:val="clear" w:color="auto" w:fill="auto"/>
            <w:vAlign w:val="center"/>
          </w:tcPr>
          <w:p w14:paraId="11BCC1BE" w14:textId="41A183F0" w:rsidR="000A140D" w:rsidRPr="00487209" w:rsidRDefault="000A140D" w:rsidP="006C6323">
            <w:pPr>
              <w:pStyle w:val="Style7"/>
              <w:spacing w:before="240" w:after="0" w:line="240" w:lineRule="auto"/>
              <w:ind w:right="-23"/>
              <w:jc w:val="both"/>
              <w:outlineLvl w:val="3"/>
              <w:rPr>
                <w:rStyle w:val="FontStyle42"/>
                <w:rFonts w:ascii="Times New Roman" w:hAnsi="Times New Roman" w:cs="Times New Roman"/>
                <w:sz w:val="18"/>
                <w:szCs w:val="18"/>
              </w:rPr>
            </w:pPr>
            <w:r w:rsidRPr="00487209">
              <w:rPr>
                <w:rStyle w:val="FontStyle42"/>
                <w:rFonts w:ascii="Times New Roman" w:hAnsi="Times New Roman" w:cs="Times New Roman"/>
                <w:sz w:val="18"/>
                <w:szCs w:val="18"/>
              </w:rPr>
              <w:t>3) није праћен декларацијом о перформансама или је декларација о перформансама непотпуна</w:t>
            </w:r>
            <w:r w:rsidR="00B50FD1" w:rsidRPr="00487209">
              <w:rPr>
                <w:rStyle w:val="FontStyle42"/>
                <w:rFonts w:ascii="Times New Roman" w:hAnsi="Times New Roman" w:cs="Times New Roman"/>
                <w:sz w:val="18"/>
                <w:szCs w:val="18"/>
              </w:rPr>
              <w:t>;</w:t>
            </w:r>
          </w:p>
          <w:p w14:paraId="11615B2F" w14:textId="77777777" w:rsidR="000A140D" w:rsidRPr="00487209" w:rsidRDefault="000A140D" w:rsidP="006C6323">
            <w:pPr>
              <w:jc w:val="center"/>
              <w:rPr>
                <w:rFonts w:ascii="Times New Roman" w:hAnsi="Times New Roman" w:cs="Times New Roman"/>
                <w:sz w:val="18"/>
                <w:szCs w:val="18"/>
                <w:lang w:val="sr-Cyrl-CS"/>
              </w:rPr>
            </w:pPr>
          </w:p>
        </w:tc>
        <w:tc>
          <w:tcPr>
            <w:tcW w:w="458" w:type="pct"/>
            <w:shd w:val="clear" w:color="auto" w:fill="auto"/>
            <w:vAlign w:val="center"/>
          </w:tcPr>
          <w:p w14:paraId="5EF3E6A6" w14:textId="77777777" w:rsidR="000A140D" w:rsidRPr="00487209" w:rsidRDefault="000A140D"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4DE46092" w14:textId="77777777" w:rsidR="000A140D" w:rsidRPr="00487209" w:rsidRDefault="000A140D"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4D599AF4" w14:textId="77777777" w:rsidR="000A140D" w:rsidRPr="00487209" w:rsidRDefault="000A140D" w:rsidP="006C6323">
            <w:pPr>
              <w:spacing w:before="120" w:after="120"/>
              <w:jc w:val="center"/>
              <w:rPr>
                <w:rFonts w:ascii="Times New Roman" w:hAnsi="Times New Roman" w:cs="Times New Roman"/>
                <w:sz w:val="18"/>
                <w:szCs w:val="18"/>
                <w:lang w:val="ru-RU"/>
              </w:rPr>
            </w:pPr>
          </w:p>
        </w:tc>
      </w:tr>
      <w:tr w:rsidR="00337554" w:rsidRPr="00487209" w14:paraId="5F129F41" w14:textId="77777777" w:rsidTr="007D5144">
        <w:trPr>
          <w:trHeight w:val="688"/>
          <w:jc w:val="center"/>
        </w:trPr>
        <w:tc>
          <w:tcPr>
            <w:tcW w:w="435" w:type="pct"/>
            <w:shd w:val="clear" w:color="auto" w:fill="auto"/>
            <w:vAlign w:val="center"/>
          </w:tcPr>
          <w:p w14:paraId="19ACAE6D" w14:textId="77777777" w:rsidR="009D406F" w:rsidRPr="00487209" w:rsidRDefault="009D406F"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59.1.(d)</w:t>
            </w:r>
          </w:p>
        </w:tc>
        <w:tc>
          <w:tcPr>
            <w:tcW w:w="1369" w:type="pct"/>
            <w:gridSpan w:val="2"/>
            <w:shd w:val="clear" w:color="auto" w:fill="auto"/>
            <w:vAlign w:val="center"/>
          </w:tcPr>
          <w:p w14:paraId="10AC5A34" w14:textId="77777777" w:rsidR="009D406F" w:rsidRPr="00487209" w:rsidRDefault="009D406F" w:rsidP="006C6323">
            <w:pPr>
              <w:jc w:val="both"/>
              <w:rPr>
                <w:rFonts w:ascii="Times New Roman" w:hAnsi="Times New Roman" w:cs="Times New Roman"/>
                <w:sz w:val="18"/>
                <w:szCs w:val="18"/>
              </w:rPr>
            </w:pPr>
            <w:r w:rsidRPr="00487209">
              <w:rPr>
                <w:rFonts w:ascii="Times New Roman" w:hAnsi="Times New Roman" w:cs="Times New Roman"/>
                <w:sz w:val="18"/>
                <w:szCs w:val="18"/>
              </w:rPr>
              <w:t>the technical documentation is either not available or not complete.</w:t>
            </w:r>
          </w:p>
        </w:tc>
        <w:tc>
          <w:tcPr>
            <w:tcW w:w="429" w:type="pct"/>
            <w:shd w:val="clear" w:color="auto" w:fill="auto"/>
            <w:vAlign w:val="center"/>
          </w:tcPr>
          <w:p w14:paraId="3F0D2A43" w14:textId="77777777" w:rsidR="009D406F" w:rsidRPr="00487209" w:rsidRDefault="009D406F"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771B125B" w14:textId="77777777" w:rsidR="009D406F" w:rsidRPr="00487209" w:rsidRDefault="009D406F" w:rsidP="006C6323">
            <w:pPr>
              <w:jc w:val="center"/>
              <w:rPr>
                <w:rFonts w:ascii="Times New Roman" w:hAnsi="Times New Roman" w:cs="Times New Roman"/>
                <w:sz w:val="18"/>
                <w:szCs w:val="18"/>
                <w:lang w:val="sr-Cyrl-CS"/>
              </w:rPr>
            </w:pPr>
          </w:p>
        </w:tc>
        <w:tc>
          <w:tcPr>
            <w:tcW w:w="458" w:type="pct"/>
            <w:shd w:val="clear" w:color="auto" w:fill="auto"/>
            <w:vAlign w:val="center"/>
          </w:tcPr>
          <w:p w14:paraId="649C36A0" w14:textId="77777777" w:rsidR="009D406F" w:rsidRPr="00487209" w:rsidRDefault="009D406F"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57E884D8" w14:textId="4609718B" w:rsidR="009D406F" w:rsidRPr="00487209" w:rsidRDefault="009D406F" w:rsidP="00BC196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sr-Cyrl-CS"/>
              </w:rPr>
              <w:t xml:space="preserve">Не постоји одредба </w:t>
            </w:r>
            <w:r w:rsidR="0073105A">
              <w:rPr>
                <w:rFonts w:ascii="Times New Roman" w:hAnsi="Times New Roman" w:cs="Times New Roman"/>
                <w:sz w:val="18"/>
                <w:szCs w:val="18"/>
                <w:lang w:val="sr-Cyrl-CS"/>
              </w:rPr>
              <w:t>Предлог</w:t>
            </w:r>
            <w:r w:rsidR="00BC196E" w:rsidRPr="00487209">
              <w:rPr>
                <w:rFonts w:ascii="Times New Roman" w:hAnsi="Times New Roman" w:cs="Times New Roman"/>
                <w:sz w:val="18"/>
                <w:szCs w:val="18"/>
                <w:lang w:val="sr-Cyrl-CS"/>
              </w:rPr>
              <w:t xml:space="preserve">а закона </w:t>
            </w:r>
            <w:r w:rsidRPr="00487209">
              <w:rPr>
                <w:rFonts w:ascii="Times New Roman" w:hAnsi="Times New Roman" w:cs="Times New Roman"/>
                <w:sz w:val="18"/>
                <w:szCs w:val="18"/>
                <w:lang w:val="sr-Cyrl-CS"/>
              </w:rPr>
              <w:t>о грађевинским производима која се може упоредити са ч</w:t>
            </w:r>
            <w:r w:rsidR="00CC5598">
              <w:rPr>
                <w:rFonts w:ascii="Times New Roman" w:hAnsi="Times New Roman" w:cs="Times New Roman"/>
                <w:sz w:val="18"/>
                <w:szCs w:val="18"/>
                <w:lang w:val="ru-RU"/>
              </w:rPr>
              <w:t>ланом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lang w:val="sr-Cyrl-CS"/>
              </w:rPr>
              <w:t>59.1.(</w:t>
            </w:r>
            <w:r w:rsidRPr="00487209">
              <w:rPr>
                <w:rFonts w:ascii="Times New Roman" w:hAnsi="Times New Roman" w:cs="Times New Roman"/>
                <w:sz w:val="18"/>
                <w:szCs w:val="18"/>
              </w:rPr>
              <w:t>d</w:t>
            </w:r>
            <w:r w:rsidRPr="00487209">
              <w:rPr>
                <w:rFonts w:ascii="Times New Roman" w:hAnsi="Times New Roman" w:cs="Times New Roman"/>
                <w:sz w:val="18"/>
                <w:szCs w:val="18"/>
                <w:lang w:val="sr-Cyrl-CS"/>
              </w:rPr>
              <w:t xml:space="preserve">) Уредбе 305/2011 (ЕУ), због статуса </w:t>
            </w:r>
            <w:r w:rsidRPr="00487209">
              <w:rPr>
                <w:rFonts w:ascii="Times New Roman" w:hAnsi="Times New Roman" w:cs="Times New Roman"/>
                <w:sz w:val="18"/>
                <w:szCs w:val="18"/>
                <w:lang w:val="sr-Cyrl-CS"/>
              </w:rPr>
              <w:lastRenderedPageBreak/>
              <w:t>нечланице. Усклађивање ће бити могуће након приступања ЕУ.</w:t>
            </w:r>
          </w:p>
        </w:tc>
        <w:tc>
          <w:tcPr>
            <w:tcW w:w="480" w:type="pct"/>
            <w:shd w:val="clear" w:color="auto" w:fill="auto"/>
            <w:vAlign w:val="center"/>
          </w:tcPr>
          <w:p w14:paraId="0E3D41D1" w14:textId="77777777" w:rsidR="009D406F" w:rsidRPr="00487209" w:rsidRDefault="009D406F" w:rsidP="006C6323">
            <w:pPr>
              <w:spacing w:before="120" w:after="120"/>
              <w:jc w:val="center"/>
              <w:rPr>
                <w:rFonts w:ascii="Times New Roman" w:hAnsi="Times New Roman" w:cs="Times New Roman"/>
                <w:sz w:val="18"/>
                <w:szCs w:val="18"/>
                <w:lang w:val="sr-Cyrl-CS"/>
              </w:rPr>
            </w:pPr>
          </w:p>
        </w:tc>
      </w:tr>
      <w:tr w:rsidR="00337554" w:rsidRPr="00487209" w14:paraId="3556543F" w14:textId="77777777" w:rsidTr="007D5144">
        <w:trPr>
          <w:trHeight w:val="1970"/>
          <w:jc w:val="center"/>
        </w:trPr>
        <w:tc>
          <w:tcPr>
            <w:tcW w:w="435" w:type="pct"/>
            <w:shd w:val="clear" w:color="auto" w:fill="auto"/>
            <w:vAlign w:val="center"/>
          </w:tcPr>
          <w:p w14:paraId="68746085"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59.2.</w:t>
            </w:r>
          </w:p>
        </w:tc>
        <w:tc>
          <w:tcPr>
            <w:tcW w:w="1369" w:type="pct"/>
            <w:gridSpan w:val="2"/>
            <w:shd w:val="clear" w:color="auto" w:fill="auto"/>
            <w:vAlign w:val="center"/>
          </w:tcPr>
          <w:p w14:paraId="53A7BB56"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Where the non-compliance referred to in paragraph 1 continues, the Member State shall take all appropriate measures to restrict or prohibit the making available on the market of the construction product or ensure that it is recalled or withdrawn from the market.</w:t>
            </w:r>
          </w:p>
          <w:p w14:paraId="64CAB718" w14:textId="77777777" w:rsidR="00147811" w:rsidRPr="00487209" w:rsidRDefault="00147811" w:rsidP="006C6323">
            <w:pPr>
              <w:jc w:val="both"/>
              <w:rPr>
                <w:rFonts w:ascii="Times New Roman" w:hAnsi="Times New Roman" w:cs="Times New Roman"/>
                <w:sz w:val="18"/>
                <w:szCs w:val="18"/>
                <w:lang w:val="sr-Cyrl-CS"/>
              </w:rPr>
            </w:pPr>
          </w:p>
        </w:tc>
        <w:tc>
          <w:tcPr>
            <w:tcW w:w="429" w:type="pct"/>
            <w:shd w:val="clear" w:color="auto" w:fill="auto"/>
            <w:vAlign w:val="center"/>
          </w:tcPr>
          <w:p w14:paraId="4FDF004A" w14:textId="77777777" w:rsidR="001A264B" w:rsidRPr="00487209" w:rsidRDefault="001A264B"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01</w:t>
            </w:r>
          </w:p>
          <w:p w14:paraId="391AF84A" w14:textId="1D9F6522" w:rsidR="00147811" w:rsidRPr="00487209" w:rsidRDefault="001A264B" w:rsidP="00220934">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 </w:t>
            </w:r>
            <w:r w:rsidR="00220934">
              <w:rPr>
                <w:rFonts w:ascii="Times New Roman" w:hAnsi="Times New Roman" w:cs="Times New Roman"/>
                <w:sz w:val="18"/>
                <w:szCs w:val="18"/>
                <w:lang w:val="ru-RU"/>
              </w:rPr>
              <w:t>59</w:t>
            </w:r>
            <w:r w:rsidR="009D406F" w:rsidRPr="00487209">
              <w:rPr>
                <w:rFonts w:ascii="Times New Roman" w:hAnsi="Times New Roman" w:cs="Times New Roman"/>
                <w:sz w:val="18"/>
                <w:szCs w:val="18"/>
                <w:lang w:val="ru-RU"/>
              </w:rPr>
              <w:t>.3.</w:t>
            </w:r>
          </w:p>
        </w:tc>
        <w:tc>
          <w:tcPr>
            <w:tcW w:w="1231" w:type="pct"/>
            <w:gridSpan w:val="2"/>
            <w:shd w:val="clear" w:color="auto" w:fill="auto"/>
            <w:vAlign w:val="center"/>
          </w:tcPr>
          <w:p w14:paraId="615B1BB1" w14:textId="67A2F43E" w:rsidR="009D406F" w:rsidRPr="00487209" w:rsidRDefault="009D406F" w:rsidP="006C6323">
            <w:pPr>
              <w:pStyle w:val="Style7"/>
              <w:spacing w:before="240" w:after="0" w:line="240" w:lineRule="auto"/>
              <w:ind w:right="-23"/>
              <w:jc w:val="both"/>
              <w:outlineLvl w:val="3"/>
              <w:rPr>
                <w:rStyle w:val="FontStyle42"/>
                <w:rFonts w:ascii="Times New Roman" w:hAnsi="Times New Roman" w:cs="Times New Roman"/>
                <w:sz w:val="18"/>
                <w:szCs w:val="18"/>
              </w:rPr>
            </w:pPr>
            <w:r w:rsidRPr="00487209">
              <w:rPr>
                <w:rStyle w:val="FontStyle42"/>
                <w:rFonts w:ascii="Times New Roman" w:hAnsi="Times New Roman" w:cs="Times New Roman"/>
                <w:sz w:val="18"/>
                <w:szCs w:val="18"/>
              </w:rPr>
              <w:t>Ако привредни субјект у одређеном року не отклони недостатке из става 2. овог члана, надлежни инспектор ће донети решење којим се забрањује стављање или испорука на тржиште грађевинског производа са формалним недостатком.</w:t>
            </w:r>
          </w:p>
          <w:p w14:paraId="7F423CFF"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2B2B11D4" w14:textId="77777777" w:rsidR="00147811" w:rsidRPr="00487209" w:rsidRDefault="009D406F"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ПУ</w:t>
            </w:r>
          </w:p>
        </w:tc>
        <w:tc>
          <w:tcPr>
            <w:tcW w:w="598" w:type="pct"/>
            <w:gridSpan w:val="2"/>
            <w:shd w:val="clear" w:color="auto" w:fill="auto"/>
            <w:vAlign w:val="center"/>
          </w:tcPr>
          <w:p w14:paraId="2E57A9FD"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4211CAF"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30A5A5C7" w14:textId="77777777" w:rsidTr="007D5144">
        <w:trPr>
          <w:trHeight w:val="1480"/>
          <w:jc w:val="center"/>
        </w:trPr>
        <w:tc>
          <w:tcPr>
            <w:tcW w:w="435" w:type="pct"/>
            <w:shd w:val="clear" w:color="auto" w:fill="auto"/>
            <w:vAlign w:val="center"/>
          </w:tcPr>
          <w:p w14:paraId="4BEAB34D"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60.(a)</w:t>
            </w:r>
          </w:p>
        </w:tc>
        <w:tc>
          <w:tcPr>
            <w:tcW w:w="1369" w:type="pct"/>
            <w:gridSpan w:val="2"/>
            <w:shd w:val="clear" w:color="auto" w:fill="auto"/>
            <w:vAlign w:val="center"/>
          </w:tcPr>
          <w:p w14:paraId="5E634EA2" w14:textId="77777777" w:rsidR="002E171A" w:rsidRPr="00487209" w:rsidRDefault="002E171A" w:rsidP="006C6323">
            <w:pPr>
              <w:jc w:val="both"/>
              <w:rPr>
                <w:rFonts w:ascii="Times New Roman" w:hAnsi="Times New Roman" w:cs="Times New Roman"/>
                <w:sz w:val="18"/>
                <w:szCs w:val="18"/>
                <w:lang w:val="sr-Cyrl-CS"/>
              </w:rPr>
            </w:pPr>
          </w:p>
          <w:p w14:paraId="01EACAEF" w14:textId="331F99FD"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For the purposes of achieving the objectives of this Regulation, in particular removing and avoiding restrictions on making construction products available on the market, the following matters shall be delegated to the Commission in accordance with Article 61, and subject to the conditions laid down in Articles 62 and 63:</w:t>
            </w:r>
          </w:p>
          <w:p w14:paraId="3B4EDDA7"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the determination, where appropriate, of the essential characteristics or threshold levels within specific families of construction products, in relation to which, in accordance with Articles 3 to 6, the manufacturer shall declare, in relation to their intended use, by levels or classes, or in a description, the performance of the manufacturer’s product when it is placed on the market;</w:t>
            </w:r>
          </w:p>
          <w:p w14:paraId="2777EB06" w14:textId="143473E5" w:rsidR="002E171A" w:rsidRPr="00487209" w:rsidRDefault="002E171A" w:rsidP="006C6323">
            <w:pPr>
              <w:jc w:val="both"/>
              <w:rPr>
                <w:rFonts w:ascii="Times New Roman" w:hAnsi="Times New Roman" w:cs="Times New Roman"/>
                <w:sz w:val="18"/>
                <w:szCs w:val="18"/>
                <w:lang w:val="sr-Cyrl-CS"/>
              </w:rPr>
            </w:pPr>
          </w:p>
        </w:tc>
        <w:tc>
          <w:tcPr>
            <w:tcW w:w="429" w:type="pct"/>
            <w:shd w:val="clear" w:color="auto" w:fill="auto"/>
            <w:vAlign w:val="center"/>
          </w:tcPr>
          <w:p w14:paraId="3E800180"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4FC65E72"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0822182E"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1F064B3E" w14:textId="00B38200" w:rsidR="00147811" w:rsidRPr="00487209" w:rsidRDefault="00CC5598" w:rsidP="006C6323">
            <w:pPr>
              <w:spacing w:before="120" w:after="120"/>
              <w:ind w:firstLine="21"/>
              <w:jc w:val="both"/>
              <w:rPr>
                <w:rFonts w:ascii="Times New Roman" w:hAnsi="Times New Roman" w:cs="Times New Roman"/>
                <w:bCs/>
                <w:sz w:val="18"/>
                <w:szCs w:val="18"/>
                <w:lang w:val="sr-Cyrl-CS"/>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rPr>
              <w:t>60.(a)</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4F815BA5"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690D446A" w14:textId="77777777" w:rsidTr="007D5144">
        <w:trPr>
          <w:trHeight w:val="1970"/>
          <w:jc w:val="center"/>
        </w:trPr>
        <w:tc>
          <w:tcPr>
            <w:tcW w:w="435" w:type="pct"/>
            <w:shd w:val="clear" w:color="auto" w:fill="auto"/>
            <w:vAlign w:val="center"/>
          </w:tcPr>
          <w:p w14:paraId="5DD59F27"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60.(b)</w:t>
            </w:r>
          </w:p>
        </w:tc>
        <w:tc>
          <w:tcPr>
            <w:tcW w:w="1369" w:type="pct"/>
            <w:gridSpan w:val="2"/>
            <w:shd w:val="clear" w:color="auto" w:fill="auto"/>
            <w:vAlign w:val="center"/>
          </w:tcPr>
          <w:p w14:paraId="67478F88"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the conditions on which a declaration of performance may be electronically processed, in order to make it available on a web site in accordance with Article 7;</w:t>
            </w:r>
          </w:p>
        </w:tc>
        <w:tc>
          <w:tcPr>
            <w:tcW w:w="429" w:type="pct"/>
            <w:shd w:val="clear" w:color="auto" w:fill="auto"/>
            <w:vAlign w:val="center"/>
          </w:tcPr>
          <w:p w14:paraId="3F5A319E"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022E52BE"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4628FC6B"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2D6873F5" w14:textId="2C20CC87"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rPr>
              <w:t>60.(b)</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1B355BBE"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956B9A4" w14:textId="77777777" w:rsidTr="007D5144">
        <w:trPr>
          <w:trHeight w:val="1970"/>
          <w:jc w:val="center"/>
        </w:trPr>
        <w:tc>
          <w:tcPr>
            <w:tcW w:w="435" w:type="pct"/>
            <w:shd w:val="clear" w:color="auto" w:fill="auto"/>
            <w:vAlign w:val="center"/>
          </w:tcPr>
          <w:p w14:paraId="3D067FC8"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60.(c)</w:t>
            </w:r>
          </w:p>
        </w:tc>
        <w:tc>
          <w:tcPr>
            <w:tcW w:w="1369" w:type="pct"/>
            <w:gridSpan w:val="2"/>
            <w:shd w:val="clear" w:color="auto" w:fill="auto"/>
            <w:vAlign w:val="center"/>
          </w:tcPr>
          <w:p w14:paraId="3D60FD5D" w14:textId="77777777" w:rsidR="009D406F" w:rsidRPr="00487209" w:rsidRDefault="009D406F" w:rsidP="006C6323">
            <w:pPr>
              <w:jc w:val="both"/>
              <w:rPr>
                <w:rFonts w:ascii="Times New Roman" w:hAnsi="Times New Roman" w:cs="Times New Roman"/>
                <w:sz w:val="18"/>
                <w:szCs w:val="18"/>
              </w:rPr>
            </w:pPr>
          </w:p>
          <w:p w14:paraId="4CE4AD3B"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the amendment of the period for which the manufacturer shall keep the technical documentation and the declaration of performance after the construction product has been placed on the market, in accordance with Article 11, based on the expected life or the part played by the construction product in the construction works;</w:t>
            </w:r>
          </w:p>
          <w:p w14:paraId="7BD67F1B" w14:textId="77777777" w:rsidR="009D406F" w:rsidRPr="00487209" w:rsidRDefault="009D406F" w:rsidP="006C6323">
            <w:pPr>
              <w:jc w:val="both"/>
              <w:rPr>
                <w:rFonts w:ascii="Times New Roman" w:hAnsi="Times New Roman" w:cs="Times New Roman"/>
                <w:sz w:val="18"/>
                <w:szCs w:val="18"/>
              </w:rPr>
            </w:pPr>
          </w:p>
        </w:tc>
        <w:tc>
          <w:tcPr>
            <w:tcW w:w="429" w:type="pct"/>
            <w:shd w:val="clear" w:color="auto" w:fill="auto"/>
            <w:vAlign w:val="center"/>
          </w:tcPr>
          <w:p w14:paraId="6ED7245E"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4E9B2A33"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31AED0B4"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1A894BA1" w14:textId="32825C33"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rPr>
              <w:t>60.(c)</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202728D8"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06FE4D7" w14:textId="77777777" w:rsidTr="007D5144">
        <w:trPr>
          <w:trHeight w:val="1970"/>
          <w:jc w:val="center"/>
        </w:trPr>
        <w:tc>
          <w:tcPr>
            <w:tcW w:w="435" w:type="pct"/>
            <w:shd w:val="clear" w:color="auto" w:fill="auto"/>
            <w:vAlign w:val="center"/>
          </w:tcPr>
          <w:p w14:paraId="2F1C93E2"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60.(d)</w:t>
            </w:r>
          </w:p>
        </w:tc>
        <w:tc>
          <w:tcPr>
            <w:tcW w:w="1369" w:type="pct"/>
            <w:gridSpan w:val="2"/>
            <w:shd w:val="clear" w:color="auto" w:fill="auto"/>
            <w:vAlign w:val="center"/>
          </w:tcPr>
          <w:p w14:paraId="76620DA1" w14:textId="77777777" w:rsidR="009D406F" w:rsidRPr="00487209" w:rsidRDefault="009D406F" w:rsidP="006C6323">
            <w:pPr>
              <w:jc w:val="both"/>
              <w:rPr>
                <w:rFonts w:ascii="Times New Roman" w:hAnsi="Times New Roman" w:cs="Times New Roman"/>
                <w:sz w:val="18"/>
                <w:szCs w:val="18"/>
              </w:rPr>
            </w:pPr>
          </w:p>
          <w:p w14:paraId="2AB1D319"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the amendment of Annex II and where necessary the adoption of supplementary procedural rules in accordance with Article 19(3) in order to ensure compliance with the principles in Article 20, or the application in practice of the procedures set out in Article 21;</w:t>
            </w:r>
          </w:p>
          <w:p w14:paraId="02FC386F" w14:textId="77777777" w:rsidR="009D406F" w:rsidRPr="00487209" w:rsidRDefault="009D406F" w:rsidP="006C6323">
            <w:pPr>
              <w:jc w:val="both"/>
              <w:rPr>
                <w:rFonts w:ascii="Times New Roman" w:hAnsi="Times New Roman" w:cs="Times New Roman"/>
                <w:sz w:val="18"/>
                <w:szCs w:val="18"/>
              </w:rPr>
            </w:pPr>
          </w:p>
        </w:tc>
        <w:tc>
          <w:tcPr>
            <w:tcW w:w="429" w:type="pct"/>
            <w:shd w:val="clear" w:color="auto" w:fill="auto"/>
            <w:vAlign w:val="center"/>
          </w:tcPr>
          <w:p w14:paraId="210D9F57"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22A69C1C"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6CBF9DEF"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0E1AC9C5" w14:textId="503FC83A"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rPr>
              <w:t>60.(d)</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lang w:val="sr-Cyrl-CS"/>
              </w:rPr>
              <w:t>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34BB4C6E"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33AED38" w14:textId="77777777" w:rsidTr="007D5144">
        <w:trPr>
          <w:trHeight w:val="1970"/>
          <w:jc w:val="center"/>
        </w:trPr>
        <w:tc>
          <w:tcPr>
            <w:tcW w:w="435" w:type="pct"/>
            <w:shd w:val="clear" w:color="auto" w:fill="auto"/>
            <w:vAlign w:val="center"/>
          </w:tcPr>
          <w:p w14:paraId="2FAACD85"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60.(e)</w:t>
            </w:r>
          </w:p>
        </w:tc>
        <w:tc>
          <w:tcPr>
            <w:tcW w:w="1369" w:type="pct"/>
            <w:gridSpan w:val="2"/>
            <w:shd w:val="clear" w:color="auto" w:fill="auto"/>
            <w:vAlign w:val="center"/>
          </w:tcPr>
          <w:p w14:paraId="469B30BF"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the adaptation of Annex III, table 1 of Annex IV, and Annex V in response to technical progress;</w:t>
            </w:r>
          </w:p>
        </w:tc>
        <w:tc>
          <w:tcPr>
            <w:tcW w:w="429" w:type="pct"/>
            <w:shd w:val="clear" w:color="auto" w:fill="auto"/>
            <w:vAlign w:val="center"/>
          </w:tcPr>
          <w:p w14:paraId="4AA9E986"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7370A739"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43CC24FA"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09B35A9F" w14:textId="6F281DE0"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rPr>
              <w:t>60.(e)</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lang w:val="sr-Cyrl-CS"/>
              </w:rPr>
              <w:t>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40A84A65"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7420EBD" w14:textId="77777777" w:rsidTr="007D5144">
        <w:trPr>
          <w:trHeight w:val="1970"/>
          <w:jc w:val="center"/>
        </w:trPr>
        <w:tc>
          <w:tcPr>
            <w:tcW w:w="435" w:type="pct"/>
            <w:shd w:val="clear" w:color="auto" w:fill="auto"/>
            <w:vAlign w:val="center"/>
          </w:tcPr>
          <w:p w14:paraId="56AB3FBB"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60.(f)</w:t>
            </w:r>
          </w:p>
        </w:tc>
        <w:tc>
          <w:tcPr>
            <w:tcW w:w="1369" w:type="pct"/>
            <w:gridSpan w:val="2"/>
            <w:shd w:val="clear" w:color="auto" w:fill="auto"/>
            <w:vAlign w:val="center"/>
          </w:tcPr>
          <w:p w14:paraId="02B8C03B"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the establishment and adaptation of classes of performance in response to technical progress in accordance with Article 27(1);</w:t>
            </w:r>
          </w:p>
        </w:tc>
        <w:tc>
          <w:tcPr>
            <w:tcW w:w="429" w:type="pct"/>
            <w:shd w:val="clear" w:color="auto" w:fill="auto"/>
            <w:vAlign w:val="center"/>
          </w:tcPr>
          <w:p w14:paraId="04B33C01"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6B11980D"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1D032992"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1D5E7E2A" w14:textId="4CC8EE7C"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rPr>
              <w:t>60.(f)</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lang w:val="sr-Cyrl-CS"/>
              </w:rPr>
              <w:t>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4D1AC69B"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731AB002" w14:textId="77777777" w:rsidTr="007D5144">
        <w:trPr>
          <w:trHeight w:val="1970"/>
          <w:jc w:val="center"/>
        </w:trPr>
        <w:tc>
          <w:tcPr>
            <w:tcW w:w="435" w:type="pct"/>
            <w:shd w:val="clear" w:color="auto" w:fill="auto"/>
            <w:vAlign w:val="center"/>
          </w:tcPr>
          <w:p w14:paraId="5C3C27C0"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60.(g)</w:t>
            </w:r>
          </w:p>
        </w:tc>
        <w:tc>
          <w:tcPr>
            <w:tcW w:w="1369" w:type="pct"/>
            <w:gridSpan w:val="2"/>
            <w:shd w:val="clear" w:color="auto" w:fill="auto"/>
            <w:vAlign w:val="center"/>
          </w:tcPr>
          <w:p w14:paraId="0ACDC858"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the conditions on which a construction product shall be deemed to satisfy a certain level or class of performance without testing or without further testing in accordance with Article 27(5), provided that the fulfilment of the basic requirements for construction works is not thereby jeopardised;</w:t>
            </w:r>
          </w:p>
        </w:tc>
        <w:tc>
          <w:tcPr>
            <w:tcW w:w="429" w:type="pct"/>
            <w:shd w:val="clear" w:color="auto" w:fill="auto"/>
            <w:vAlign w:val="center"/>
          </w:tcPr>
          <w:p w14:paraId="138B9869"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6D62AFB6"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7DFBC277"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3E60380E" w14:textId="7746E23E"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rPr>
              <w:t>60.(g)</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lang w:val="sr-Cyrl-CS"/>
              </w:rPr>
              <w:t>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0C534F6D"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2EC770D3" w14:textId="77777777" w:rsidTr="007D5144">
        <w:trPr>
          <w:trHeight w:val="1970"/>
          <w:jc w:val="center"/>
        </w:trPr>
        <w:tc>
          <w:tcPr>
            <w:tcW w:w="435" w:type="pct"/>
            <w:shd w:val="clear" w:color="auto" w:fill="auto"/>
            <w:vAlign w:val="center"/>
          </w:tcPr>
          <w:p w14:paraId="61DF2B65"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60.(h)(i)</w:t>
            </w:r>
          </w:p>
        </w:tc>
        <w:tc>
          <w:tcPr>
            <w:tcW w:w="1369" w:type="pct"/>
            <w:gridSpan w:val="2"/>
            <w:shd w:val="clear" w:color="auto" w:fill="auto"/>
            <w:vAlign w:val="center"/>
          </w:tcPr>
          <w:p w14:paraId="4D4F2F32" w14:textId="77777777" w:rsidR="009D406F" w:rsidRPr="00487209" w:rsidRDefault="009D406F" w:rsidP="006C6323">
            <w:pPr>
              <w:jc w:val="both"/>
              <w:rPr>
                <w:rFonts w:ascii="Times New Roman" w:hAnsi="Times New Roman" w:cs="Times New Roman"/>
                <w:sz w:val="18"/>
                <w:szCs w:val="18"/>
                <w:lang w:val="sr-Cyrl-CS"/>
              </w:rPr>
            </w:pPr>
          </w:p>
          <w:p w14:paraId="71D276B0"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adaptation, establishment and revision of the systems of assessment and verification of constancy of performance in accordance with Article 28, relating to a given product, a given product family or a given essential characteristic, and in accordance with:</w:t>
            </w:r>
          </w:p>
          <w:p w14:paraId="322042DD"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(i) the importance of the part played by the product or those essential characteristics with respect to the basic requirements for construction works;</w:t>
            </w:r>
          </w:p>
          <w:p w14:paraId="1AB1D4C1" w14:textId="77777777" w:rsidR="00147811" w:rsidRPr="00487209" w:rsidRDefault="00147811" w:rsidP="006C6323">
            <w:pPr>
              <w:jc w:val="both"/>
              <w:rPr>
                <w:rFonts w:ascii="Times New Roman" w:hAnsi="Times New Roman" w:cs="Times New Roman"/>
                <w:sz w:val="18"/>
                <w:szCs w:val="18"/>
                <w:lang w:val="sr-Cyrl-CS"/>
              </w:rPr>
            </w:pPr>
          </w:p>
        </w:tc>
        <w:tc>
          <w:tcPr>
            <w:tcW w:w="429" w:type="pct"/>
            <w:shd w:val="clear" w:color="auto" w:fill="auto"/>
            <w:vAlign w:val="center"/>
          </w:tcPr>
          <w:p w14:paraId="333BB9FE"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155B22DD"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645526BD"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31BC122D" w14:textId="120736D1"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Члан </w:t>
            </w:r>
            <w:r w:rsidR="00147811" w:rsidRPr="00487209">
              <w:rPr>
                <w:rFonts w:ascii="Times New Roman" w:hAnsi="Times New Roman" w:cs="Times New Roman"/>
                <w:sz w:val="18"/>
                <w:szCs w:val="18"/>
              </w:rPr>
              <w:t>60.(h)(i)</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lang w:val="sr-Cyrl-CS"/>
              </w:rPr>
              <w:t>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1712294F"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321AA7ED" w14:textId="77777777" w:rsidTr="007D5144">
        <w:trPr>
          <w:trHeight w:val="1970"/>
          <w:jc w:val="center"/>
        </w:trPr>
        <w:tc>
          <w:tcPr>
            <w:tcW w:w="435" w:type="pct"/>
            <w:shd w:val="clear" w:color="auto" w:fill="auto"/>
            <w:vAlign w:val="center"/>
          </w:tcPr>
          <w:p w14:paraId="3440202D"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60.(h)</w:t>
            </w:r>
          </w:p>
          <w:p w14:paraId="1B1F29CE"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(ii)</w:t>
            </w:r>
          </w:p>
        </w:tc>
        <w:tc>
          <w:tcPr>
            <w:tcW w:w="1369" w:type="pct"/>
            <w:gridSpan w:val="2"/>
            <w:shd w:val="clear" w:color="auto" w:fill="auto"/>
            <w:vAlign w:val="center"/>
          </w:tcPr>
          <w:p w14:paraId="159373F1"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the nature of the product;</w:t>
            </w:r>
          </w:p>
        </w:tc>
        <w:tc>
          <w:tcPr>
            <w:tcW w:w="429" w:type="pct"/>
            <w:shd w:val="clear" w:color="auto" w:fill="auto"/>
            <w:vAlign w:val="center"/>
          </w:tcPr>
          <w:p w14:paraId="54D3AF8E"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5802AD9B"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79CAF709"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7A740B67" w14:textId="3C49911C" w:rsidR="00147811" w:rsidRPr="00487209" w:rsidRDefault="00CC5598" w:rsidP="006C6323">
            <w:pPr>
              <w:spacing w:before="120" w:after="120"/>
              <w:jc w:val="both"/>
              <w:rPr>
                <w:rFonts w:ascii="Times New Roman" w:hAnsi="Times New Roman" w:cs="Times New Roman"/>
                <w:sz w:val="18"/>
                <w:szCs w:val="18"/>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rPr>
              <w:t xml:space="preserve">60.(h)(ii) </w:t>
            </w:r>
            <w:r w:rsidR="00147811" w:rsidRPr="00487209">
              <w:rPr>
                <w:rFonts w:ascii="Times New Roman" w:hAnsi="Times New Roman" w:cs="Times New Roman"/>
                <w:sz w:val="18"/>
                <w:szCs w:val="18"/>
                <w:lang w:val="sr-Cyrl-CS"/>
              </w:rPr>
              <w:t>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50E6676D"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8172A83" w14:textId="77777777" w:rsidTr="007D5144">
        <w:trPr>
          <w:trHeight w:val="1970"/>
          <w:jc w:val="center"/>
        </w:trPr>
        <w:tc>
          <w:tcPr>
            <w:tcW w:w="435" w:type="pct"/>
            <w:shd w:val="clear" w:color="auto" w:fill="auto"/>
            <w:vAlign w:val="center"/>
          </w:tcPr>
          <w:p w14:paraId="43A8F515"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60.(h)</w:t>
            </w:r>
          </w:p>
          <w:p w14:paraId="43CEF321"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(iii)</w:t>
            </w:r>
          </w:p>
        </w:tc>
        <w:tc>
          <w:tcPr>
            <w:tcW w:w="1369" w:type="pct"/>
            <w:gridSpan w:val="2"/>
            <w:shd w:val="clear" w:color="auto" w:fill="auto"/>
            <w:vAlign w:val="center"/>
          </w:tcPr>
          <w:p w14:paraId="75522448"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the effect of the variability of the essential characteristics of the construction product during the expected life of the product; and</w:t>
            </w:r>
          </w:p>
        </w:tc>
        <w:tc>
          <w:tcPr>
            <w:tcW w:w="429" w:type="pct"/>
            <w:shd w:val="clear" w:color="auto" w:fill="auto"/>
            <w:vAlign w:val="center"/>
          </w:tcPr>
          <w:p w14:paraId="6B46E28D"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196E39EE"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34B118EF"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09164884" w14:textId="3039851F" w:rsidR="00147811" w:rsidRPr="00487209" w:rsidRDefault="00CC5598" w:rsidP="006C6323">
            <w:pPr>
              <w:spacing w:before="120" w:after="120"/>
              <w:jc w:val="both"/>
              <w:rPr>
                <w:rFonts w:ascii="Times New Roman" w:hAnsi="Times New Roman" w:cs="Times New Roman"/>
                <w:sz w:val="18"/>
                <w:szCs w:val="18"/>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rPr>
              <w:t xml:space="preserve">60.(h)(iii) </w:t>
            </w:r>
            <w:r w:rsidR="00147811" w:rsidRPr="00487209">
              <w:rPr>
                <w:rFonts w:ascii="Times New Roman" w:hAnsi="Times New Roman" w:cs="Times New Roman"/>
                <w:sz w:val="18"/>
                <w:szCs w:val="18"/>
                <w:lang w:val="sr-Cyrl-CS"/>
              </w:rPr>
              <w:t>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36E8B291"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4F03F832" w14:textId="77777777" w:rsidTr="007D5144">
        <w:trPr>
          <w:trHeight w:val="1970"/>
          <w:jc w:val="center"/>
        </w:trPr>
        <w:tc>
          <w:tcPr>
            <w:tcW w:w="435" w:type="pct"/>
            <w:shd w:val="clear" w:color="auto" w:fill="auto"/>
            <w:vAlign w:val="center"/>
          </w:tcPr>
          <w:p w14:paraId="4BC6A228"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60.(h)</w:t>
            </w:r>
          </w:p>
          <w:p w14:paraId="1E47A5B6"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(iv)</w:t>
            </w:r>
          </w:p>
        </w:tc>
        <w:tc>
          <w:tcPr>
            <w:tcW w:w="1369" w:type="pct"/>
            <w:gridSpan w:val="2"/>
            <w:shd w:val="clear" w:color="auto" w:fill="auto"/>
            <w:vAlign w:val="center"/>
          </w:tcPr>
          <w:p w14:paraId="3DACEE0A"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the susceptibility to defects in the product’s manufacture.</w:t>
            </w:r>
          </w:p>
        </w:tc>
        <w:tc>
          <w:tcPr>
            <w:tcW w:w="429" w:type="pct"/>
            <w:shd w:val="clear" w:color="auto" w:fill="auto"/>
            <w:vAlign w:val="center"/>
          </w:tcPr>
          <w:p w14:paraId="2E34D4F1"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3BD9FD30"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34D2F9E6"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1CC9AFC5" w14:textId="75F0FAA2" w:rsidR="00147811" w:rsidRPr="00487209" w:rsidRDefault="00CC5598" w:rsidP="006C6323">
            <w:pPr>
              <w:spacing w:before="120" w:after="120"/>
              <w:jc w:val="both"/>
              <w:rPr>
                <w:rFonts w:ascii="Times New Roman" w:hAnsi="Times New Roman" w:cs="Times New Roman"/>
                <w:sz w:val="18"/>
                <w:szCs w:val="18"/>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w:t>
            </w:r>
            <w:r w:rsidR="00147811" w:rsidRPr="00487209">
              <w:rPr>
                <w:rFonts w:ascii="Times New Roman" w:hAnsi="Times New Roman" w:cs="Times New Roman"/>
                <w:sz w:val="18"/>
                <w:szCs w:val="18"/>
              </w:rPr>
              <w:t xml:space="preserve">60.(h)(iv) </w:t>
            </w:r>
            <w:r w:rsidR="00147811" w:rsidRPr="00487209">
              <w:rPr>
                <w:rFonts w:ascii="Times New Roman" w:hAnsi="Times New Roman" w:cs="Times New Roman"/>
                <w:sz w:val="18"/>
                <w:szCs w:val="18"/>
                <w:lang w:val="sr-Cyrl-CS"/>
              </w:rPr>
              <w:t>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0068C96D"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5B5D359F" w14:textId="77777777" w:rsidTr="007D5144">
        <w:trPr>
          <w:trHeight w:val="1970"/>
          <w:jc w:val="center"/>
        </w:trPr>
        <w:tc>
          <w:tcPr>
            <w:tcW w:w="435" w:type="pct"/>
            <w:shd w:val="clear" w:color="auto" w:fill="auto"/>
            <w:vAlign w:val="center"/>
          </w:tcPr>
          <w:p w14:paraId="66556656"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61.1.</w:t>
            </w:r>
          </w:p>
        </w:tc>
        <w:tc>
          <w:tcPr>
            <w:tcW w:w="1369" w:type="pct"/>
            <w:gridSpan w:val="2"/>
            <w:shd w:val="clear" w:color="auto" w:fill="auto"/>
            <w:vAlign w:val="center"/>
          </w:tcPr>
          <w:p w14:paraId="7543E71A" w14:textId="77777777" w:rsidR="009D406F" w:rsidRPr="00487209" w:rsidRDefault="009D406F" w:rsidP="006C6323">
            <w:pPr>
              <w:jc w:val="both"/>
              <w:rPr>
                <w:rFonts w:ascii="Times New Roman" w:hAnsi="Times New Roman" w:cs="Times New Roman"/>
                <w:sz w:val="18"/>
                <w:szCs w:val="18"/>
              </w:rPr>
            </w:pPr>
          </w:p>
          <w:p w14:paraId="46F4C6D8" w14:textId="77777777" w:rsidR="009D406F"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The power to adopt delegated acts referred to in Article 60 shall be conferred on the Commission for a period of 5 years from 24 April 2011. The Commission shall draw up a report in respect of the delegated power at the latest 6 months before the end of the 5-year period. The delegation of power shall be automatically extended for periods of an identical duration, unless the European Parliament or the Council revokes it in accordance with Article 62.</w:t>
            </w:r>
          </w:p>
        </w:tc>
        <w:tc>
          <w:tcPr>
            <w:tcW w:w="429" w:type="pct"/>
            <w:shd w:val="clear" w:color="auto" w:fill="auto"/>
            <w:vAlign w:val="center"/>
          </w:tcPr>
          <w:p w14:paraId="377D31FF"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58F3E232"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1F397AD9"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7B2A92C5" w14:textId="5E9C9031"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Члан </w:t>
            </w:r>
            <w:r w:rsidR="00147811" w:rsidRPr="00487209">
              <w:rPr>
                <w:rFonts w:ascii="Times New Roman" w:hAnsi="Times New Roman" w:cs="Times New Roman"/>
                <w:sz w:val="18"/>
                <w:szCs w:val="18"/>
                <w:lang w:val="ru-RU"/>
              </w:rPr>
              <w:t>61.1.</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2B4D9BC2"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16172C72" w14:textId="77777777" w:rsidTr="007D5144">
        <w:trPr>
          <w:trHeight w:val="1970"/>
          <w:jc w:val="center"/>
        </w:trPr>
        <w:tc>
          <w:tcPr>
            <w:tcW w:w="435" w:type="pct"/>
            <w:shd w:val="clear" w:color="auto" w:fill="auto"/>
            <w:vAlign w:val="center"/>
          </w:tcPr>
          <w:p w14:paraId="21DEEDEE"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61.2.</w:t>
            </w:r>
          </w:p>
        </w:tc>
        <w:tc>
          <w:tcPr>
            <w:tcW w:w="1369" w:type="pct"/>
            <w:gridSpan w:val="2"/>
            <w:shd w:val="clear" w:color="auto" w:fill="auto"/>
            <w:vAlign w:val="center"/>
          </w:tcPr>
          <w:p w14:paraId="005A7CC9"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As soon as it adopts a delegated act, the Commission shall notify it simultaneously to the European Parliament and to the Council.</w:t>
            </w:r>
          </w:p>
        </w:tc>
        <w:tc>
          <w:tcPr>
            <w:tcW w:w="429" w:type="pct"/>
            <w:shd w:val="clear" w:color="auto" w:fill="auto"/>
            <w:vAlign w:val="center"/>
          </w:tcPr>
          <w:p w14:paraId="2A71DCC6"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6D2F62C8"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4DED8C7D"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2D337EBD" w14:textId="05AD08C9"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61.2.</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2B91DEA5"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49571331" w14:textId="77777777" w:rsidTr="007D5144">
        <w:trPr>
          <w:trHeight w:val="1970"/>
          <w:jc w:val="center"/>
        </w:trPr>
        <w:tc>
          <w:tcPr>
            <w:tcW w:w="435" w:type="pct"/>
            <w:shd w:val="clear" w:color="auto" w:fill="auto"/>
            <w:vAlign w:val="center"/>
          </w:tcPr>
          <w:p w14:paraId="1210D65A"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61.3.</w:t>
            </w:r>
          </w:p>
        </w:tc>
        <w:tc>
          <w:tcPr>
            <w:tcW w:w="1369" w:type="pct"/>
            <w:gridSpan w:val="2"/>
            <w:shd w:val="clear" w:color="auto" w:fill="auto"/>
            <w:vAlign w:val="center"/>
          </w:tcPr>
          <w:p w14:paraId="2AFBF25E"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The power to adopt delegated acts is conferred on the Commission subject to the conditions laid down in Articles 62 and 63.</w:t>
            </w:r>
          </w:p>
        </w:tc>
        <w:tc>
          <w:tcPr>
            <w:tcW w:w="429" w:type="pct"/>
            <w:shd w:val="clear" w:color="auto" w:fill="auto"/>
            <w:vAlign w:val="center"/>
          </w:tcPr>
          <w:p w14:paraId="1E8DD86B"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42B4334C"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1620CDD1"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0384914A" w14:textId="5D6B972B"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61.3.</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0FC66681"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63EC345E" w14:textId="77777777" w:rsidTr="007D5144">
        <w:trPr>
          <w:trHeight w:val="1970"/>
          <w:jc w:val="center"/>
        </w:trPr>
        <w:tc>
          <w:tcPr>
            <w:tcW w:w="435" w:type="pct"/>
            <w:shd w:val="clear" w:color="auto" w:fill="auto"/>
            <w:vAlign w:val="center"/>
          </w:tcPr>
          <w:p w14:paraId="2C881EB6"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62.1.</w:t>
            </w:r>
          </w:p>
        </w:tc>
        <w:tc>
          <w:tcPr>
            <w:tcW w:w="1369" w:type="pct"/>
            <w:gridSpan w:val="2"/>
            <w:shd w:val="clear" w:color="auto" w:fill="auto"/>
            <w:vAlign w:val="center"/>
          </w:tcPr>
          <w:p w14:paraId="7D0EF2C5"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 The delegation of power referred to in Article 60 may be revoked at any time by the European Parliament or by the Council.</w:t>
            </w:r>
          </w:p>
        </w:tc>
        <w:tc>
          <w:tcPr>
            <w:tcW w:w="429" w:type="pct"/>
            <w:shd w:val="clear" w:color="auto" w:fill="auto"/>
            <w:vAlign w:val="center"/>
          </w:tcPr>
          <w:p w14:paraId="41847AC9"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12673761"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1CC44D39"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31D33409" w14:textId="5CC7CC96"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62.1.</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Европског парламента или Савета</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0E801D2E"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5C13BA49" w14:textId="77777777" w:rsidTr="007D5144">
        <w:trPr>
          <w:trHeight w:val="1970"/>
          <w:jc w:val="center"/>
        </w:trPr>
        <w:tc>
          <w:tcPr>
            <w:tcW w:w="435" w:type="pct"/>
            <w:shd w:val="clear" w:color="auto" w:fill="auto"/>
            <w:vAlign w:val="center"/>
          </w:tcPr>
          <w:p w14:paraId="77A1DF00"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62.2.</w:t>
            </w:r>
          </w:p>
        </w:tc>
        <w:tc>
          <w:tcPr>
            <w:tcW w:w="1369" w:type="pct"/>
            <w:gridSpan w:val="2"/>
            <w:shd w:val="clear" w:color="auto" w:fill="auto"/>
            <w:vAlign w:val="center"/>
          </w:tcPr>
          <w:p w14:paraId="2A979586" w14:textId="77777777" w:rsidR="009D406F" w:rsidRPr="00487209" w:rsidRDefault="009D406F" w:rsidP="006C6323">
            <w:pPr>
              <w:jc w:val="both"/>
              <w:rPr>
                <w:rFonts w:ascii="Times New Roman" w:hAnsi="Times New Roman" w:cs="Times New Roman"/>
                <w:sz w:val="18"/>
                <w:szCs w:val="18"/>
              </w:rPr>
            </w:pPr>
          </w:p>
          <w:p w14:paraId="5A7F4061" w14:textId="3378512B" w:rsidR="009D406F"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The institution which has commenced an internal procedure for deciding whether to revoke the delegation of power shall endeavour to inform the other institution and the Commission within a reasonable time before the final decision is taken, indicating the delegated power which could be subject to revocation and possible reasons for a revocation.</w:t>
            </w:r>
          </w:p>
          <w:p w14:paraId="5ED5BDAD" w14:textId="77777777" w:rsidR="009D406F" w:rsidRPr="00487209" w:rsidRDefault="009D406F" w:rsidP="006C6323">
            <w:pPr>
              <w:jc w:val="both"/>
              <w:rPr>
                <w:rFonts w:ascii="Times New Roman" w:hAnsi="Times New Roman" w:cs="Times New Roman"/>
                <w:sz w:val="18"/>
                <w:szCs w:val="18"/>
              </w:rPr>
            </w:pPr>
          </w:p>
        </w:tc>
        <w:tc>
          <w:tcPr>
            <w:tcW w:w="429" w:type="pct"/>
            <w:shd w:val="clear" w:color="auto" w:fill="auto"/>
            <w:vAlign w:val="center"/>
          </w:tcPr>
          <w:p w14:paraId="48DA7A07"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008832C4"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041042FA"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7EE62604" w14:textId="590A0C55"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62.2.</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Европског парламента или Савета</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5E4D71CD"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02A6DFDE" w14:textId="77777777" w:rsidTr="007D5144">
        <w:trPr>
          <w:trHeight w:val="1970"/>
          <w:jc w:val="center"/>
        </w:trPr>
        <w:tc>
          <w:tcPr>
            <w:tcW w:w="435" w:type="pct"/>
            <w:shd w:val="clear" w:color="auto" w:fill="auto"/>
            <w:vAlign w:val="center"/>
          </w:tcPr>
          <w:p w14:paraId="7BDE632C"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62.3.</w:t>
            </w:r>
          </w:p>
        </w:tc>
        <w:tc>
          <w:tcPr>
            <w:tcW w:w="1369" w:type="pct"/>
            <w:gridSpan w:val="2"/>
            <w:shd w:val="clear" w:color="auto" w:fill="auto"/>
            <w:vAlign w:val="center"/>
          </w:tcPr>
          <w:p w14:paraId="1D8F9B54"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The decision of revocation shall put an end to the delegation of the power specified in that decision. It shall take effect immediately or at a later date specified therein. It shall not affect the validity of the delegated acts already in force. It shall be published in the Official Journal of the European Union.</w:t>
            </w:r>
          </w:p>
        </w:tc>
        <w:tc>
          <w:tcPr>
            <w:tcW w:w="429" w:type="pct"/>
            <w:shd w:val="clear" w:color="auto" w:fill="auto"/>
            <w:vAlign w:val="center"/>
          </w:tcPr>
          <w:p w14:paraId="2946A13C"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15A44BB9"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5AF9B246"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38391EDE" w14:textId="457CF3DA"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62.3.</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Европског парламента или Савета</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0261F2A9"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3A982C5D" w14:textId="77777777" w:rsidTr="007D5144">
        <w:trPr>
          <w:trHeight w:val="1970"/>
          <w:jc w:val="center"/>
        </w:trPr>
        <w:tc>
          <w:tcPr>
            <w:tcW w:w="435" w:type="pct"/>
            <w:shd w:val="clear" w:color="auto" w:fill="auto"/>
            <w:vAlign w:val="center"/>
          </w:tcPr>
          <w:p w14:paraId="56E6EA0B"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63.1.</w:t>
            </w:r>
          </w:p>
        </w:tc>
        <w:tc>
          <w:tcPr>
            <w:tcW w:w="1369" w:type="pct"/>
            <w:gridSpan w:val="2"/>
            <w:shd w:val="clear" w:color="auto" w:fill="auto"/>
            <w:vAlign w:val="center"/>
          </w:tcPr>
          <w:p w14:paraId="73AD80C7"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European Parliament or the Council may object to a delegated act within a period of 3 months from the date of notification.</w:t>
            </w:r>
          </w:p>
          <w:p w14:paraId="62325438"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At the initiative of the European Parliament or the Council, that period shall be extended by 3 months.</w:t>
            </w:r>
          </w:p>
          <w:p w14:paraId="3FD5C0FC" w14:textId="77777777" w:rsidR="00147811" w:rsidRPr="00487209" w:rsidRDefault="00147811" w:rsidP="006C6323">
            <w:pPr>
              <w:jc w:val="both"/>
              <w:rPr>
                <w:rFonts w:ascii="Times New Roman" w:hAnsi="Times New Roman" w:cs="Times New Roman"/>
                <w:sz w:val="18"/>
                <w:szCs w:val="18"/>
                <w:lang w:val="sr-Cyrl-CS"/>
              </w:rPr>
            </w:pPr>
          </w:p>
        </w:tc>
        <w:tc>
          <w:tcPr>
            <w:tcW w:w="429" w:type="pct"/>
            <w:shd w:val="clear" w:color="auto" w:fill="auto"/>
            <w:vAlign w:val="center"/>
          </w:tcPr>
          <w:p w14:paraId="065958D2"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2CB11887"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2106BB47"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1A4B4A2B" w14:textId="57222F16" w:rsidR="00147811" w:rsidRPr="00487209" w:rsidRDefault="00147811"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Чл</w:t>
            </w:r>
            <w:r w:rsidR="00CC5598">
              <w:rPr>
                <w:rFonts w:ascii="Times New Roman" w:hAnsi="Times New Roman" w:cs="Times New Roman"/>
                <w:sz w:val="18"/>
                <w:szCs w:val="18"/>
                <w:lang w:val="ru-RU"/>
              </w:rPr>
              <w:t>ан</w:t>
            </w:r>
            <w:r w:rsidRPr="00487209">
              <w:rPr>
                <w:rFonts w:ascii="Times New Roman" w:hAnsi="Times New Roman" w:cs="Times New Roman"/>
                <w:sz w:val="18"/>
                <w:szCs w:val="18"/>
                <w:lang w:val="ru-RU"/>
              </w:rPr>
              <w:t xml:space="preserve"> 63.1.</w:t>
            </w:r>
            <w:r w:rsidRPr="00487209">
              <w:rPr>
                <w:rFonts w:ascii="Times New Roman" w:hAnsi="Times New Roman" w:cs="Times New Roman"/>
                <w:sz w:val="18"/>
                <w:szCs w:val="18"/>
                <w:lang w:val="sr-Cyrl-CS"/>
              </w:rPr>
              <w:t xml:space="preserve"> Уредбе 305/2011 (ЕУ) није пренет, пошто се односи на обавезу Европског парламента или Савета</w:t>
            </w:r>
            <w:r w:rsidRPr="00487209">
              <w:rPr>
                <w:rFonts w:ascii="Times New Roman" w:hAnsi="Times New Roman" w:cs="Times New Roman"/>
                <w:bCs/>
                <w:sz w:val="18"/>
                <w:szCs w:val="18"/>
                <w:lang w:val="sr-Cyrl-CS"/>
              </w:rPr>
              <w:t>.</w:t>
            </w:r>
          </w:p>
        </w:tc>
        <w:tc>
          <w:tcPr>
            <w:tcW w:w="480" w:type="pct"/>
            <w:shd w:val="clear" w:color="auto" w:fill="auto"/>
            <w:vAlign w:val="center"/>
          </w:tcPr>
          <w:p w14:paraId="55691003"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72F83E86" w14:textId="77777777" w:rsidTr="007D5144">
        <w:trPr>
          <w:trHeight w:val="1970"/>
          <w:jc w:val="center"/>
        </w:trPr>
        <w:tc>
          <w:tcPr>
            <w:tcW w:w="435" w:type="pct"/>
            <w:shd w:val="clear" w:color="auto" w:fill="auto"/>
            <w:vAlign w:val="center"/>
          </w:tcPr>
          <w:p w14:paraId="7AEACD7D"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63.2.</w:t>
            </w:r>
          </w:p>
        </w:tc>
        <w:tc>
          <w:tcPr>
            <w:tcW w:w="1369" w:type="pct"/>
            <w:gridSpan w:val="2"/>
            <w:shd w:val="clear" w:color="auto" w:fill="auto"/>
            <w:vAlign w:val="center"/>
          </w:tcPr>
          <w:p w14:paraId="79524617" w14:textId="77777777" w:rsidR="009D406F" w:rsidRPr="00487209" w:rsidRDefault="009D406F" w:rsidP="006C6323">
            <w:pPr>
              <w:jc w:val="both"/>
              <w:rPr>
                <w:rFonts w:ascii="Times New Roman" w:hAnsi="Times New Roman" w:cs="Times New Roman"/>
                <w:sz w:val="18"/>
                <w:szCs w:val="18"/>
                <w:lang w:val="sr-Cyrl-CS"/>
              </w:rPr>
            </w:pPr>
          </w:p>
          <w:p w14:paraId="6457DCE2"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If, on expiry of the period referred to in paragraph 1, neither the European Parliament nor the Council has objected to the delegated act, it shall be published in the Official Journal of the European Union and shall enter into force on the date stated therein.</w:t>
            </w:r>
          </w:p>
          <w:p w14:paraId="19C1C61C"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delegated act may be published in the Official Journal of the European Union and enter into force before the expiry of that period if the European Parliament and the Council have both informed the Commission of their intention not to raise objections.</w:t>
            </w:r>
          </w:p>
          <w:p w14:paraId="7822D03C" w14:textId="31201050" w:rsidR="009D406F" w:rsidRPr="00487209" w:rsidRDefault="009D406F" w:rsidP="006C6323">
            <w:pPr>
              <w:jc w:val="both"/>
              <w:rPr>
                <w:rFonts w:ascii="Times New Roman" w:hAnsi="Times New Roman" w:cs="Times New Roman"/>
                <w:sz w:val="18"/>
                <w:szCs w:val="18"/>
              </w:rPr>
            </w:pPr>
          </w:p>
        </w:tc>
        <w:tc>
          <w:tcPr>
            <w:tcW w:w="429" w:type="pct"/>
            <w:shd w:val="clear" w:color="auto" w:fill="auto"/>
            <w:vAlign w:val="center"/>
          </w:tcPr>
          <w:p w14:paraId="6A9B93C4"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6D80BDB6"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7EFAE474"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7A1B215C" w14:textId="112AFB66"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Члан </w:t>
            </w:r>
            <w:r w:rsidR="00147811" w:rsidRPr="00487209">
              <w:rPr>
                <w:rFonts w:ascii="Times New Roman" w:hAnsi="Times New Roman" w:cs="Times New Roman"/>
                <w:sz w:val="18"/>
                <w:szCs w:val="18"/>
                <w:lang w:val="ru-RU"/>
              </w:rPr>
              <w:t>63.2.</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Европског парламента или Савета</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7DDBC3EC"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82232C4" w14:textId="77777777" w:rsidTr="007D5144">
        <w:trPr>
          <w:trHeight w:val="1970"/>
          <w:jc w:val="center"/>
        </w:trPr>
        <w:tc>
          <w:tcPr>
            <w:tcW w:w="435" w:type="pct"/>
            <w:shd w:val="clear" w:color="auto" w:fill="auto"/>
            <w:vAlign w:val="center"/>
          </w:tcPr>
          <w:p w14:paraId="38839C62"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63.3.</w:t>
            </w:r>
          </w:p>
        </w:tc>
        <w:tc>
          <w:tcPr>
            <w:tcW w:w="1369" w:type="pct"/>
            <w:gridSpan w:val="2"/>
            <w:shd w:val="clear" w:color="auto" w:fill="auto"/>
            <w:vAlign w:val="center"/>
          </w:tcPr>
          <w:p w14:paraId="2C131F43"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 If either the European Parliament or the Council objects to a delegated act within the period referred to in paragraph 1, it shall not enter into force. The institution which objects shall state the reasons for objecting to the delegated act.</w:t>
            </w:r>
          </w:p>
        </w:tc>
        <w:tc>
          <w:tcPr>
            <w:tcW w:w="429" w:type="pct"/>
            <w:shd w:val="clear" w:color="auto" w:fill="auto"/>
            <w:vAlign w:val="center"/>
          </w:tcPr>
          <w:p w14:paraId="74A32800"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32427FF6"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3C33D2DD"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2B2D419A" w14:textId="3546A8AA"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Члан </w:t>
            </w:r>
            <w:r w:rsidR="00147811" w:rsidRPr="00487209">
              <w:rPr>
                <w:rFonts w:ascii="Times New Roman" w:hAnsi="Times New Roman" w:cs="Times New Roman"/>
                <w:sz w:val="18"/>
                <w:szCs w:val="18"/>
                <w:lang w:val="ru-RU"/>
              </w:rPr>
              <w:t>63.3.</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Европског парламента или Савета</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023A7835"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7AD90D51" w14:textId="77777777" w:rsidTr="007D5144">
        <w:trPr>
          <w:trHeight w:val="1970"/>
          <w:jc w:val="center"/>
        </w:trPr>
        <w:tc>
          <w:tcPr>
            <w:tcW w:w="435" w:type="pct"/>
            <w:shd w:val="clear" w:color="auto" w:fill="auto"/>
            <w:vAlign w:val="center"/>
          </w:tcPr>
          <w:p w14:paraId="730254CE"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64.1.</w:t>
            </w:r>
          </w:p>
        </w:tc>
        <w:tc>
          <w:tcPr>
            <w:tcW w:w="1369" w:type="pct"/>
            <w:gridSpan w:val="2"/>
            <w:shd w:val="clear" w:color="auto" w:fill="auto"/>
            <w:vAlign w:val="center"/>
          </w:tcPr>
          <w:p w14:paraId="3B7C5E3E"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The Commission shall be assisted by a Standing Committee on Construction.</w:t>
            </w:r>
          </w:p>
        </w:tc>
        <w:tc>
          <w:tcPr>
            <w:tcW w:w="429" w:type="pct"/>
            <w:shd w:val="clear" w:color="auto" w:fill="auto"/>
            <w:vAlign w:val="center"/>
          </w:tcPr>
          <w:p w14:paraId="2D3850A8"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647B1897"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616B57B5"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6E10A872" w14:textId="16452039"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64.1.</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Сталног одбора за грађевинарство</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101B1A9F"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15DB6987" w14:textId="77777777" w:rsidTr="007D5144">
        <w:trPr>
          <w:trHeight w:val="1970"/>
          <w:jc w:val="center"/>
        </w:trPr>
        <w:tc>
          <w:tcPr>
            <w:tcW w:w="435" w:type="pct"/>
            <w:shd w:val="clear" w:color="auto" w:fill="auto"/>
            <w:vAlign w:val="center"/>
          </w:tcPr>
          <w:p w14:paraId="73E0C82B"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64.2.</w:t>
            </w:r>
          </w:p>
        </w:tc>
        <w:tc>
          <w:tcPr>
            <w:tcW w:w="1369" w:type="pct"/>
            <w:gridSpan w:val="2"/>
            <w:shd w:val="clear" w:color="auto" w:fill="auto"/>
            <w:vAlign w:val="center"/>
          </w:tcPr>
          <w:p w14:paraId="116C219E"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Where reference is made to this paragraph, Articles 3 and 7 of Decision 1999/468/EC shall apply.</w:t>
            </w:r>
          </w:p>
        </w:tc>
        <w:tc>
          <w:tcPr>
            <w:tcW w:w="429" w:type="pct"/>
            <w:shd w:val="clear" w:color="auto" w:fill="auto"/>
            <w:vAlign w:val="center"/>
          </w:tcPr>
          <w:p w14:paraId="7C5277F2"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02D07F0C"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13A693DA"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7882D747" w14:textId="788947DD"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64.2.</w:t>
            </w:r>
            <w:r w:rsidR="00147811" w:rsidRPr="00487209">
              <w:rPr>
                <w:rFonts w:ascii="Times New Roman" w:hAnsi="Times New Roman" w:cs="Times New Roman"/>
                <w:sz w:val="18"/>
                <w:szCs w:val="18"/>
                <w:lang w:val="sr-Cyrl-CS"/>
              </w:rPr>
              <w:t xml:space="preserve"> Уредбе 305/2011 (ЕУ) није пренет, пошто се односи на обавезе Европске комисије и Сталног одбора за грађевинарство</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4E89C1C4"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3AC46CB9" w14:textId="77777777" w:rsidTr="007D5144">
        <w:trPr>
          <w:trHeight w:val="1970"/>
          <w:jc w:val="center"/>
        </w:trPr>
        <w:tc>
          <w:tcPr>
            <w:tcW w:w="435" w:type="pct"/>
            <w:shd w:val="clear" w:color="auto" w:fill="auto"/>
            <w:vAlign w:val="center"/>
          </w:tcPr>
          <w:p w14:paraId="1D6C140C"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64.3.</w:t>
            </w:r>
          </w:p>
        </w:tc>
        <w:tc>
          <w:tcPr>
            <w:tcW w:w="1369" w:type="pct"/>
            <w:gridSpan w:val="2"/>
            <w:shd w:val="clear" w:color="auto" w:fill="auto"/>
            <w:vAlign w:val="center"/>
          </w:tcPr>
          <w:p w14:paraId="5649C615"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Member States shall ensure that the members of the Standing Committee on Construction are able to carry out their functions in a manner that avoids conflicts of interest, particularly in respect of the procedures for obtaining the CE marking.</w:t>
            </w:r>
          </w:p>
        </w:tc>
        <w:tc>
          <w:tcPr>
            <w:tcW w:w="429" w:type="pct"/>
            <w:shd w:val="clear" w:color="auto" w:fill="auto"/>
            <w:vAlign w:val="center"/>
          </w:tcPr>
          <w:p w14:paraId="6740F688"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423EB69E"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7AF0A4DC"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7CF1877A" w14:textId="13746611"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64.3.</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w:t>
            </w:r>
            <w:r w:rsidR="00CD42F5" w:rsidRPr="00487209">
              <w:rPr>
                <w:rFonts w:ascii="Times New Roman" w:hAnsi="Times New Roman" w:cs="Times New Roman"/>
                <w:sz w:val="18"/>
                <w:szCs w:val="18"/>
                <w:lang w:val="sr-Cyrl-CS"/>
              </w:rPr>
              <w:t>чланова Сталног комитета за грађевинарство</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58E74164"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348147DB" w14:textId="77777777" w:rsidTr="007D5144">
        <w:trPr>
          <w:trHeight w:val="1970"/>
          <w:jc w:val="center"/>
        </w:trPr>
        <w:tc>
          <w:tcPr>
            <w:tcW w:w="435" w:type="pct"/>
            <w:shd w:val="clear" w:color="auto" w:fill="auto"/>
            <w:vAlign w:val="center"/>
          </w:tcPr>
          <w:p w14:paraId="1C8BD56B"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65.1.</w:t>
            </w:r>
          </w:p>
        </w:tc>
        <w:tc>
          <w:tcPr>
            <w:tcW w:w="1369" w:type="pct"/>
            <w:gridSpan w:val="2"/>
            <w:shd w:val="clear" w:color="auto" w:fill="auto"/>
            <w:vAlign w:val="center"/>
          </w:tcPr>
          <w:p w14:paraId="3B87260A" w14:textId="2AE6ABF6"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Directive 89/1</w:t>
            </w:r>
            <w:r w:rsidR="00F249E1" w:rsidRPr="00487209">
              <w:rPr>
                <w:rFonts w:ascii="Times New Roman" w:hAnsi="Times New Roman" w:cs="Times New Roman"/>
                <w:sz w:val="18"/>
                <w:szCs w:val="18"/>
              </w:rPr>
              <w:t>01</w:t>
            </w:r>
            <w:r w:rsidRPr="00487209">
              <w:rPr>
                <w:rFonts w:ascii="Times New Roman" w:hAnsi="Times New Roman" w:cs="Times New Roman"/>
                <w:sz w:val="18"/>
                <w:szCs w:val="18"/>
              </w:rPr>
              <w:t>/EEC is repealed.</w:t>
            </w:r>
          </w:p>
        </w:tc>
        <w:tc>
          <w:tcPr>
            <w:tcW w:w="429" w:type="pct"/>
            <w:shd w:val="clear" w:color="auto" w:fill="auto"/>
            <w:vAlign w:val="center"/>
          </w:tcPr>
          <w:p w14:paraId="4ACB2200"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6DE44811"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69ADADDB"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46F3AA29" w14:textId="6C4FE4E7" w:rsidR="00147811" w:rsidRPr="00487209" w:rsidRDefault="00CC5598" w:rsidP="002E171A">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6</w:t>
            </w:r>
            <w:r w:rsidR="002E171A" w:rsidRPr="00487209">
              <w:rPr>
                <w:rFonts w:ascii="Times New Roman" w:hAnsi="Times New Roman" w:cs="Times New Roman"/>
                <w:sz w:val="18"/>
                <w:szCs w:val="18"/>
                <w:lang w:val="ru-RU"/>
              </w:rPr>
              <w:t>5</w:t>
            </w:r>
            <w:r w:rsidR="00147811" w:rsidRPr="00487209">
              <w:rPr>
                <w:rFonts w:ascii="Times New Roman" w:hAnsi="Times New Roman" w:cs="Times New Roman"/>
                <w:sz w:val="18"/>
                <w:szCs w:val="18"/>
                <w:lang w:val="ru-RU"/>
              </w:rPr>
              <w:t>.1.</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0CD3CD8D"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50D8A5C4" w14:textId="77777777" w:rsidTr="007D5144">
        <w:trPr>
          <w:trHeight w:val="629"/>
          <w:jc w:val="center"/>
        </w:trPr>
        <w:tc>
          <w:tcPr>
            <w:tcW w:w="435" w:type="pct"/>
            <w:shd w:val="clear" w:color="auto" w:fill="auto"/>
            <w:vAlign w:val="center"/>
          </w:tcPr>
          <w:p w14:paraId="5EAE67C9"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65.2.</w:t>
            </w:r>
          </w:p>
        </w:tc>
        <w:tc>
          <w:tcPr>
            <w:tcW w:w="1369" w:type="pct"/>
            <w:gridSpan w:val="2"/>
            <w:shd w:val="clear" w:color="auto" w:fill="auto"/>
            <w:vAlign w:val="center"/>
          </w:tcPr>
          <w:p w14:paraId="63D071F1"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 References to the repealed Directive shall be construed as references to this Regulation.</w:t>
            </w:r>
          </w:p>
        </w:tc>
        <w:tc>
          <w:tcPr>
            <w:tcW w:w="429" w:type="pct"/>
            <w:shd w:val="clear" w:color="auto" w:fill="auto"/>
            <w:vAlign w:val="center"/>
          </w:tcPr>
          <w:p w14:paraId="4EB02848"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5706240D"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21A1F505"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НП</w:t>
            </w:r>
          </w:p>
        </w:tc>
        <w:tc>
          <w:tcPr>
            <w:tcW w:w="598" w:type="pct"/>
            <w:gridSpan w:val="2"/>
            <w:shd w:val="clear" w:color="auto" w:fill="auto"/>
            <w:vAlign w:val="center"/>
          </w:tcPr>
          <w:p w14:paraId="5D4182AD" w14:textId="461E4D71"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65.2.</w:t>
            </w:r>
            <w:r w:rsidR="00147811" w:rsidRPr="00487209">
              <w:rPr>
                <w:rFonts w:ascii="Times New Roman" w:hAnsi="Times New Roman" w:cs="Times New Roman"/>
                <w:sz w:val="18"/>
                <w:szCs w:val="18"/>
                <w:lang w:val="sr-Cyrl-CS"/>
              </w:rPr>
              <w:t xml:space="preserve"> Уредбе 305/2011 (ЕУ) није пренет, пошто садржи упућивање на други пропис ЕУ, који је стављен ван снаге.</w:t>
            </w:r>
          </w:p>
        </w:tc>
        <w:tc>
          <w:tcPr>
            <w:tcW w:w="480" w:type="pct"/>
            <w:shd w:val="clear" w:color="auto" w:fill="auto"/>
            <w:vAlign w:val="center"/>
          </w:tcPr>
          <w:p w14:paraId="353F1A17"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4DE9EFC7" w14:textId="77777777" w:rsidTr="007D5144">
        <w:trPr>
          <w:trHeight w:val="1970"/>
          <w:jc w:val="center"/>
        </w:trPr>
        <w:tc>
          <w:tcPr>
            <w:tcW w:w="435" w:type="pct"/>
            <w:shd w:val="clear" w:color="auto" w:fill="auto"/>
            <w:vAlign w:val="center"/>
          </w:tcPr>
          <w:p w14:paraId="225C4000"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66.1.</w:t>
            </w:r>
          </w:p>
        </w:tc>
        <w:tc>
          <w:tcPr>
            <w:tcW w:w="1369" w:type="pct"/>
            <w:gridSpan w:val="2"/>
            <w:shd w:val="clear" w:color="auto" w:fill="auto"/>
            <w:vAlign w:val="center"/>
          </w:tcPr>
          <w:p w14:paraId="480FF3C6" w14:textId="6AA163D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Construction products which have been placed on the market in accordance with Directive 89/1</w:t>
            </w:r>
            <w:r w:rsidR="00F249E1" w:rsidRPr="00487209">
              <w:rPr>
                <w:rFonts w:ascii="Times New Roman" w:hAnsi="Times New Roman" w:cs="Times New Roman"/>
                <w:sz w:val="18"/>
                <w:szCs w:val="18"/>
              </w:rPr>
              <w:t>01</w:t>
            </w:r>
            <w:r w:rsidRPr="00487209">
              <w:rPr>
                <w:rFonts w:ascii="Times New Roman" w:hAnsi="Times New Roman" w:cs="Times New Roman"/>
                <w:sz w:val="18"/>
                <w:szCs w:val="18"/>
              </w:rPr>
              <w:t>/EEC before 1 July 2013 shall be deemed to comply with this Regulation.</w:t>
            </w:r>
          </w:p>
        </w:tc>
        <w:tc>
          <w:tcPr>
            <w:tcW w:w="429" w:type="pct"/>
            <w:shd w:val="clear" w:color="auto" w:fill="auto"/>
            <w:vAlign w:val="center"/>
          </w:tcPr>
          <w:p w14:paraId="2707E07A"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743B7139"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27738DCC"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171388C7" w14:textId="5821114A"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66.1.</w:t>
            </w:r>
            <w:r w:rsidR="00147811" w:rsidRPr="00487209">
              <w:rPr>
                <w:rFonts w:ascii="Times New Roman" w:hAnsi="Times New Roman" w:cs="Times New Roman"/>
                <w:sz w:val="18"/>
                <w:szCs w:val="18"/>
                <w:lang w:val="sr-Cyrl-CS"/>
              </w:rPr>
              <w:t xml:space="preserve"> Уредбе 305/2011 (ЕУ) није пренет, пошто садржи упућивање на други пропис ЕУ, који је стављен ван снаге.</w:t>
            </w:r>
          </w:p>
        </w:tc>
        <w:tc>
          <w:tcPr>
            <w:tcW w:w="480" w:type="pct"/>
            <w:shd w:val="clear" w:color="auto" w:fill="auto"/>
            <w:vAlign w:val="center"/>
          </w:tcPr>
          <w:p w14:paraId="63730093"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6DEF5934" w14:textId="77777777" w:rsidTr="007D5144">
        <w:trPr>
          <w:trHeight w:val="1970"/>
          <w:jc w:val="center"/>
        </w:trPr>
        <w:tc>
          <w:tcPr>
            <w:tcW w:w="435" w:type="pct"/>
            <w:shd w:val="clear" w:color="auto" w:fill="auto"/>
            <w:vAlign w:val="center"/>
          </w:tcPr>
          <w:p w14:paraId="22A0801C"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66.2.</w:t>
            </w:r>
          </w:p>
        </w:tc>
        <w:tc>
          <w:tcPr>
            <w:tcW w:w="1369" w:type="pct"/>
            <w:gridSpan w:val="2"/>
            <w:shd w:val="clear" w:color="auto" w:fill="auto"/>
            <w:vAlign w:val="center"/>
          </w:tcPr>
          <w:p w14:paraId="025F6B59" w14:textId="6C983BE3"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Manufacturers may draw up a declaration of performance on the basis of a certificate of conformity or a declaration of conformity, which has been issued before 1 July 2013 in accordance with Directive 89/1</w:t>
            </w:r>
            <w:r w:rsidR="00F249E1" w:rsidRPr="00487209">
              <w:rPr>
                <w:rFonts w:ascii="Times New Roman" w:hAnsi="Times New Roman" w:cs="Times New Roman"/>
                <w:sz w:val="18"/>
                <w:szCs w:val="18"/>
              </w:rPr>
              <w:t>01</w:t>
            </w:r>
            <w:r w:rsidRPr="00487209">
              <w:rPr>
                <w:rFonts w:ascii="Times New Roman" w:hAnsi="Times New Roman" w:cs="Times New Roman"/>
                <w:sz w:val="18"/>
                <w:szCs w:val="18"/>
              </w:rPr>
              <w:t>/EEC.</w:t>
            </w:r>
          </w:p>
        </w:tc>
        <w:tc>
          <w:tcPr>
            <w:tcW w:w="429" w:type="pct"/>
            <w:shd w:val="clear" w:color="auto" w:fill="auto"/>
            <w:vAlign w:val="center"/>
          </w:tcPr>
          <w:p w14:paraId="21A5D926"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728859E6"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73EDCE41"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050E7DA4" w14:textId="5308B11E"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66.2.</w:t>
            </w:r>
            <w:r w:rsidR="00147811" w:rsidRPr="00487209">
              <w:rPr>
                <w:rFonts w:ascii="Times New Roman" w:hAnsi="Times New Roman" w:cs="Times New Roman"/>
                <w:sz w:val="18"/>
                <w:szCs w:val="18"/>
                <w:lang w:val="sr-Cyrl-CS"/>
              </w:rPr>
              <w:t xml:space="preserve"> Уредбе 305/2011 (ЕУ) није пренет, пошто садржи упућивање на други пропис ЕУ, који је стављен ван снаге.</w:t>
            </w:r>
          </w:p>
        </w:tc>
        <w:tc>
          <w:tcPr>
            <w:tcW w:w="480" w:type="pct"/>
            <w:shd w:val="clear" w:color="auto" w:fill="auto"/>
            <w:vAlign w:val="center"/>
          </w:tcPr>
          <w:p w14:paraId="17F6B0F5"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3C96F15F" w14:textId="77777777" w:rsidTr="007D5144">
        <w:trPr>
          <w:trHeight w:val="1970"/>
          <w:jc w:val="center"/>
        </w:trPr>
        <w:tc>
          <w:tcPr>
            <w:tcW w:w="435" w:type="pct"/>
            <w:shd w:val="clear" w:color="auto" w:fill="auto"/>
            <w:vAlign w:val="center"/>
          </w:tcPr>
          <w:p w14:paraId="123E148F"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66.3.</w:t>
            </w:r>
          </w:p>
        </w:tc>
        <w:tc>
          <w:tcPr>
            <w:tcW w:w="1369" w:type="pct"/>
            <w:gridSpan w:val="2"/>
            <w:shd w:val="clear" w:color="auto" w:fill="auto"/>
            <w:vAlign w:val="center"/>
          </w:tcPr>
          <w:p w14:paraId="72A75E61" w14:textId="1E8F9F69"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Guidelines for European technical approval published before 1 July 2013 in accordance with Article 11 of Directive 89/1</w:t>
            </w:r>
            <w:r w:rsidR="00F249E1" w:rsidRPr="00487209">
              <w:rPr>
                <w:rFonts w:ascii="Times New Roman" w:hAnsi="Times New Roman" w:cs="Times New Roman"/>
                <w:sz w:val="18"/>
                <w:szCs w:val="18"/>
              </w:rPr>
              <w:t>01</w:t>
            </w:r>
            <w:r w:rsidRPr="00487209">
              <w:rPr>
                <w:rFonts w:ascii="Times New Roman" w:hAnsi="Times New Roman" w:cs="Times New Roman"/>
                <w:sz w:val="18"/>
                <w:szCs w:val="18"/>
              </w:rPr>
              <w:t>/EEC may be used as European Assessment Documents.</w:t>
            </w:r>
          </w:p>
        </w:tc>
        <w:tc>
          <w:tcPr>
            <w:tcW w:w="429" w:type="pct"/>
            <w:shd w:val="clear" w:color="auto" w:fill="auto"/>
            <w:vAlign w:val="center"/>
          </w:tcPr>
          <w:p w14:paraId="19DCA46E"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409CC6BC"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5980EBAB"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41DDE300" w14:textId="139F6F25" w:rsidR="00147811" w:rsidRPr="00487209" w:rsidRDefault="00147811"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Ч</w:t>
            </w:r>
            <w:r w:rsidR="00CC5598">
              <w:rPr>
                <w:rFonts w:ascii="Times New Roman" w:hAnsi="Times New Roman" w:cs="Times New Roman"/>
                <w:sz w:val="18"/>
                <w:szCs w:val="18"/>
                <w:lang w:val="ru-RU"/>
              </w:rPr>
              <w:t>лан</w:t>
            </w:r>
            <w:r w:rsidRPr="00487209">
              <w:rPr>
                <w:rFonts w:ascii="Times New Roman" w:hAnsi="Times New Roman" w:cs="Times New Roman"/>
                <w:sz w:val="18"/>
                <w:szCs w:val="18"/>
                <w:lang w:val="ru-RU"/>
              </w:rPr>
              <w:t xml:space="preserve"> 66.3.</w:t>
            </w:r>
            <w:r w:rsidRPr="00487209">
              <w:rPr>
                <w:rFonts w:ascii="Times New Roman" w:hAnsi="Times New Roman" w:cs="Times New Roman"/>
                <w:sz w:val="18"/>
                <w:szCs w:val="18"/>
                <w:lang w:val="sr-Cyrl-CS"/>
              </w:rPr>
              <w:t xml:space="preserve"> Уредбе 305/2011 (ЕУ) није пренет, пошто садржи упућивање на други пропис ЕУ, који је стављен ван снаге.</w:t>
            </w:r>
          </w:p>
        </w:tc>
        <w:tc>
          <w:tcPr>
            <w:tcW w:w="480" w:type="pct"/>
            <w:shd w:val="clear" w:color="auto" w:fill="auto"/>
            <w:vAlign w:val="center"/>
          </w:tcPr>
          <w:p w14:paraId="785A55B5"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71930D7A" w14:textId="77777777" w:rsidTr="007D5144">
        <w:trPr>
          <w:trHeight w:val="1970"/>
          <w:jc w:val="center"/>
        </w:trPr>
        <w:tc>
          <w:tcPr>
            <w:tcW w:w="435" w:type="pct"/>
            <w:shd w:val="clear" w:color="auto" w:fill="auto"/>
            <w:vAlign w:val="center"/>
          </w:tcPr>
          <w:p w14:paraId="05B6A3A8"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66.4.</w:t>
            </w:r>
          </w:p>
        </w:tc>
        <w:tc>
          <w:tcPr>
            <w:tcW w:w="1369" w:type="pct"/>
            <w:gridSpan w:val="2"/>
            <w:shd w:val="clear" w:color="auto" w:fill="auto"/>
            <w:vAlign w:val="center"/>
          </w:tcPr>
          <w:p w14:paraId="4AB104D9" w14:textId="56252368"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Manufacturers and importers may use European technical approvals issued in accordance with Article 9 of Directive 89/1</w:t>
            </w:r>
            <w:r w:rsidR="00F249E1" w:rsidRPr="00487209">
              <w:rPr>
                <w:rFonts w:ascii="Times New Roman" w:hAnsi="Times New Roman" w:cs="Times New Roman"/>
                <w:sz w:val="18"/>
                <w:szCs w:val="18"/>
              </w:rPr>
              <w:t>01</w:t>
            </w:r>
            <w:r w:rsidRPr="00487209">
              <w:rPr>
                <w:rFonts w:ascii="Times New Roman" w:hAnsi="Times New Roman" w:cs="Times New Roman"/>
                <w:sz w:val="18"/>
                <w:szCs w:val="18"/>
              </w:rPr>
              <w:t>/EEC before 1 July 2013 as European Technical Assessments throughout the period of validity of those approvals.</w:t>
            </w:r>
          </w:p>
        </w:tc>
        <w:tc>
          <w:tcPr>
            <w:tcW w:w="429" w:type="pct"/>
            <w:shd w:val="clear" w:color="auto" w:fill="auto"/>
            <w:vAlign w:val="center"/>
          </w:tcPr>
          <w:p w14:paraId="0413E81B"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0ABBFD2C"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68EC3EA6"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4A2C52F3" w14:textId="3AF25FB7"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66.4.</w:t>
            </w:r>
            <w:r w:rsidR="00147811" w:rsidRPr="00487209">
              <w:rPr>
                <w:rFonts w:ascii="Times New Roman" w:hAnsi="Times New Roman" w:cs="Times New Roman"/>
                <w:sz w:val="18"/>
                <w:szCs w:val="18"/>
                <w:lang w:val="sr-Cyrl-CS"/>
              </w:rPr>
              <w:t xml:space="preserve"> Уредбе 305/2011 (ЕУ) није пренет, пошто садржи упућивање на други пропис ЕУ, који је стављен ван снаге.</w:t>
            </w:r>
          </w:p>
        </w:tc>
        <w:tc>
          <w:tcPr>
            <w:tcW w:w="480" w:type="pct"/>
            <w:shd w:val="clear" w:color="auto" w:fill="auto"/>
            <w:vAlign w:val="center"/>
          </w:tcPr>
          <w:p w14:paraId="21771CA8"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15C8600" w14:textId="77777777" w:rsidTr="007D5144">
        <w:trPr>
          <w:trHeight w:val="1970"/>
          <w:jc w:val="center"/>
        </w:trPr>
        <w:tc>
          <w:tcPr>
            <w:tcW w:w="435" w:type="pct"/>
            <w:shd w:val="clear" w:color="auto" w:fill="auto"/>
            <w:vAlign w:val="center"/>
          </w:tcPr>
          <w:p w14:paraId="31790738"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67.1.</w:t>
            </w:r>
          </w:p>
        </w:tc>
        <w:tc>
          <w:tcPr>
            <w:tcW w:w="1369" w:type="pct"/>
            <w:gridSpan w:val="2"/>
            <w:shd w:val="clear" w:color="auto" w:fill="auto"/>
            <w:vAlign w:val="center"/>
          </w:tcPr>
          <w:p w14:paraId="01DAFCA6" w14:textId="77777777" w:rsidR="009D406F" w:rsidRPr="00487209" w:rsidRDefault="009D406F" w:rsidP="006C6323">
            <w:pPr>
              <w:jc w:val="both"/>
              <w:rPr>
                <w:rFonts w:ascii="Times New Roman" w:hAnsi="Times New Roman" w:cs="Times New Roman"/>
                <w:sz w:val="18"/>
                <w:szCs w:val="18"/>
                <w:lang w:val="sr-Cyrl-CS"/>
              </w:rPr>
            </w:pPr>
          </w:p>
          <w:p w14:paraId="491B2C85"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By 25 April 2014, the Commission shall assess the specific need for information on the content of hazardous substances in construction products and consider the possible extension of the information obligation provided for in Article 6(5) to other substances, and shall report thereon to the European Parliament and to the Council. In its assessment, the Commission shall take into account, inter alia, the need to ensure a high level of protection of the health and safety of workers using construction products and of users of construction works, including with regard to recycling and/or reuse requirements of parts or materials.</w:t>
            </w:r>
          </w:p>
          <w:p w14:paraId="3A80D546" w14:textId="5239400B" w:rsidR="009D406F"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If appropriate, the report shall, within 2 years of its submission to the European Parliament and to the Council, be followed up by appropriate legislative proposals.</w:t>
            </w:r>
          </w:p>
          <w:p w14:paraId="7B82BA23" w14:textId="77777777" w:rsidR="00147811" w:rsidRPr="00487209" w:rsidRDefault="00147811" w:rsidP="006C6323">
            <w:pPr>
              <w:jc w:val="both"/>
              <w:rPr>
                <w:rFonts w:ascii="Times New Roman" w:hAnsi="Times New Roman" w:cs="Times New Roman"/>
                <w:sz w:val="18"/>
                <w:szCs w:val="18"/>
                <w:lang w:val="sr-Cyrl-CS"/>
              </w:rPr>
            </w:pPr>
          </w:p>
        </w:tc>
        <w:tc>
          <w:tcPr>
            <w:tcW w:w="429" w:type="pct"/>
            <w:shd w:val="clear" w:color="auto" w:fill="auto"/>
            <w:vAlign w:val="center"/>
          </w:tcPr>
          <w:p w14:paraId="612BDD81"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6ADD8364"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4F0671E3"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454BF44C" w14:textId="08BDD6D9"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67.1.</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0DE7D17E"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463B889E" w14:textId="77777777" w:rsidTr="007D5144">
        <w:trPr>
          <w:trHeight w:val="1970"/>
          <w:jc w:val="center"/>
        </w:trPr>
        <w:tc>
          <w:tcPr>
            <w:tcW w:w="435" w:type="pct"/>
            <w:shd w:val="clear" w:color="auto" w:fill="auto"/>
            <w:vAlign w:val="center"/>
          </w:tcPr>
          <w:p w14:paraId="258D5C75"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67.2.</w:t>
            </w:r>
          </w:p>
        </w:tc>
        <w:tc>
          <w:tcPr>
            <w:tcW w:w="1369" w:type="pct"/>
            <w:gridSpan w:val="2"/>
            <w:shd w:val="clear" w:color="auto" w:fill="auto"/>
            <w:vAlign w:val="center"/>
          </w:tcPr>
          <w:p w14:paraId="726570FC" w14:textId="77777777" w:rsidR="009D406F" w:rsidRPr="00487209" w:rsidRDefault="009D406F" w:rsidP="006C6323">
            <w:pPr>
              <w:jc w:val="both"/>
              <w:rPr>
                <w:rFonts w:ascii="Times New Roman" w:hAnsi="Times New Roman" w:cs="Times New Roman"/>
                <w:sz w:val="18"/>
                <w:szCs w:val="18"/>
              </w:rPr>
            </w:pPr>
          </w:p>
          <w:p w14:paraId="38AC7566"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By 25 April 2016, the Commission shall submit to the European Parliament and to the Council a report on the implementation of this Regulation, including on Articles 19, 20, 21, 23, 24 and 37 on the basis of reports provided by Member States, as well as by other relevant stakeholders, accompanied, where relevant, by appropriate proposals.</w:t>
            </w:r>
          </w:p>
          <w:p w14:paraId="4B209BA7" w14:textId="77777777" w:rsidR="009D406F" w:rsidRPr="00487209" w:rsidRDefault="009D406F" w:rsidP="006C6323">
            <w:pPr>
              <w:jc w:val="both"/>
              <w:rPr>
                <w:rFonts w:ascii="Times New Roman" w:hAnsi="Times New Roman" w:cs="Times New Roman"/>
                <w:sz w:val="18"/>
                <w:szCs w:val="18"/>
              </w:rPr>
            </w:pPr>
          </w:p>
        </w:tc>
        <w:tc>
          <w:tcPr>
            <w:tcW w:w="429" w:type="pct"/>
            <w:shd w:val="clear" w:color="auto" w:fill="auto"/>
            <w:vAlign w:val="center"/>
          </w:tcPr>
          <w:p w14:paraId="3D002817"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4A0ECCB4"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34CFE0C5"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25EEB511" w14:textId="28F81FE7"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67.2.</w:t>
            </w:r>
            <w:r w:rsidR="00147811" w:rsidRPr="00487209">
              <w:rPr>
                <w:rFonts w:ascii="Times New Roman" w:hAnsi="Times New Roman" w:cs="Times New Roman"/>
                <w:sz w:val="18"/>
                <w:szCs w:val="18"/>
                <w:lang w:val="sr-Cyrl-CS"/>
              </w:rPr>
              <w:t xml:space="preserve"> Уредбе 305/2011 (ЕУ) није пренет, пошто се односи на обавезу Европске комисије</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51A51C4D"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7A1AD1D6" w14:textId="77777777" w:rsidTr="007D5144">
        <w:trPr>
          <w:trHeight w:val="1970"/>
          <w:jc w:val="center"/>
        </w:trPr>
        <w:tc>
          <w:tcPr>
            <w:tcW w:w="435" w:type="pct"/>
            <w:shd w:val="clear" w:color="auto" w:fill="auto"/>
            <w:vAlign w:val="center"/>
          </w:tcPr>
          <w:p w14:paraId="74F4FCA6"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68.</w:t>
            </w:r>
          </w:p>
        </w:tc>
        <w:tc>
          <w:tcPr>
            <w:tcW w:w="1369" w:type="pct"/>
            <w:gridSpan w:val="2"/>
            <w:shd w:val="clear" w:color="auto" w:fill="auto"/>
            <w:vAlign w:val="center"/>
          </w:tcPr>
          <w:p w14:paraId="49837746" w14:textId="77777777" w:rsidR="009D406F" w:rsidRPr="00487209" w:rsidRDefault="009D406F" w:rsidP="006C6323">
            <w:pPr>
              <w:jc w:val="both"/>
              <w:rPr>
                <w:rFonts w:ascii="Times New Roman" w:hAnsi="Times New Roman" w:cs="Times New Roman"/>
                <w:sz w:val="18"/>
                <w:szCs w:val="18"/>
                <w:lang w:val="sr-Cyrl-CS"/>
              </w:rPr>
            </w:pPr>
          </w:p>
          <w:p w14:paraId="53838408"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This Regulation shall enter into force on the 20th day following its publication in the Official Journal of the European Union.</w:t>
            </w:r>
          </w:p>
          <w:p w14:paraId="776D0B4F"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However, Articles 3 to 28, Articles 36 to 38, Articles 56 to 63, Articles 65 and 66, as well as Annexes I, II, III and V shall apply from 1 July 2013.</w:t>
            </w:r>
          </w:p>
          <w:p w14:paraId="2D57BED3"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This Regulation shall be binding in its entirety and directly applicable in all Member States.</w:t>
            </w:r>
          </w:p>
          <w:p w14:paraId="1A407880" w14:textId="77777777" w:rsidR="009D406F" w:rsidRPr="00487209" w:rsidRDefault="009D406F" w:rsidP="006C6323">
            <w:pPr>
              <w:jc w:val="both"/>
              <w:rPr>
                <w:rFonts w:ascii="Times New Roman" w:hAnsi="Times New Roman" w:cs="Times New Roman"/>
                <w:sz w:val="18"/>
                <w:szCs w:val="18"/>
                <w:lang w:val="sr-Cyrl-CS"/>
              </w:rPr>
            </w:pPr>
          </w:p>
          <w:p w14:paraId="365B83CB" w14:textId="77777777" w:rsidR="009D406F" w:rsidRPr="00487209" w:rsidRDefault="009D406F" w:rsidP="006C6323">
            <w:pPr>
              <w:jc w:val="both"/>
              <w:rPr>
                <w:rFonts w:ascii="Times New Roman" w:hAnsi="Times New Roman" w:cs="Times New Roman"/>
                <w:sz w:val="18"/>
                <w:szCs w:val="18"/>
                <w:lang w:val="sr-Cyrl-CS"/>
              </w:rPr>
            </w:pPr>
          </w:p>
          <w:p w14:paraId="6FDBCC8C" w14:textId="77777777" w:rsidR="00147811" w:rsidRPr="00487209" w:rsidRDefault="00147811" w:rsidP="006C6323">
            <w:pPr>
              <w:jc w:val="both"/>
              <w:rPr>
                <w:rFonts w:ascii="Times New Roman" w:hAnsi="Times New Roman" w:cs="Times New Roman"/>
                <w:sz w:val="18"/>
                <w:szCs w:val="18"/>
                <w:lang w:val="sr-Cyrl-CS"/>
              </w:rPr>
            </w:pPr>
          </w:p>
        </w:tc>
        <w:tc>
          <w:tcPr>
            <w:tcW w:w="429" w:type="pct"/>
            <w:shd w:val="clear" w:color="auto" w:fill="auto"/>
            <w:vAlign w:val="center"/>
          </w:tcPr>
          <w:p w14:paraId="5E4313D7" w14:textId="77777777" w:rsidR="00147811" w:rsidRPr="00487209" w:rsidRDefault="00147811" w:rsidP="006C6323">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4E5CF80B"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5FA4AF23"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НП</w:t>
            </w:r>
          </w:p>
        </w:tc>
        <w:tc>
          <w:tcPr>
            <w:tcW w:w="598" w:type="pct"/>
            <w:gridSpan w:val="2"/>
            <w:shd w:val="clear" w:color="auto" w:fill="auto"/>
            <w:vAlign w:val="center"/>
          </w:tcPr>
          <w:p w14:paraId="4BDFB631" w14:textId="39924791" w:rsidR="00147811" w:rsidRPr="00487209" w:rsidRDefault="00CC5598" w:rsidP="006C6323">
            <w:pPr>
              <w:spacing w:before="120" w:after="120"/>
              <w:ind w:firstLine="21"/>
              <w:jc w:val="both"/>
              <w:rPr>
                <w:rFonts w:ascii="Times New Roman" w:hAnsi="Times New Roman" w:cs="Times New Roman"/>
                <w:sz w:val="18"/>
                <w:szCs w:val="18"/>
                <w:lang w:val="ru-RU"/>
              </w:rPr>
            </w:pPr>
            <w:r>
              <w:rPr>
                <w:rFonts w:ascii="Times New Roman" w:hAnsi="Times New Roman" w:cs="Times New Roman"/>
                <w:sz w:val="18"/>
                <w:szCs w:val="18"/>
                <w:lang w:val="ru-RU"/>
              </w:rPr>
              <w:t>Члан</w:t>
            </w:r>
            <w:r w:rsidR="00147811" w:rsidRPr="00487209">
              <w:rPr>
                <w:rFonts w:ascii="Times New Roman" w:hAnsi="Times New Roman" w:cs="Times New Roman"/>
                <w:sz w:val="18"/>
                <w:szCs w:val="18"/>
                <w:lang w:val="ru-RU"/>
              </w:rPr>
              <w:t xml:space="preserve"> 68.</w:t>
            </w:r>
            <w:r w:rsidR="00147811" w:rsidRPr="00487209">
              <w:rPr>
                <w:rFonts w:ascii="Times New Roman" w:hAnsi="Times New Roman" w:cs="Times New Roman"/>
                <w:sz w:val="18"/>
                <w:szCs w:val="18"/>
                <w:lang w:val="sr-Cyrl-CS"/>
              </w:rPr>
              <w:t xml:space="preserve"> Уредбе 305/2011 (ЕУ) није пренет, пошто се односи на ступање на снагу прописа</w:t>
            </w:r>
            <w:r w:rsidR="00147811" w:rsidRPr="00487209">
              <w:rPr>
                <w:rFonts w:ascii="Times New Roman" w:hAnsi="Times New Roman" w:cs="Times New Roman"/>
                <w:bCs/>
                <w:sz w:val="18"/>
                <w:szCs w:val="18"/>
                <w:lang w:val="sr-Cyrl-CS"/>
              </w:rPr>
              <w:t>.</w:t>
            </w:r>
          </w:p>
        </w:tc>
        <w:tc>
          <w:tcPr>
            <w:tcW w:w="480" w:type="pct"/>
            <w:shd w:val="clear" w:color="auto" w:fill="auto"/>
            <w:vAlign w:val="center"/>
          </w:tcPr>
          <w:p w14:paraId="605D65E4"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6B21D33D" w14:textId="77777777" w:rsidTr="007D5144">
        <w:trPr>
          <w:trHeight w:val="1266"/>
          <w:jc w:val="center"/>
        </w:trPr>
        <w:tc>
          <w:tcPr>
            <w:tcW w:w="435" w:type="pct"/>
            <w:shd w:val="clear" w:color="auto" w:fill="auto"/>
            <w:vAlign w:val="center"/>
          </w:tcPr>
          <w:p w14:paraId="71F1022A"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ANNEX I</w:t>
            </w:r>
          </w:p>
          <w:p w14:paraId="45ECF62D"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1.(a)</w:t>
            </w:r>
          </w:p>
        </w:tc>
        <w:tc>
          <w:tcPr>
            <w:tcW w:w="1369" w:type="pct"/>
            <w:gridSpan w:val="2"/>
            <w:shd w:val="clear" w:color="auto" w:fill="auto"/>
            <w:vAlign w:val="center"/>
          </w:tcPr>
          <w:p w14:paraId="2EACEBFF"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BASIC REQUIREMENTS FOR CONSTRUCTION WORKS </w:t>
            </w:r>
          </w:p>
          <w:p w14:paraId="3AE672B3"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Construction works as a whole and in their separate parts must be fit for their intended use, taking into account in particular the health and safety of persons involved throughout the life cycle of the works. Subject to normal maintenance, construction works must satisfy these basic requirements for construction works for an economically reasonable working life.</w:t>
            </w:r>
          </w:p>
          <w:p w14:paraId="35CB076F"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1.   Mechanical resistance and stability </w:t>
            </w:r>
          </w:p>
          <w:p w14:paraId="48E8EEF6"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construction works must be designed and built in such a way that the loadings that are liable to act on them during their constructions and use will not lead to any of the following:</w:t>
            </w:r>
          </w:p>
          <w:p w14:paraId="2693942B" w14:textId="701E08C6"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collapse of the whole or part of the work;</w:t>
            </w:r>
          </w:p>
        </w:tc>
        <w:tc>
          <w:tcPr>
            <w:tcW w:w="429" w:type="pct"/>
            <w:shd w:val="clear" w:color="auto" w:fill="auto"/>
            <w:vAlign w:val="center"/>
          </w:tcPr>
          <w:p w14:paraId="7C544C02" w14:textId="77777777" w:rsidR="00147811" w:rsidRPr="00487209" w:rsidRDefault="00B8630B" w:rsidP="00B8630B">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75C551CC" w14:textId="6F06AE0F" w:rsidR="00B8630B" w:rsidRPr="00487209" w:rsidRDefault="00B8630B" w:rsidP="00B8630B">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05.02.1).(1)</w:t>
            </w:r>
          </w:p>
        </w:tc>
        <w:tc>
          <w:tcPr>
            <w:tcW w:w="1231" w:type="pct"/>
            <w:gridSpan w:val="2"/>
            <w:shd w:val="clear" w:color="auto" w:fill="auto"/>
            <w:vAlign w:val="center"/>
          </w:tcPr>
          <w:p w14:paraId="5482DA85" w14:textId="3F1CE019" w:rsidR="00B8630B" w:rsidRPr="00487209" w:rsidRDefault="00DF0992" w:rsidP="00B8630B">
            <w:pPr>
              <w:spacing w:before="120"/>
              <w:ind w:right="-23"/>
              <w:jc w:val="both"/>
              <w:rPr>
                <w:rFonts w:ascii="Times New Roman" w:eastAsia="Batang" w:hAnsi="Times New Roman" w:cs="Times New Roman"/>
                <w:sz w:val="18"/>
                <w:szCs w:val="18"/>
                <w:lang w:val="sr-Latn-BA" w:eastAsia="ko-KR"/>
              </w:rPr>
            </w:pPr>
            <w:r w:rsidRPr="00DF0992">
              <w:rPr>
                <w:rFonts w:ascii="Times New Roman" w:eastAsia="Batang" w:hAnsi="Times New Roman" w:cs="Times New Roman"/>
                <w:sz w:val="18"/>
                <w:szCs w:val="18"/>
                <w:lang w:eastAsia="ko-KR"/>
              </w:rPr>
              <w:t>Грађевински производ који је произведен и стављен на тржиште ради сталне уградње у објекте или њихове делове мора да има перформансе у вези са његовим битним карактеристикама које имају утицај на перформансе објекта током уобичајеног одржавања и економски прихватљивог века употребе објекта, а у погледу следећих основних захтева за објекте:</w:t>
            </w:r>
            <w:r w:rsidR="00B8630B" w:rsidRPr="00487209">
              <w:rPr>
                <w:rFonts w:ascii="Times New Roman" w:eastAsia="Batang" w:hAnsi="Times New Roman" w:cs="Times New Roman"/>
                <w:sz w:val="18"/>
                <w:szCs w:val="18"/>
                <w:lang w:eastAsia="ko-KR"/>
              </w:rPr>
              <w:t xml:space="preserve"> </w:t>
            </w:r>
          </w:p>
          <w:p w14:paraId="77BDFF0E" w14:textId="77777777" w:rsidR="00B8630B" w:rsidRPr="00487209" w:rsidRDefault="00B8630B" w:rsidP="002E171A">
            <w:pPr>
              <w:numPr>
                <w:ilvl w:val="0"/>
                <w:numId w:val="67"/>
              </w:numPr>
              <w:spacing w:before="120" w:after="120"/>
              <w:ind w:left="292" w:right="-23" w:hanging="11"/>
              <w:jc w:val="both"/>
              <w:outlineLvl w:val="3"/>
              <w:rPr>
                <w:rFonts w:ascii="Times New Roman" w:eastAsia="Batang" w:hAnsi="Times New Roman" w:cs="Times New Roman"/>
                <w:sz w:val="18"/>
                <w:szCs w:val="18"/>
                <w:lang w:val="sr-Cyrl-CS" w:eastAsia="ko-KR"/>
              </w:rPr>
            </w:pPr>
            <w:r w:rsidRPr="00487209">
              <w:rPr>
                <w:rFonts w:ascii="Times New Roman" w:eastAsia="Batang" w:hAnsi="Times New Roman" w:cs="Times New Roman"/>
                <w:sz w:val="18"/>
                <w:szCs w:val="18"/>
                <w:lang w:val="sr-Cyrl-CS" w:eastAsia="ko-KR"/>
              </w:rPr>
              <w:t xml:space="preserve">Механичка отпорност и стабилност, односно објекти морају бити пројектовани и изведени на такав начин да оптерећења која на њих делују током изградње и употребе не доводе до:  </w:t>
            </w:r>
          </w:p>
          <w:p w14:paraId="4DCBA373" w14:textId="69E94BD6" w:rsidR="00147811" w:rsidRPr="00487209" w:rsidRDefault="00B8630B" w:rsidP="00B8630B">
            <w:pPr>
              <w:numPr>
                <w:ilvl w:val="0"/>
                <w:numId w:val="8"/>
              </w:numPr>
              <w:tabs>
                <w:tab w:val="left" w:pos="718"/>
              </w:tabs>
              <w:spacing w:before="120" w:after="120"/>
              <w:ind w:left="662" w:right="-23" w:hanging="239"/>
              <w:jc w:val="both"/>
              <w:rPr>
                <w:rFonts w:ascii="Times New Roman" w:eastAsia="Batang" w:hAnsi="Times New Roman" w:cs="Times New Roman"/>
                <w:sz w:val="18"/>
                <w:szCs w:val="18"/>
                <w:lang w:val="sr-Cyrl-CS" w:eastAsia="ko-KR"/>
              </w:rPr>
            </w:pPr>
            <w:r w:rsidRPr="00487209">
              <w:rPr>
                <w:rFonts w:ascii="Times New Roman" w:eastAsia="Batang" w:hAnsi="Times New Roman" w:cs="Times New Roman"/>
                <w:sz w:val="18"/>
                <w:szCs w:val="18"/>
                <w:lang w:eastAsia="ko-KR"/>
              </w:rPr>
              <w:t xml:space="preserve"> </w:t>
            </w:r>
            <w:r w:rsidRPr="00487209">
              <w:rPr>
                <w:rFonts w:ascii="Times New Roman" w:eastAsia="Batang" w:hAnsi="Times New Roman" w:cs="Times New Roman"/>
                <w:sz w:val="18"/>
                <w:szCs w:val="18"/>
                <w:lang w:val="sr-Cyrl-CS" w:eastAsia="ko-KR"/>
              </w:rPr>
              <w:t>рушења читавог објекта или неког његовог дела;</w:t>
            </w:r>
          </w:p>
        </w:tc>
        <w:tc>
          <w:tcPr>
            <w:tcW w:w="458" w:type="pct"/>
            <w:shd w:val="clear" w:color="auto" w:fill="auto"/>
            <w:vAlign w:val="center"/>
          </w:tcPr>
          <w:p w14:paraId="184A43ED"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741CAA12"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0AB55F9D"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0AA85E4C" w14:textId="77777777" w:rsidTr="007D5144">
        <w:trPr>
          <w:trHeight w:val="1600"/>
          <w:jc w:val="center"/>
        </w:trPr>
        <w:tc>
          <w:tcPr>
            <w:tcW w:w="435" w:type="pct"/>
            <w:shd w:val="clear" w:color="auto" w:fill="auto"/>
            <w:vAlign w:val="center"/>
          </w:tcPr>
          <w:p w14:paraId="0BB1B6C3"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I</w:t>
            </w:r>
          </w:p>
          <w:p w14:paraId="3BBD0406"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1.(b)</w:t>
            </w:r>
          </w:p>
        </w:tc>
        <w:tc>
          <w:tcPr>
            <w:tcW w:w="1369" w:type="pct"/>
            <w:gridSpan w:val="2"/>
            <w:shd w:val="clear" w:color="auto" w:fill="auto"/>
            <w:vAlign w:val="center"/>
          </w:tcPr>
          <w:p w14:paraId="5D5021F6"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rPr>
              <w:t>major deformations to an inadmissible degree;</w:t>
            </w:r>
          </w:p>
        </w:tc>
        <w:tc>
          <w:tcPr>
            <w:tcW w:w="429" w:type="pct"/>
            <w:shd w:val="clear" w:color="auto" w:fill="auto"/>
            <w:vAlign w:val="center"/>
          </w:tcPr>
          <w:p w14:paraId="6DBD06D8" w14:textId="77777777" w:rsidR="00B8630B" w:rsidRPr="00487209" w:rsidRDefault="00B8630B" w:rsidP="00B8630B">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68A66626" w14:textId="44E67A4F" w:rsidR="00147811" w:rsidRPr="00487209" w:rsidRDefault="00B8630B" w:rsidP="00B8630B">
            <w:pPr>
              <w:spacing w:before="120" w:after="120"/>
              <w:ind w:firstLine="5"/>
              <w:jc w:val="center"/>
              <w:rPr>
                <w:rFonts w:ascii="Times New Roman" w:hAnsi="Times New Roman" w:cs="Times New Roman"/>
                <w:sz w:val="18"/>
                <w:szCs w:val="18"/>
              </w:rPr>
            </w:pPr>
            <w:r w:rsidRPr="00487209">
              <w:rPr>
                <w:rFonts w:ascii="Times New Roman" w:hAnsi="Times New Roman" w:cs="Times New Roman"/>
                <w:sz w:val="18"/>
                <w:szCs w:val="18"/>
                <w:lang w:val="sr-Cyrl-CS"/>
              </w:rPr>
              <w:t>05.02.1).(2)</w:t>
            </w:r>
          </w:p>
        </w:tc>
        <w:tc>
          <w:tcPr>
            <w:tcW w:w="1231" w:type="pct"/>
            <w:gridSpan w:val="2"/>
            <w:shd w:val="clear" w:color="auto" w:fill="auto"/>
            <w:vAlign w:val="center"/>
          </w:tcPr>
          <w:p w14:paraId="3CC1107E" w14:textId="401A1AA7" w:rsidR="00B8630B" w:rsidRPr="00487209" w:rsidRDefault="00B8630B" w:rsidP="00B8630B">
            <w:pPr>
              <w:pStyle w:val="ListParagraph"/>
              <w:numPr>
                <w:ilvl w:val="0"/>
                <w:numId w:val="8"/>
              </w:numPr>
              <w:tabs>
                <w:tab w:val="left" w:pos="509"/>
              </w:tabs>
              <w:spacing w:before="120"/>
              <w:ind w:left="648" w:right="-23" w:hanging="272"/>
              <w:jc w:val="both"/>
              <w:rPr>
                <w:rFonts w:eastAsia="Batang"/>
                <w:sz w:val="18"/>
                <w:szCs w:val="18"/>
                <w:lang w:eastAsia="ko-KR"/>
              </w:rPr>
            </w:pPr>
            <w:r w:rsidRPr="00487209">
              <w:rPr>
                <w:rFonts w:eastAsia="Batang"/>
                <w:sz w:val="18"/>
                <w:szCs w:val="18"/>
                <w:lang w:eastAsia="ko-KR"/>
              </w:rPr>
              <w:t>деформација већих од допуштених;</w:t>
            </w:r>
          </w:p>
          <w:p w14:paraId="517209DA"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1EF0CD2F"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16FC4783"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7503259"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7A13E175" w14:textId="77777777" w:rsidTr="007D5144">
        <w:trPr>
          <w:trHeight w:val="1970"/>
          <w:jc w:val="center"/>
        </w:trPr>
        <w:tc>
          <w:tcPr>
            <w:tcW w:w="435" w:type="pct"/>
            <w:shd w:val="clear" w:color="auto" w:fill="auto"/>
            <w:vAlign w:val="center"/>
          </w:tcPr>
          <w:p w14:paraId="7836348A"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ANNEX I</w:t>
            </w:r>
          </w:p>
          <w:p w14:paraId="528A9568"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1.(c)</w:t>
            </w:r>
          </w:p>
        </w:tc>
        <w:tc>
          <w:tcPr>
            <w:tcW w:w="1369" w:type="pct"/>
            <w:gridSpan w:val="2"/>
            <w:shd w:val="clear" w:color="auto" w:fill="auto"/>
            <w:vAlign w:val="center"/>
          </w:tcPr>
          <w:p w14:paraId="2992999D"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damage to other parts of the construction works or to fittings or installed equipment as a result of major deformation of the load-bearing construction;</w:t>
            </w:r>
          </w:p>
        </w:tc>
        <w:tc>
          <w:tcPr>
            <w:tcW w:w="429" w:type="pct"/>
            <w:shd w:val="clear" w:color="auto" w:fill="auto"/>
            <w:vAlign w:val="center"/>
          </w:tcPr>
          <w:p w14:paraId="23D5E1ED" w14:textId="77777777" w:rsidR="00B8630B" w:rsidRPr="00487209" w:rsidRDefault="00B8630B" w:rsidP="00B8630B">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61501F97" w14:textId="45784510" w:rsidR="00147811" w:rsidRPr="00487209" w:rsidRDefault="00B8630B" w:rsidP="00B8630B">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05.02.1).(3)</w:t>
            </w:r>
          </w:p>
        </w:tc>
        <w:tc>
          <w:tcPr>
            <w:tcW w:w="1231" w:type="pct"/>
            <w:gridSpan w:val="2"/>
            <w:shd w:val="clear" w:color="auto" w:fill="auto"/>
            <w:vAlign w:val="center"/>
          </w:tcPr>
          <w:p w14:paraId="59D8DF1C" w14:textId="1FDD74DD" w:rsidR="00147811" w:rsidRPr="00487209" w:rsidRDefault="00B8630B" w:rsidP="00B8630B">
            <w:pPr>
              <w:ind w:left="662" w:hanging="266"/>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(3) </w:t>
            </w:r>
            <w:r w:rsidR="00147811" w:rsidRPr="00487209">
              <w:rPr>
                <w:rFonts w:ascii="Times New Roman" w:hAnsi="Times New Roman" w:cs="Times New Roman"/>
                <w:sz w:val="18"/>
                <w:szCs w:val="18"/>
                <w:lang w:val="sr-Cyrl-CS"/>
              </w:rPr>
              <w:t>оштећења других делова објекта, инсталација или инсталиране опреме као резултат великих деформација носеће конструкције;</w:t>
            </w:r>
          </w:p>
        </w:tc>
        <w:tc>
          <w:tcPr>
            <w:tcW w:w="458" w:type="pct"/>
            <w:shd w:val="clear" w:color="auto" w:fill="auto"/>
            <w:vAlign w:val="center"/>
          </w:tcPr>
          <w:p w14:paraId="6FF42DA7"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058862DF"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C45BA96"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0F9945FF" w14:textId="77777777" w:rsidTr="007D5144">
        <w:trPr>
          <w:trHeight w:val="1970"/>
          <w:jc w:val="center"/>
        </w:trPr>
        <w:tc>
          <w:tcPr>
            <w:tcW w:w="435" w:type="pct"/>
            <w:shd w:val="clear" w:color="auto" w:fill="auto"/>
            <w:vAlign w:val="center"/>
          </w:tcPr>
          <w:p w14:paraId="67BD44F4"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ANNEX I</w:t>
            </w:r>
          </w:p>
          <w:p w14:paraId="630B43CB"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1.(d)</w:t>
            </w:r>
          </w:p>
        </w:tc>
        <w:tc>
          <w:tcPr>
            <w:tcW w:w="1369" w:type="pct"/>
            <w:gridSpan w:val="2"/>
            <w:shd w:val="clear" w:color="auto" w:fill="auto"/>
            <w:vAlign w:val="center"/>
          </w:tcPr>
          <w:p w14:paraId="4234A5F4"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damage by an event to an extent disproportionate to the original cause.</w:t>
            </w:r>
          </w:p>
        </w:tc>
        <w:tc>
          <w:tcPr>
            <w:tcW w:w="429" w:type="pct"/>
            <w:shd w:val="clear" w:color="auto" w:fill="auto"/>
            <w:vAlign w:val="center"/>
          </w:tcPr>
          <w:p w14:paraId="4949AA84" w14:textId="77777777" w:rsidR="00B8630B" w:rsidRPr="00487209" w:rsidRDefault="00B8630B" w:rsidP="00B8630B">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4309F0FB" w14:textId="5192941B" w:rsidR="00147811" w:rsidRPr="00487209" w:rsidRDefault="00B8630B" w:rsidP="00B8630B">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05.02.1).(4)</w:t>
            </w:r>
          </w:p>
        </w:tc>
        <w:tc>
          <w:tcPr>
            <w:tcW w:w="1231" w:type="pct"/>
            <w:gridSpan w:val="2"/>
            <w:shd w:val="clear" w:color="auto" w:fill="auto"/>
            <w:vAlign w:val="center"/>
          </w:tcPr>
          <w:p w14:paraId="6F6EA406" w14:textId="12945383" w:rsidR="00147811" w:rsidRPr="00487209" w:rsidRDefault="00B8630B" w:rsidP="00B8630B">
            <w:pPr>
              <w:ind w:left="662" w:hanging="228"/>
              <w:jc w:val="both"/>
              <w:rPr>
                <w:rStyle w:val="tw4winMark"/>
                <w:rFonts w:ascii="Times New Roman" w:hAnsi="Times New Roman" w:cs="Times New Roman"/>
                <w:vanish w:val="0"/>
                <w:color w:val="auto"/>
                <w:sz w:val="18"/>
                <w:szCs w:val="18"/>
                <w:lang w:val="sr-Cyrl-CS"/>
              </w:rPr>
            </w:pPr>
            <w:r w:rsidRPr="00487209">
              <w:rPr>
                <w:rFonts w:ascii="Times New Roman" w:hAnsi="Times New Roman" w:cs="Times New Roman"/>
                <w:sz w:val="18"/>
                <w:szCs w:val="18"/>
                <w:lang w:val="sr-Cyrl-CS"/>
              </w:rPr>
              <w:t xml:space="preserve">(4) </w:t>
            </w:r>
            <w:r w:rsidR="00147811" w:rsidRPr="00487209">
              <w:rPr>
                <w:rFonts w:ascii="Times New Roman" w:hAnsi="Times New Roman" w:cs="Times New Roman"/>
                <w:sz w:val="18"/>
                <w:szCs w:val="18"/>
                <w:lang w:val="sr-Cyrl-CS"/>
              </w:rPr>
              <w:t>оштећења услед догађаја у обиму који је несразмеран изворном узроку.</w:t>
            </w:r>
          </w:p>
          <w:p w14:paraId="02976807" w14:textId="77777777" w:rsidR="00147811" w:rsidRPr="00487209" w:rsidRDefault="00147811" w:rsidP="006C6323">
            <w:pPr>
              <w:jc w:val="both"/>
              <w:rPr>
                <w:rFonts w:ascii="Times New Roman" w:hAnsi="Times New Roman" w:cs="Times New Roman"/>
                <w:sz w:val="18"/>
                <w:szCs w:val="18"/>
                <w:lang w:val="sr-Cyrl-CS"/>
              </w:rPr>
            </w:pPr>
          </w:p>
        </w:tc>
        <w:tc>
          <w:tcPr>
            <w:tcW w:w="458" w:type="pct"/>
            <w:shd w:val="clear" w:color="auto" w:fill="auto"/>
            <w:vAlign w:val="center"/>
          </w:tcPr>
          <w:p w14:paraId="057E931D"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63DE6659"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609589C"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0F15B48D" w14:textId="77777777" w:rsidTr="007D5144">
        <w:trPr>
          <w:trHeight w:val="1970"/>
          <w:jc w:val="center"/>
        </w:trPr>
        <w:tc>
          <w:tcPr>
            <w:tcW w:w="435" w:type="pct"/>
            <w:shd w:val="clear" w:color="auto" w:fill="auto"/>
            <w:vAlign w:val="center"/>
          </w:tcPr>
          <w:p w14:paraId="061EFBA4"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ANNEX I</w:t>
            </w:r>
          </w:p>
          <w:p w14:paraId="6DA8784D"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2.(a)</w:t>
            </w:r>
          </w:p>
        </w:tc>
        <w:tc>
          <w:tcPr>
            <w:tcW w:w="1369" w:type="pct"/>
            <w:gridSpan w:val="2"/>
            <w:shd w:val="clear" w:color="auto" w:fill="auto"/>
            <w:vAlign w:val="center"/>
          </w:tcPr>
          <w:p w14:paraId="731C04E0"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2.   Safety in case of fire </w:t>
            </w:r>
          </w:p>
          <w:p w14:paraId="14F3FC97"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construction works must be designed and built in such a way that in the event of an outbreak of fire:</w:t>
            </w:r>
          </w:p>
          <w:p w14:paraId="6F2DE007"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the load-bearing capacity of the construction can be assumed for a specific period of time;</w:t>
            </w:r>
          </w:p>
        </w:tc>
        <w:tc>
          <w:tcPr>
            <w:tcW w:w="429" w:type="pct"/>
            <w:shd w:val="clear" w:color="auto" w:fill="auto"/>
            <w:vAlign w:val="center"/>
          </w:tcPr>
          <w:p w14:paraId="242CC470" w14:textId="77777777" w:rsidR="00147811" w:rsidRPr="00487209" w:rsidRDefault="00B8630B" w:rsidP="006C6323">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4EC9C933" w14:textId="3C09D74B" w:rsidR="00B8630B" w:rsidRPr="00487209" w:rsidRDefault="00B8630B" w:rsidP="00B8630B">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05.02.2).(1)</w:t>
            </w:r>
          </w:p>
        </w:tc>
        <w:tc>
          <w:tcPr>
            <w:tcW w:w="1231" w:type="pct"/>
            <w:gridSpan w:val="2"/>
            <w:shd w:val="clear" w:color="auto" w:fill="auto"/>
            <w:vAlign w:val="center"/>
          </w:tcPr>
          <w:p w14:paraId="5A09CEA3" w14:textId="2C68C521" w:rsidR="00B8630B" w:rsidRPr="00487209" w:rsidRDefault="00B8630B" w:rsidP="00B8630B">
            <w:pPr>
              <w:pStyle w:val="ListParagraph"/>
              <w:numPr>
                <w:ilvl w:val="0"/>
                <w:numId w:val="67"/>
              </w:numPr>
              <w:tabs>
                <w:tab w:val="left" w:pos="202"/>
              </w:tabs>
              <w:spacing w:before="120"/>
              <w:ind w:left="487" w:right="-23"/>
              <w:outlineLvl w:val="3"/>
              <w:rPr>
                <w:rFonts w:eastAsia="Batang"/>
                <w:sz w:val="18"/>
                <w:szCs w:val="18"/>
                <w:lang w:eastAsia="ko-KR"/>
              </w:rPr>
            </w:pPr>
            <w:r w:rsidRPr="00487209">
              <w:rPr>
                <w:rFonts w:eastAsia="Batang"/>
                <w:sz w:val="18"/>
                <w:szCs w:val="18"/>
                <w:lang w:eastAsia="ko-KR"/>
              </w:rPr>
              <w:t>Безбедност у случају пожара, односно објекти морају бити пројектовани и изведени на такав начин да у случају избијања пожара:</w:t>
            </w:r>
          </w:p>
          <w:p w14:paraId="36AAAEAB" w14:textId="07FA8834" w:rsidR="00147811" w:rsidRPr="00487209" w:rsidRDefault="00B8630B" w:rsidP="00AE7742">
            <w:pPr>
              <w:numPr>
                <w:ilvl w:val="0"/>
                <w:numId w:val="71"/>
              </w:numPr>
              <w:spacing w:before="120"/>
              <w:ind w:left="727" w:right="-23" w:hanging="241"/>
              <w:jc w:val="both"/>
              <w:rPr>
                <w:rFonts w:ascii="Times New Roman" w:eastAsia="Batang" w:hAnsi="Times New Roman" w:cs="Times New Roman"/>
                <w:sz w:val="18"/>
                <w:szCs w:val="18"/>
                <w:lang w:val="sr-Cyrl-CS" w:eastAsia="ko-KR"/>
              </w:rPr>
            </w:pPr>
            <w:r w:rsidRPr="00487209">
              <w:rPr>
                <w:rFonts w:ascii="Times New Roman" w:eastAsia="Batang" w:hAnsi="Times New Roman" w:cs="Times New Roman"/>
                <w:sz w:val="18"/>
                <w:szCs w:val="18"/>
                <w:lang w:val="sr-Cyrl-CS" w:eastAsia="ko-KR"/>
              </w:rPr>
              <w:t xml:space="preserve"> носивост конструкције може бити очувана током одређеног периода;</w:t>
            </w:r>
          </w:p>
        </w:tc>
        <w:tc>
          <w:tcPr>
            <w:tcW w:w="458" w:type="pct"/>
            <w:shd w:val="clear" w:color="auto" w:fill="auto"/>
            <w:vAlign w:val="center"/>
          </w:tcPr>
          <w:p w14:paraId="4CFBA193"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6C725ADE"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A14E803"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54AB4B8C" w14:textId="77777777" w:rsidTr="007D5144">
        <w:trPr>
          <w:trHeight w:val="1970"/>
          <w:jc w:val="center"/>
        </w:trPr>
        <w:tc>
          <w:tcPr>
            <w:tcW w:w="435" w:type="pct"/>
            <w:shd w:val="clear" w:color="auto" w:fill="auto"/>
            <w:vAlign w:val="center"/>
          </w:tcPr>
          <w:p w14:paraId="4EBC49A2"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I</w:t>
            </w:r>
          </w:p>
          <w:p w14:paraId="28619F79"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2.(b)</w:t>
            </w:r>
          </w:p>
        </w:tc>
        <w:tc>
          <w:tcPr>
            <w:tcW w:w="1369" w:type="pct"/>
            <w:gridSpan w:val="2"/>
            <w:shd w:val="clear" w:color="auto" w:fill="auto"/>
            <w:vAlign w:val="center"/>
          </w:tcPr>
          <w:p w14:paraId="442FB3B5"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the generation and spread of fire and smoke within the construction works are limited;</w:t>
            </w:r>
          </w:p>
        </w:tc>
        <w:tc>
          <w:tcPr>
            <w:tcW w:w="429" w:type="pct"/>
            <w:shd w:val="clear" w:color="auto" w:fill="auto"/>
            <w:vAlign w:val="center"/>
          </w:tcPr>
          <w:p w14:paraId="27EA3AB6" w14:textId="77777777" w:rsidR="00B8630B" w:rsidRPr="00487209" w:rsidRDefault="00B8630B" w:rsidP="00B8630B">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34ACBF3B" w14:textId="1534F283" w:rsidR="00147811" w:rsidRPr="00487209" w:rsidRDefault="00B8630B" w:rsidP="00B8630B">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05.02.2).(2)</w:t>
            </w:r>
          </w:p>
        </w:tc>
        <w:tc>
          <w:tcPr>
            <w:tcW w:w="1231" w:type="pct"/>
            <w:gridSpan w:val="2"/>
            <w:shd w:val="clear" w:color="auto" w:fill="auto"/>
            <w:vAlign w:val="center"/>
          </w:tcPr>
          <w:p w14:paraId="0B998482" w14:textId="5EA3DB66" w:rsidR="00147811" w:rsidRPr="00487209" w:rsidRDefault="00B8630B" w:rsidP="00AE7742">
            <w:pPr>
              <w:ind w:left="713" w:hanging="271"/>
              <w:jc w:val="both"/>
              <w:rPr>
                <w:rFonts w:ascii="Times New Roman" w:eastAsia="Batang" w:hAnsi="Times New Roman" w:cs="Times New Roman"/>
                <w:sz w:val="18"/>
                <w:szCs w:val="18"/>
                <w:lang w:val="sr-Cyrl-CS" w:eastAsia="ko-KR"/>
              </w:rPr>
            </w:pPr>
            <w:r w:rsidRPr="00487209">
              <w:rPr>
                <w:rFonts w:ascii="Times New Roman" w:eastAsia="Batang" w:hAnsi="Times New Roman" w:cs="Times New Roman"/>
                <w:sz w:val="18"/>
                <w:szCs w:val="18"/>
                <w:lang w:val="sr-Cyrl-CS" w:eastAsia="ko-KR"/>
              </w:rPr>
              <w:t xml:space="preserve">(2) </w:t>
            </w:r>
            <w:r w:rsidR="00147811" w:rsidRPr="00487209">
              <w:rPr>
                <w:rFonts w:ascii="Times New Roman" w:eastAsia="Batang" w:hAnsi="Times New Roman" w:cs="Times New Roman"/>
                <w:sz w:val="18"/>
                <w:szCs w:val="18"/>
                <w:lang w:val="sr-Cyrl-CS" w:eastAsia="ko-KR"/>
              </w:rPr>
              <w:t>настајање и ширење пожара и дима у објекту буде ограничено;</w:t>
            </w:r>
          </w:p>
        </w:tc>
        <w:tc>
          <w:tcPr>
            <w:tcW w:w="458" w:type="pct"/>
            <w:shd w:val="clear" w:color="auto" w:fill="auto"/>
            <w:vAlign w:val="center"/>
          </w:tcPr>
          <w:p w14:paraId="1B7D239B" w14:textId="77777777" w:rsidR="00147811" w:rsidRPr="00487209" w:rsidRDefault="0014781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rPr>
              <w:t>ПУ</w:t>
            </w:r>
          </w:p>
        </w:tc>
        <w:tc>
          <w:tcPr>
            <w:tcW w:w="598" w:type="pct"/>
            <w:gridSpan w:val="2"/>
            <w:shd w:val="clear" w:color="auto" w:fill="auto"/>
            <w:vAlign w:val="center"/>
          </w:tcPr>
          <w:p w14:paraId="2ACBA383"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14CA6E3"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2D491CD5" w14:textId="77777777" w:rsidTr="007D5144">
        <w:trPr>
          <w:trHeight w:val="1970"/>
          <w:jc w:val="center"/>
        </w:trPr>
        <w:tc>
          <w:tcPr>
            <w:tcW w:w="435" w:type="pct"/>
            <w:shd w:val="clear" w:color="auto" w:fill="auto"/>
            <w:vAlign w:val="center"/>
          </w:tcPr>
          <w:p w14:paraId="4A7E2814"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ANNEX I</w:t>
            </w:r>
          </w:p>
          <w:p w14:paraId="64D46885"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2.(c)</w:t>
            </w:r>
          </w:p>
        </w:tc>
        <w:tc>
          <w:tcPr>
            <w:tcW w:w="1369" w:type="pct"/>
            <w:gridSpan w:val="2"/>
            <w:shd w:val="clear" w:color="auto" w:fill="auto"/>
            <w:vAlign w:val="center"/>
          </w:tcPr>
          <w:p w14:paraId="43BAADAD"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the spread of fire to neighbouring construction works is limited;</w:t>
            </w:r>
          </w:p>
        </w:tc>
        <w:tc>
          <w:tcPr>
            <w:tcW w:w="429" w:type="pct"/>
            <w:shd w:val="clear" w:color="auto" w:fill="auto"/>
            <w:vAlign w:val="center"/>
          </w:tcPr>
          <w:p w14:paraId="7DC09BDD" w14:textId="77777777" w:rsidR="00B8630B" w:rsidRPr="00487209" w:rsidRDefault="00B8630B" w:rsidP="00B8630B">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4DF43D33" w14:textId="043BE9D6" w:rsidR="00147811" w:rsidRPr="00487209" w:rsidRDefault="00B8630B" w:rsidP="00B8630B">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05.02.2).(3)</w:t>
            </w:r>
          </w:p>
        </w:tc>
        <w:tc>
          <w:tcPr>
            <w:tcW w:w="1231" w:type="pct"/>
            <w:gridSpan w:val="2"/>
            <w:shd w:val="clear" w:color="auto" w:fill="auto"/>
            <w:vAlign w:val="center"/>
          </w:tcPr>
          <w:p w14:paraId="08326E9D" w14:textId="301B709C" w:rsidR="00147811" w:rsidRPr="00487209" w:rsidRDefault="00B8630B" w:rsidP="002E171A">
            <w:pPr>
              <w:ind w:left="713" w:hanging="271"/>
              <w:jc w:val="both"/>
              <w:rPr>
                <w:rFonts w:eastAsia="Batang"/>
                <w:lang w:eastAsia="ko-KR"/>
              </w:rPr>
            </w:pPr>
            <w:r w:rsidRPr="00487209">
              <w:rPr>
                <w:rFonts w:ascii="Times New Roman" w:eastAsia="Batang" w:hAnsi="Times New Roman" w:cs="Times New Roman"/>
                <w:sz w:val="18"/>
                <w:szCs w:val="18"/>
                <w:lang w:val="sr-Cyrl-CS" w:eastAsia="ko-KR"/>
              </w:rPr>
              <w:t xml:space="preserve">(3) </w:t>
            </w:r>
            <w:r w:rsidR="00147811" w:rsidRPr="00487209">
              <w:rPr>
                <w:rFonts w:ascii="Times New Roman" w:eastAsia="Batang" w:hAnsi="Times New Roman" w:cs="Times New Roman"/>
                <w:sz w:val="18"/>
                <w:szCs w:val="18"/>
                <w:lang w:val="sr-Cyrl-CS" w:eastAsia="ko-KR"/>
              </w:rPr>
              <w:t>ширење пожара на суседне  објектебуде ограничено;</w:t>
            </w:r>
          </w:p>
        </w:tc>
        <w:tc>
          <w:tcPr>
            <w:tcW w:w="458" w:type="pct"/>
            <w:shd w:val="clear" w:color="auto" w:fill="auto"/>
            <w:vAlign w:val="center"/>
          </w:tcPr>
          <w:p w14:paraId="11CA2D11" w14:textId="77777777" w:rsidR="00147811" w:rsidRPr="00487209" w:rsidRDefault="0014781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rPr>
              <w:t>ПУ</w:t>
            </w:r>
          </w:p>
        </w:tc>
        <w:tc>
          <w:tcPr>
            <w:tcW w:w="598" w:type="pct"/>
            <w:gridSpan w:val="2"/>
            <w:shd w:val="clear" w:color="auto" w:fill="auto"/>
            <w:vAlign w:val="center"/>
          </w:tcPr>
          <w:p w14:paraId="142FA937"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037B53C3"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632E5525" w14:textId="77777777" w:rsidTr="007D5144">
        <w:trPr>
          <w:trHeight w:val="1970"/>
          <w:jc w:val="center"/>
        </w:trPr>
        <w:tc>
          <w:tcPr>
            <w:tcW w:w="435" w:type="pct"/>
            <w:shd w:val="clear" w:color="auto" w:fill="auto"/>
            <w:vAlign w:val="center"/>
          </w:tcPr>
          <w:p w14:paraId="68E3EBAC"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ANNEX I</w:t>
            </w:r>
          </w:p>
          <w:p w14:paraId="0AD50C97"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2.(d)</w:t>
            </w:r>
          </w:p>
        </w:tc>
        <w:tc>
          <w:tcPr>
            <w:tcW w:w="1369" w:type="pct"/>
            <w:gridSpan w:val="2"/>
            <w:shd w:val="clear" w:color="auto" w:fill="auto"/>
            <w:vAlign w:val="center"/>
          </w:tcPr>
          <w:p w14:paraId="2A50ADEF"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occupants can leave the construction works or be rescued by other means;</w:t>
            </w:r>
          </w:p>
        </w:tc>
        <w:tc>
          <w:tcPr>
            <w:tcW w:w="429" w:type="pct"/>
            <w:shd w:val="clear" w:color="auto" w:fill="auto"/>
            <w:vAlign w:val="center"/>
          </w:tcPr>
          <w:p w14:paraId="652C9FB0" w14:textId="77777777" w:rsidR="00B8630B" w:rsidRPr="00487209" w:rsidRDefault="00B8630B" w:rsidP="00B8630B">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10FB841D" w14:textId="6E7B93D5" w:rsidR="00147811" w:rsidRPr="00487209" w:rsidRDefault="00B8630B" w:rsidP="00B8630B">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05.02.2).(4)</w:t>
            </w:r>
          </w:p>
        </w:tc>
        <w:tc>
          <w:tcPr>
            <w:tcW w:w="1231" w:type="pct"/>
            <w:gridSpan w:val="2"/>
            <w:shd w:val="clear" w:color="auto" w:fill="auto"/>
            <w:vAlign w:val="center"/>
          </w:tcPr>
          <w:p w14:paraId="1C080ED9" w14:textId="751CD253" w:rsidR="00147811" w:rsidRPr="00487209" w:rsidRDefault="00B8630B" w:rsidP="00AE7742">
            <w:pPr>
              <w:ind w:left="713" w:hanging="271"/>
              <w:jc w:val="both"/>
              <w:rPr>
                <w:rFonts w:eastAsia="Batang"/>
                <w:lang w:eastAsia="ko-KR"/>
              </w:rPr>
            </w:pPr>
            <w:r w:rsidRPr="00487209">
              <w:rPr>
                <w:rFonts w:ascii="Times New Roman" w:eastAsia="Batang" w:hAnsi="Times New Roman" w:cs="Times New Roman"/>
                <w:sz w:val="18"/>
                <w:szCs w:val="18"/>
                <w:lang w:val="sr-Cyrl-CS" w:eastAsia="ko-KR"/>
              </w:rPr>
              <w:t xml:space="preserve">(4) </w:t>
            </w:r>
            <w:r w:rsidR="00147811" w:rsidRPr="00487209">
              <w:rPr>
                <w:rFonts w:ascii="Times New Roman" w:eastAsia="Batang" w:hAnsi="Times New Roman" w:cs="Times New Roman"/>
                <w:sz w:val="18"/>
                <w:szCs w:val="18"/>
                <w:lang w:val="sr-Cyrl-CS" w:eastAsia="ko-KR"/>
              </w:rPr>
              <w:t>корисници могу да напусте објекте или могу бити спасени на други начин;</w:t>
            </w:r>
          </w:p>
          <w:p w14:paraId="7C2E6B27" w14:textId="77777777" w:rsidR="00147811" w:rsidRPr="00487209" w:rsidRDefault="00147811" w:rsidP="00AE7742">
            <w:pPr>
              <w:ind w:left="713" w:hanging="271"/>
              <w:jc w:val="center"/>
              <w:rPr>
                <w:rFonts w:ascii="Times New Roman" w:eastAsia="Batang" w:hAnsi="Times New Roman" w:cs="Times New Roman"/>
                <w:sz w:val="18"/>
                <w:szCs w:val="18"/>
                <w:lang w:val="sr-Cyrl-CS" w:eastAsia="ko-KR"/>
              </w:rPr>
            </w:pPr>
          </w:p>
        </w:tc>
        <w:tc>
          <w:tcPr>
            <w:tcW w:w="458" w:type="pct"/>
            <w:shd w:val="clear" w:color="auto" w:fill="auto"/>
            <w:vAlign w:val="center"/>
          </w:tcPr>
          <w:p w14:paraId="1BD1AC95" w14:textId="77777777" w:rsidR="00147811" w:rsidRPr="00487209" w:rsidRDefault="0014781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rPr>
              <w:t>ПУ</w:t>
            </w:r>
          </w:p>
        </w:tc>
        <w:tc>
          <w:tcPr>
            <w:tcW w:w="598" w:type="pct"/>
            <w:gridSpan w:val="2"/>
            <w:shd w:val="clear" w:color="auto" w:fill="auto"/>
            <w:vAlign w:val="center"/>
          </w:tcPr>
          <w:p w14:paraId="55D69BE1"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2526F915"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052BD1BE" w14:textId="77777777" w:rsidTr="007D5144">
        <w:trPr>
          <w:trHeight w:val="1970"/>
          <w:jc w:val="center"/>
        </w:trPr>
        <w:tc>
          <w:tcPr>
            <w:tcW w:w="435" w:type="pct"/>
            <w:shd w:val="clear" w:color="auto" w:fill="auto"/>
            <w:vAlign w:val="center"/>
          </w:tcPr>
          <w:p w14:paraId="03856754"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ANNEX I</w:t>
            </w:r>
          </w:p>
          <w:p w14:paraId="2FD9B0CC"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2.(e)</w:t>
            </w:r>
          </w:p>
        </w:tc>
        <w:tc>
          <w:tcPr>
            <w:tcW w:w="1369" w:type="pct"/>
            <w:gridSpan w:val="2"/>
            <w:shd w:val="clear" w:color="auto" w:fill="auto"/>
            <w:vAlign w:val="center"/>
          </w:tcPr>
          <w:p w14:paraId="4D604D30"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the safety of rescue teams is taken into consideration.</w:t>
            </w:r>
          </w:p>
        </w:tc>
        <w:tc>
          <w:tcPr>
            <w:tcW w:w="429" w:type="pct"/>
            <w:shd w:val="clear" w:color="auto" w:fill="auto"/>
            <w:vAlign w:val="center"/>
          </w:tcPr>
          <w:p w14:paraId="150716A9" w14:textId="77777777" w:rsidR="00B8630B" w:rsidRPr="00487209" w:rsidRDefault="00B8630B" w:rsidP="00B8630B">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377CA935" w14:textId="26B6A958" w:rsidR="00147811" w:rsidRPr="00487209" w:rsidRDefault="00B8630B" w:rsidP="00B8630B">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05.02.2).(5)</w:t>
            </w:r>
          </w:p>
        </w:tc>
        <w:tc>
          <w:tcPr>
            <w:tcW w:w="1231" w:type="pct"/>
            <w:gridSpan w:val="2"/>
            <w:shd w:val="clear" w:color="auto" w:fill="auto"/>
            <w:vAlign w:val="center"/>
          </w:tcPr>
          <w:p w14:paraId="44742767" w14:textId="68D7640D" w:rsidR="00147811" w:rsidRPr="00487209" w:rsidRDefault="00B8630B" w:rsidP="00B8630B">
            <w:pPr>
              <w:ind w:left="844" w:hanging="271"/>
              <w:jc w:val="both"/>
              <w:rPr>
                <w:rFonts w:ascii="Times New Roman" w:eastAsia="Batang" w:hAnsi="Times New Roman" w:cs="Times New Roman"/>
                <w:sz w:val="18"/>
                <w:szCs w:val="18"/>
                <w:lang w:val="sr-Cyrl-CS" w:eastAsia="ko-KR"/>
              </w:rPr>
            </w:pPr>
            <w:r w:rsidRPr="00487209">
              <w:rPr>
                <w:rFonts w:ascii="Times New Roman" w:eastAsia="Batang" w:hAnsi="Times New Roman" w:cs="Times New Roman"/>
                <w:sz w:val="18"/>
                <w:szCs w:val="18"/>
                <w:lang w:val="sr-Cyrl-CS" w:eastAsia="ko-KR"/>
              </w:rPr>
              <w:t xml:space="preserve">(5) </w:t>
            </w:r>
            <w:r w:rsidR="00DF0992">
              <w:rPr>
                <w:rFonts w:ascii="Times New Roman" w:eastAsia="Batang" w:hAnsi="Times New Roman" w:cs="Times New Roman"/>
                <w:sz w:val="18"/>
                <w:szCs w:val="18"/>
                <w:lang w:val="sr-Cyrl-CS" w:eastAsia="ko-KR"/>
              </w:rPr>
              <w:t xml:space="preserve">буде </w:t>
            </w:r>
            <w:r w:rsidR="00147811" w:rsidRPr="00487209">
              <w:rPr>
                <w:rFonts w:ascii="Times New Roman" w:eastAsia="Batang" w:hAnsi="Times New Roman" w:cs="Times New Roman"/>
                <w:sz w:val="18"/>
                <w:szCs w:val="18"/>
                <w:lang w:val="sr-Cyrl-CS" w:eastAsia="ko-KR"/>
              </w:rPr>
              <w:t>узета је у обзир безбедност спасилачких тимова.</w:t>
            </w:r>
          </w:p>
        </w:tc>
        <w:tc>
          <w:tcPr>
            <w:tcW w:w="458" w:type="pct"/>
            <w:shd w:val="clear" w:color="auto" w:fill="auto"/>
            <w:vAlign w:val="center"/>
          </w:tcPr>
          <w:p w14:paraId="37188065" w14:textId="77777777" w:rsidR="00147811" w:rsidRPr="00487209" w:rsidRDefault="00147811" w:rsidP="006C6323">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rPr>
              <w:t>ПУ</w:t>
            </w:r>
          </w:p>
        </w:tc>
        <w:tc>
          <w:tcPr>
            <w:tcW w:w="598" w:type="pct"/>
            <w:gridSpan w:val="2"/>
            <w:shd w:val="clear" w:color="auto" w:fill="auto"/>
            <w:vAlign w:val="center"/>
          </w:tcPr>
          <w:p w14:paraId="420284B3"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5A990FB"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436CA24A" w14:textId="77777777" w:rsidTr="007D5144">
        <w:trPr>
          <w:trHeight w:val="1113"/>
          <w:jc w:val="center"/>
        </w:trPr>
        <w:tc>
          <w:tcPr>
            <w:tcW w:w="435" w:type="pct"/>
            <w:shd w:val="clear" w:color="auto" w:fill="auto"/>
            <w:vAlign w:val="center"/>
          </w:tcPr>
          <w:p w14:paraId="7D1A1081"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I</w:t>
            </w:r>
          </w:p>
          <w:p w14:paraId="6BF824B0"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3.(a)</w:t>
            </w:r>
          </w:p>
        </w:tc>
        <w:tc>
          <w:tcPr>
            <w:tcW w:w="1369" w:type="pct"/>
            <w:gridSpan w:val="2"/>
            <w:shd w:val="clear" w:color="auto" w:fill="auto"/>
            <w:vAlign w:val="center"/>
          </w:tcPr>
          <w:p w14:paraId="29A46FA5"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Hygiene, health and the environment </w:t>
            </w:r>
          </w:p>
          <w:p w14:paraId="245BE296"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construction works must be designed and built in such a way that they will, throughout their life cycle, not be a threat to the hygiene or health and safety of workers, occupants or neighbours, nor have an exceedingly high impact, over their entire life cycle, on the environmental quality or on the climate during their construction, use and demolition, in particular as a result of any of the following:</w:t>
            </w:r>
          </w:p>
          <w:p w14:paraId="74105F91"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the giving-off of toxic gas;</w:t>
            </w:r>
          </w:p>
          <w:p w14:paraId="332F3E07" w14:textId="77777777" w:rsidR="00147811" w:rsidRPr="00487209" w:rsidRDefault="00147811" w:rsidP="006C6323">
            <w:pPr>
              <w:jc w:val="both"/>
              <w:rPr>
                <w:rFonts w:ascii="Times New Roman" w:hAnsi="Times New Roman" w:cs="Times New Roman"/>
                <w:sz w:val="18"/>
                <w:szCs w:val="18"/>
                <w:lang w:val="sr-Cyrl-CS"/>
              </w:rPr>
            </w:pPr>
          </w:p>
        </w:tc>
        <w:tc>
          <w:tcPr>
            <w:tcW w:w="429" w:type="pct"/>
            <w:shd w:val="clear" w:color="auto" w:fill="auto"/>
            <w:vAlign w:val="center"/>
          </w:tcPr>
          <w:p w14:paraId="7FA8A875" w14:textId="77777777" w:rsidR="00B8630B" w:rsidRPr="00487209" w:rsidRDefault="00B8630B" w:rsidP="00B8630B">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5309F32F" w14:textId="414A602F" w:rsidR="00147811" w:rsidRPr="00487209" w:rsidRDefault="00B8630B" w:rsidP="00521A96">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05.02.</w:t>
            </w:r>
            <w:r w:rsidR="00521A96" w:rsidRPr="00487209">
              <w:rPr>
                <w:rFonts w:ascii="Times New Roman" w:hAnsi="Times New Roman" w:cs="Times New Roman"/>
                <w:sz w:val="18"/>
                <w:szCs w:val="18"/>
                <w:lang w:val="sr-Cyrl-CS"/>
              </w:rPr>
              <w:t>3</w:t>
            </w:r>
            <w:r w:rsidRPr="00487209">
              <w:rPr>
                <w:rFonts w:ascii="Times New Roman" w:hAnsi="Times New Roman" w:cs="Times New Roman"/>
                <w:sz w:val="18"/>
                <w:szCs w:val="18"/>
                <w:lang w:val="sr-Cyrl-CS"/>
              </w:rPr>
              <w:t>).(</w:t>
            </w:r>
            <w:r w:rsidR="00521A96" w:rsidRPr="00487209">
              <w:rPr>
                <w:rFonts w:ascii="Times New Roman" w:hAnsi="Times New Roman" w:cs="Times New Roman"/>
                <w:sz w:val="18"/>
                <w:szCs w:val="18"/>
                <w:lang w:val="sr-Cyrl-CS"/>
              </w:rPr>
              <w:t>1</w:t>
            </w:r>
            <w:r w:rsidRPr="00487209">
              <w:rPr>
                <w:rFonts w:ascii="Times New Roman" w:hAnsi="Times New Roman" w:cs="Times New Roman"/>
                <w:sz w:val="18"/>
                <w:szCs w:val="18"/>
                <w:lang w:val="sr-Cyrl-CS"/>
              </w:rPr>
              <w:t>)</w:t>
            </w:r>
          </w:p>
        </w:tc>
        <w:tc>
          <w:tcPr>
            <w:tcW w:w="1231" w:type="pct"/>
            <w:gridSpan w:val="2"/>
            <w:shd w:val="clear" w:color="auto" w:fill="auto"/>
            <w:vAlign w:val="center"/>
          </w:tcPr>
          <w:p w14:paraId="40F95955" w14:textId="36C7AAD9" w:rsidR="00147811" w:rsidRPr="00487209" w:rsidRDefault="00147811" w:rsidP="007D5144">
            <w:pPr>
              <w:pStyle w:val="Style19"/>
              <w:numPr>
                <w:ilvl w:val="0"/>
                <w:numId w:val="23"/>
              </w:numPr>
              <w:tabs>
                <w:tab w:val="left" w:pos="292"/>
              </w:tabs>
              <w:spacing w:before="240"/>
              <w:ind w:left="320" w:right="-23"/>
              <w:jc w:val="both"/>
              <w:outlineLvl w:val="3"/>
              <w:rPr>
                <w:rStyle w:val="FontStyle42"/>
                <w:rFonts w:ascii="Times New Roman" w:hAnsi="Times New Roman" w:cs="Times New Roman"/>
                <w:sz w:val="18"/>
                <w:szCs w:val="18"/>
                <w:lang w:val="sr-Cyrl-CS"/>
              </w:rPr>
            </w:pPr>
            <w:r w:rsidRPr="00487209">
              <w:rPr>
                <w:rFonts w:ascii="Times New Roman" w:hAnsi="Times New Roman"/>
                <w:sz w:val="18"/>
                <w:szCs w:val="18"/>
                <w:lang w:val="sr-Cyrl-CS"/>
              </w:rPr>
              <w:t>Хигијена, здравље и животна средина</w:t>
            </w:r>
            <w:r w:rsidR="00521A96" w:rsidRPr="00487209">
              <w:rPr>
                <w:rFonts w:ascii="Times New Roman" w:hAnsi="Times New Roman"/>
                <w:sz w:val="18"/>
                <w:szCs w:val="18"/>
                <w:lang w:val="sr-Cyrl-CS"/>
              </w:rPr>
              <w:t>, односно о</w:t>
            </w:r>
            <w:r w:rsidRPr="00487209">
              <w:rPr>
                <w:rFonts w:ascii="Times New Roman" w:hAnsi="Times New Roman"/>
                <w:sz w:val="18"/>
                <w:szCs w:val="18"/>
                <w:lang w:val="sr-Cyrl-CS"/>
              </w:rPr>
              <w:t xml:space="preserve">бјекти морају бити пројектовани и изведени на такав начин да, током свог животног циклуса, не представљају претњу по хигијену или здравље и безбедност радника, </w:t>
            </w:r>
            <w:r w:rsidRPr="00487209">
              <w:rPr>
                <w:rFonts w:ascii="Times New Roman" w:hAnsi="Times New Roman"/>
                <w:sz w:val="18"/>
                <w:szCs w:val="18"/>
              </w:rPr>
              <w:t>кори</w:t>
            </w:r>
            <w:r w:rsidRPr="00487209">
              <w:rPr>
                <w:rFonts w:ascii="Times New Roman" w:hAnsi="Times New Roman"/>
                <w:sz w:val="18"/>
                <w:szCs w:val="18"/>
                <w:lang w:val="sr-Cyrl-CS"/>
              </w:rPr>
              <w:t>сника или суседа, нити имају прекомерно велики утицај, током свог читавог животног циклуса, на квалитет животне средине или на климу током изградње, употребе и рушења, а нарочито као резултат следећег:</w:t>
            </w:r>
          </w:p>
          <w:p w14:paraId="38E4D77D" w14:textId="32615900" w:rsidR="00147811" w:rsidRPr="00487209" w:rsidRDefault="00147811" w:rsidP="00521A96">
            <w:pPr>
              <w:pStyle w:val="Style11"/>
              <w:numPr>
                <w:ilvl w:val="0"/>
                <w:numId w:val="73"/>
              </w:numPr>
              <w:tabs>
                <w:tab w:val="left" w:pos="504"/>
              </w:tabs>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испуштања отровних гасова;</w:t>
            </w:r>
          </w:p>
        </w:tc>
        <w:tc>
          <w:tcPr>
            <w:tcW w:w="458" w:type="pct"/>
            <w:shd w:val="clear" w:color="auto" w:fill="auto"/>
            <w:vAlign w:val="center"/>
          </w:tcPr>
          <w:p w14:paraId="3E2BA66F"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2B9CC9DD"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8F8FF73"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280088A" w14:textId="77777777" w:rsidTr="007D5144">
        <w:trPr>
          <w:trHeight w:val="1696"/>
          <w:jc w:val="center"/>
        </w:trPr>
        <w:tc>
          <w:tcPr>
            <w:tcW w:w="435" w:type="pct"/>
            <w:shd w:val="clear" w:color="auto" w:fill="auto"/>
            <w:vAlign w:val="center"/>
          </w:tcPr>
          <w:p w14:paraId="399ABD9C"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ANNEX I</w:t>
            </w:r>
          </w:p>
          <w:p w14:paraId="0068E384"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3.(b)</w:t>
            </w:r>
          </w:p>
        </w:tc>
        <w:tc>
          <w:tcPr>
            <w:tcW w:w="1369" w:type="pct"/>
            <w:gridSpan w:val="2"/>
            <w:shd w:val="clear" w:color="auto" w:fill="auto"/>
            <w:vAlign w:val="center"/>
          </w:tcPr>
          <w:p w14:paraId="52ECEA43"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the emissions of dangerous substances, volatile organic compounds (VOC), greenhouse gases or dangerous particles into indoor or outdoor air;</w:t>
            </w:r>
          </w:p>
        </w:tc>
        <w:tc>
          <w:tcPr>
            <w:tcW w:w="429" w:type="pct"/>
            <w:shd w:val="clear" w:color="auto" w:fill="auto"/>
            <w:vAlign w:val="center"/>
          </w:tcPr>
          <w:p w14:paraId="017CBB40" w14:textId="77777777" w:rsidR="00521A96" w:rsidRPr="00487209" w:rsidRDefault="00521A96" w:rsidP="00521A96">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72F1138B" w14:textId="5E497DA3" w:rsidR="00147811" w:rsidRPr="00487209" w:rsidRDefault="00521A96" w:rsidP="00521A96">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05.02.3).(2)</w:t>
            </w:r>
          </w:p>
        </w:tc>
        <w:tc>
          <w:tcPr>
            <w:tcW w:w="1231" w:type="pct"/>
            <w:gridSpan w:val="2"/>
            <w:shd w:val="clear" w:color="auto" w:fill="auto"/>
            <w:vAlign w:val="center"/>
          </w:tcPr>
          <w:p w14:paraId="6064345D" w14:textId="2EEAD758" w:rsidR="00147811" w:rsidRPr="00487209" w:rsidRDefault="00521A96" w:rsidP="00521A96">
            <w:pPr>
              <w:ind w:left="718" w:hanging="284"/>
              <w:jc w:val="both"/>
              <w:rPr>
                <w:rFonts w:ascii="Times New Roman" w:hAnsi="Times New Roman" w:cs="Times New Roman"/>
                <w:sz w:val="18"/>
                <w:szCs w:val="18"/>
                <w:lang w:val="sr-Cyrl-CS"/>
              </w:rPr>
            </w:pPr>
            <w:r w:rsidRPr="00487209">
              <w:rPr>
                <w:rFonts w:ascii="Times New Roman" w:hAnsi="Times New Roman" w:cs="Times New Roman"/>
                <w:sz w:val="18"/>
                <w:szCs w:val="18"/>
              </w:rPr>
              <w:t xml:space="preserve">(2) </w:t>
            </w:r>
            <w:r w:rsidR="00147811" w:rsidRPr="00487209">
              <w:rPr>
                <w:rFonts w:ascii="Times New Roman" w:hAnsi="Times New Roman" w:cs="Times New Roman"/>
                <w:sz w:val="18"/>
                <w:szCs w:val="18"/>
                <w:lang w:val="sr-Cyrl-CS"/>
              </w:rPr>
              <w:t>емисије опасних материја, испарљивих органских једињења, гасова с ефектом стаклене баште или опасних честица у унутрашњи или спољашњи ваздух;</w:t>
            </w:r>
          </w:p>
        </w:tc>
        <w:tc>
          <w:tcPr>
            <w:tcW w:w="458" w:type="pct"/>
            <w:shd w:val="clear" w:color="auto" w:fill="auto"/>
            <w:vAlign w:val="center"/>
          </w:tcPr>
          <w:p w14:paraId="7F39B6D6"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642834E3"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581E01F"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0A4B7F0E" w14:textId="77777777" w:rsidTr="007D5144">
        <w:trPr>
          <w:trHeight w:val="1970"/>
          <w:jc w:val="center"/>
        </w:trPr>
        <w:tc>
          <w:tcPr>
            <w:tcW w:w="435" w:type="pct"/>
            <w:shd w:val="clear" w:color="auto" w:fill="auto"/>
            <w:vAlign w:val="center"/>
          </w:tcPr>
          <w:p w14:paraId="54D45299"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ANNEX I</w:t>
            </w:r>
          </w:p>
          <w:p w14:paraId="7071A7D2"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3.(c)</w:t>
            </w:r>
          </w:p>
        </w:tc>
        <w:tc>
          <w:tcPr>
            <w:tcW w:w="1369" w:type="pct"/>
            <w:gridSpan w:val="2"/>
            <w:shd w:val="clear" w:color="auto" w:fill="auto"/>
            <w:vAlign w:val="center"/>
          </w:tcPr>
          <w:p w14:paraId="5340273D"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the emission of dangerous radiation;</w:t>
            </w:r>
          </w:p>
        </w:tc>
        <w:tc>
          <w:tcPr>
            <w:tcW w:w="429" w:type="pct"/>
            <w:shd w:val="clear" w:color="auto" w:fill="auto"/>
            <w:vAlign w:val="center"/>
          </w:tcPr>
          <w:p w14:paraId="5B95104C" w14:textId="77777777" w:rsidR="00521A96" w:rsidRPr="00487209" w:rsidRDefault="00521A96" w:rsidP="00521A96">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0829FF36" w14:textId="4B64087C" w:rsidR="00147811" w:rsidRPr="00487209" w:rsidRDefault="00521A96" w:rsidP="00521A96">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05.02.3).(3)</w:t>
            </w:r>
          </w:p>
        </w:tc>
        <w:tc>
          <w:tcPr>
            <w:tcW w:w="1231" w:type="pct"/>
            <w:gridSpan w:val="2"/>
            <w:shd w:val="clear" w:color="auto" w:fill="auto"/>
            <w:vAlign w:val="center"/>
          </w:tcPr>
          <w:p w14:paraId="4E307117" w14:textId="0DFD87DD" w:rsidR="00147811" w:rsidRPr="00487209" w:rsidRDefault="00521A96" w:rsidP="00521A96">
            <w:pPr>
              <w:ind w:left="718" w:hanging="283"/>
              <w:jc w:val="both"/>
              <w:rPr>
                <w:rFonts w:ascii="Times New Roman" w:hAnsi="Times New Roman" w:cs="Times New Roman"/>
                <w:sz w:val="18"/>
                <w:szCs w:val="18"/>
                <w:lang w:val="sr-Cyrl-CS"/>
              </w:rPr>
            </w:pPr>
            <w:r w:rsidRPr="00487209">
              <w:rPr>
                <w:rFonts w:ascii="Times New Roman" w:hAnsi="Times New Roman" w:cs="Times New Roman"/>
                <w:sz w:val="18"/>
                <w:szCs w:val="18"/>
                <w:lang w:val="sr-Latn-CS"/>
              </w:rPr>
              <w:t xml:space="preserve">(3) </w:t>
            </w:r>
            <w:r w:rsidR="00147811" w:rsidRPr="00487209">
              <w:rPr>
                <w:rFonts w:ascii="Times New Roman" w:hAnsi="Times New Roman" w:cs="Times New Roman"/>
                <w:sz w:val="18"/>
                <w:szCs w:val="18"/>
                <w:lang w:val="sr-Cyrl-CS"/>
              </w:rPr>
              <w:t>емисије опасног зрачења;</w:t>
            </w:r>
          </w:p>
        </w:tc>
        <w:tc>
          <w:tcPr>
            <w:tcW w:w="458" w:type="pct"/>
            <w:shd w:val="clear" w:color="auto" w:fill="auto"/>
            <w:vAlign w:val="center"/>
          </w:tcPr>
          <w:p w14:paraId="336F5B38"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520B4158"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14D6AA2F"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2CB3A417" w14:textId="77777777" w:rsidTr="007D5144">
        <w:trPr>
          <w:trHeight w:val="1970"/>
          <w:jc w:val="center"/>
        </w:trPr>
        <w:tc>
          <w:tcPr>
            <w:tcW w:w="435" w:type="pct"/>
            <w:shd w:val="clear" w:color="auto" w:fill="auto"/>
            <w:vAlign w:val="center"/>
          </w:tcPr>
          <w:p w14:paraId="0D55F57C"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I</w:t>
            </w:r>
          </w:p>
          <w:p w14:paraId="35B74EC5"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3.(d)</w:t>
            </w:r>
          </w:p>
        </w:tc>
        <w:tc>
          <w:tcPr>
            <w:tcW w:w="1369" w:type="pct"/>
            <w:gridSpan w:val="2"/>
            <w:shd w:val="clear" w:color="auto" w:fill="auto"/>
            <w:vAlign w:val="center"/>
          </w:tcPr>
          <w:p w14:paraId="5455A24C"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the release of dangerous substances into ground water, marine waters, surface waters or soil;</w:t>
            </w:r>
          </w:p>
        </w:tc>
        <w:tc>
          <w:tcPr>
            <w:tcW w:w="429" w:type="pct"/>
            <w:shd w:val="clear" w:color="auto" w:fill="auto"/>
            <w:vAlign w:val="center"/>
          </w:tcPr>
          <w:p w14:paraId="7FFAFD60" w14:textId="77777777" w:rsidR="00521A96" w:rsidRPr="00487209" w:rsidRDefault="00521A96" w:rsidP="00521A96">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5C824969" w14:textId="1490D9E1" w:rsidR="00147811" w:rsidRPr="00487209" w:rsidRDefault="00521A96" w:rsidP="00521A96">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05.02.3).(4)</w:t>
            </w:r>
          </w:p>
        </w:tc>
        <w:tc>
          <w:tcPr>
            <w:tcW w:w="1231" w:type="pct"/>
            <w:gridSpan w:val="2"/>
            <w:shd w:val="clear" w:color="auto" w:fill="auto"/>
            <w:vAlign w:val="center"/>
          </w:tcPr>
          <w:p w14:paraId="7D197940" w14:textId="02562EC2" w:rsidR="00147811" w:rsidRPr="00487209" w:rsidRDefault="00521A96" w:rsidP="002E171A">
            <w:pPr>
              <w:ind w:left="718" w:hanging="283"/>
              <w:jc w:val="both"/>
              <w:rPr>
                <w:rFonts w:ascii="Times New Roman" w:hAnsi="Times New Roman" w:cs="Times New Roman"/>
                <w:sz w:val="18"/>
                <w:szCs w:val="18"/>
                <w:lang w:val="sr-Cyrl-CS"/>
              </w:rPr>
            </w:pPr>
            <w:r w:rsidRPr="00487209">
              <w:rPr>
                <w:rFonts w:ascii="Times New Roman" w:hAnsi="Times New Roman" w:cs="Times New Roman"/>
                <w:sz w:val="18"/>
                <w:szCs w:val="18"/>
                <w:lang w:val="sr-Latn-CS"/>
              </w:rPr>
              <w:t xml:space="preserve">(4) </w:t>
            </w:r>
            <w:r w:rsidR="00147811" w:rsidRPr="00487209">
              <w:rPr>
                <w:rFonts w:ascii="Times New Roman" w:hAnsi="Times New Roman" w:cs="Times New Roman"/>
                <w:sz w:val="18"/>
                <w:szCs w:val="18"/>
                <w:lang w:val="sr-Cyrl-CS"/>
              </w:rPr>
              <w:t>испуштања опасних материја у подземне воде, морске воде, површинске воде или тло;</w:t>
            </w:r>
          </w:p>
        </w:tc>
        <w:tc>
          <w:tcPr>
            <w:tcW w:w="458" w:type="pct"/>
            <w:shd w:val="clear" w:color="auto" w:fill="auto"/>
            <w:vAlign w:val="center"/>
          </w:tcPr>
          <w:p w14:paraId="554D74ED"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178B7880"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C9A7627"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51F5CE0" w14:textId="77777777" w:rsidTr="007D5144">
        <w:trPr>
          <w:trHeight w:val="1970"/>
          <w:jc w:val="center"/>
        </w:trPr>
        <w:tc>
          <w:tcPr>
            <w:tcW w:w="435" w:type="pct"/>
            <w:shd w:val="clear" w:color="auto" w:fill="auto"/>
            <w:vAlign w:val="center"/>
          </w:tcPr>
          <w:p w14:paraId="02AACBBE"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ANNEX I</w:t>
            </w:r>
          </w:p>
          <w:p w14:paraId="6D56F324"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3.(e)</w:t>
            </w:r>
          </w:p>
        </w:tc>
        <w:tc>
          <w:tcPr>
            <w:tcW w:w="1369" w:type="pct"/>
            <w:gridSpan w:val="2"/>
            <w:shd w:val="clear" w:color="auto" w:fill="auto"/>
            <w:vAlign w:val="center"/>
          </w:tcPr>
          <w:p w14:paraId="3BBA91FC"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the release of dangerous substances into drinking water or substances which have an otherwise negative impact on drinking water;</w:t>
            </w:r>
          </w:p>
        </w:tc>
        <w:tc>
          <w:tcPr>
            <w:tcW w:w="429" w:type="pct"/>
            <w:shd w:val="clear" w:color="auto" w:fill="auto"/>
            <w:vAlign w:val="center"/>
          </w:tcPr>
          <w:p w14:paraId="22FA1556" w14:textId="77777777" w:rsidR="00521A96" w:rsidRPr="00487209" w:rsidRDefault="00521A96" w:rsidP="00521A96">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4F3921F3" w14:textId="4D739603" w:rsidR="00147811" w:rsidRPr="00487209" w:rsidRDefault="00521A96" w:rsidP="00521A96">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05.02.3).(5)</w:t>
            </w:r>
          </w:p>
        </w:tc>
        <w:tc>
          <w:tcPr>
            <w:tcW w:w="1231" w:type="pct"/>
            <w:gridSpan w:val="2"/>
            <w:shd w:val="clear" w:color="auto" w:fill="auto"/>
            <w:vAlign w:val="center"/>
          </w:tcPr>
          <w:p w14:paraId="4D5AE128" w14:textId="354C09C4" w:rsidR="00147811" w:rsidRPr="00487209" w:rsidRDefault="00521A96" w:rsidP="002E171A">
            <w:pPr>
              <w:ind w:left="718" w:hanging="283"/>
              <w:jc w:val="both"/>
              <w:rPr>
                <w:rFonts w:ascii="Times New Roman" w:hAnsi="Times New Roman" w:cs="Times New Roman"/>
                <w:sz w:val="18"/>
                <w:szCs w:val="18"/>
                <w:lang w:val="sr-Cyrl-CS"/>
              </w:rPr>
            </w:pPr>
            <w:r w:rsidRPr="00487209">
              <w:rPr>
                <w:rFonts w:ascii="Times New Roman" w:hAnsi="Times New Roman" w:cs="Times New Roman"/>
                <w:sz w:val="18"/>
                <w:szCs w:val="18"/>
                <w:lang w:val="sr-Latn-CS"/>
              </w:rPr>
              <w:t xml:space="preserve">(5) </w:t>
            </w:r>
            <w:r w:rsidR="00147811" w:rsidRPr="00487209">
              <w:rPr>
                <w:rFonts w:ascii="Times New Roman" w:hAnsi="Times New Roman" w:cs="Times New Roman"/>
                <w:sz w:val="18"/>
                <w:szCs w:val="18"/>
                <w:lang w:val="sr-Cyrl-CS"/>
              </w:rPr>
              <w:t>испуштања опасних материја у подземне воде, морске воде, површинске воде или тло;</w:t>
            </w:r>
          </w:p>
        </w:tc>
        <w:tc>
          <w:tcPr>
            <w:tcW w:w="458" w:type="pct"/>
            <w:shd w:val="clear" w:color="auto" w:fill="auto"/>
            <w:vAlign w:val="center"/>
          </w:tcPr>
          <w:p w14:paraId="327C88EF"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6E9E04A6"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F254D9D"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43CC0B37" w14:textId="77777777" w:rsidTr="007D5144">
        <w:trPr>
          <w:trHeight w:val="1694"/>
          <w:jc w:val="center"/>
        </w:trPr>
        <w:tc>
          <w:tcPr>
            <w:tcW w:w="435" w:type="pct"/>
            <w:shd w:val="clear" w:color="auto" w:fill="auto"/>
            <w:vAlign w:val="center"/>
          </w:tcPr>
          <w:p w14:paraId="6F3AB2DF"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ANNEX I</w:t>
            </w:r>
          </w:p>
          <w:p w14:paraId="39ED0960"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3.(f)</w:t>
            </w:r>
          </w:p>
        </w:tc>
        <w:tc>
          <w:tcPr>
            <w:tcW w:w="1369" w:type="pct"/>
            <w:gridSpan w:val="2"/>
            <w:shd w:val="clear" w:color="auto" w:fill="auto"/>
            <w:vAlign w:val="center"/>
          </w:tcPr>
          <w:p w14:paraId="558D8529"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faulty discharge of waste water, emission of flue gases or faulty disposal of solid or liquid waste;</w:t>
            </w:r>
          </w:p>
        </w:tc>
        <w:tc>
          <w:tcPr>
            <w:tcW w:w="429" w:type="pct"/>
            <w:shd w:val="clear" w:color="auto" w:fill="auto"/>
            <w:vAlign w:val="center"/>
          </w:tcPr>
          <w:p w14:paraId="2AA273C9" w14:textId="77777777" w:rsidR="00521A96" w:rsidRPr="00487209" w:rsidRDefault="00521A96" w:rsidP="00521A96">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25E38788" w14:textId="6ACD2864" w:rsidR="00147811" w:rsidRPr="00487209" w:rsidRDefault="00521A96" w:rsidP="00521A96">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05.02.3).(6)</w:t>
            </w:r>
          </w:p>
        </w:tc>
        <w:tc>
          <w:tcPr>
            <w:tcW w:w="1231" w:type="pct"/>
            <w:gridSpan w:val="2"/>
            <w:shd w:val="clear" w:color="auto" w:fill="auto"/>
            <w:vAlign w:val="center"/>
          </w:tcPr>
          <w:p w14:paraId="24D32581" w14:textId="324B07E8" w:rsidR="00147811" w:rsidRPr="00487209" w:rsidRDefault="00521A96" w:rsidP="00521A96">
            <w:pPr>
              <w:ind w:left="718" w:hanging="283"/>
              <w:jc w:val="both"/>
              <w:rPr>
                <w:rStyle w:val="FontStyle42"/>
                <w:rFonts w:ascii="Times New Roman" w:hAnsi="Times New Roman" w:cs="Times New Roman"/>
                <w:sz w:val="18"/>
                <w:szCs w:val="18"/>
                <w:lang w:val="sr-Cyrl-CS"/>
              </w:rPr>
            </w:pPr>
            <w:r w:rsidRPr="00487209">
              <w:rPr>
                <w:rFonts w:ascii="Times New Roman" w:hAnsi="Times New Roman" w:cs="Times New Roman"/>
                <w:sz w:val="18"/>
                <w:szCs w:val="18"/>
                <w:lang w:val="sr-Latn-CS"/>
              </w:rPr>
              <w:t xml:space="preserve">(6) </w:t>
            </w:r>
            <w:r w:rsidR="00147811" w:rsidRPr="00487209">
              <w:rPr>
                <w:rFonts w:ascii="Times New Roman" w:hAnsi="Times New Roman" w:cs="Times New Roman"/>
                <w:sz w:val="18"/>
                <w:szCs w:val="18"/>
                <w:lang w:val="sr-Cyrl-CS"/>
              </w:rPr>
              <w:t>неисправног отпуштања отпадних вода, емисије димних гасова или неисправног одлагања чврстог или течног отпада;</w:t>
            </w:r>
          </w:p>
          <w:p w14:paraId="53528913" w14:textId="77777777" w:rsidR="00147811" w:rsidRPr="00487209" w:rsidRDefault="00147811" w:rsidP="00521A96">
            <w:pPr>
              <w:ind w:left="718" w:hanging="283"/>
              <w:jc w:val="center"/>
              <w:rPr>
                <w:rFonts w:ascii="Times New Roman" w:hAnsi="Times New Roman" w:cs="Times New Roman"/>
                <w:sz w:val="18"/>
                <w:szCs w:val="18"/>
                <w:lang w:val="sr-Cyrl-CS"/>
              </w:rPr>
            </w:pPr>
          </w:p>
        </w:tc>
        <w:tc>
          <w:tcPr>
            <w:tcW w:w="458" w:type="pct"/>
            <w:shd w:val="clear" w:color="auto" w:fill="auto"/>
            <w:vAlign w:val="center"/>
          </w:tcPr>
          <w:p w14:paraId="2061751F"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55D6EA38"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0E45CE2"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7E5C858E" w14:textId="77777777" w:rsidTr="007D5144">
        <w:trPr>
          <w:trHeight w:val="1970"/>
          <w:jc w:val="center"/>
        </w:trPr>
        <w:tc>
          <w:tcPr>
            <w:tcW w:w="435" w:type="pct"/>
            <w:shd w:val="clear" w:color="auto" w:fill="auto"/>
            <w:vAlign w:val="center"/>
          </w:tcPr>
          <w:p w14:paraId="05D710E7"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ANNEX I</w:t>
            </w:r>
          </w:p>
          <w:p w14:paraId="26B0322E"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3.(g)</w:t>
            </w:r>
          </w:p>
        </w:tc>
        <w:tc>
          <w:tcPr>
            <w:tcW w:w="1369" w:type="pct"/>
            <w:gridSpan w:val="2"/>
            <w:shd w:val="clear" w:color="auto" w:fill="auto"/>
            <w:vAlign w:val="center"/>
          </w:tcPr>
          <w:p w14:paraId="5081D465"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dampness in parts of the construction works or on surfaces within the construction works.</w:t>
            </w:r>
          </w:p>
        </w:tc>
        <w:tc>
          <w:tcPr>
            <w:tcW w:w="429" w:type="pct"/>
            <w:shd w:val="clear" w:color="auto" w:fill="auto"/>
            <w:vAlign w:val="center"/>
          </w:tcPr>
          <w:p w14:paraId="5317800B" w14:textId="77777777" w:rsidR="00521A96" w:rsidRPr="00487209" w:rsidRDefault="00521A96" w:rsidP="00521A96">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56B9F7FE" w14:textId="6A0E7579" w:rsidR="00147811" w:rsidRPr="00487209" w:rsidRDefault="00521A96" w:rsidP="00521A96">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05.02.3).(7)</w:t>
            </w:r>
          </w:p>
        </w:tc>
        <w:tc>
          <w:tcPr>
            <w:tcW w:w="1231" w:type="pct"/>
            <w:gridSpan w:val="2"/>
            <w:shd w:val="clear" w:color="auto" w:fill="auto"/>
            <w:vAlign w:val="center"/>
          </w:tcPr>
          <w:p w14:paraId="3811968D" w14:textId="1707C1D0" w:rsidR="00147811" w:rsidRPr="00487209" w:rsidRDefault="00521A96" w:rsidP="00B0659E">
            <w:pPr>
              <w:ind w:left="718" w:hanging="283"/>
              <w:jc w:val="both"/>
              <w:rPr>
                <w:rFonts w:ascii="Times New Roman" w:hAnsi="Times New Roman" w:cs="Times New Roman"/>
                <w:sz w:val="18"/>
                <w:szCs w:val="18"/>
                <w:vertAlign w:val="subscript"/>
                <w:lang w:val="sr-Cyrl-CS"/>
              </w:rPr>
            </w:pPr>
            <w:r w:rsidRPr="00487209">
              <w:rPr>
                <w:rFonts w:ascii="Times New Roman" w:hAnsi="Times New Roman" w:cs="Times New Roman"/>
                <w:sz w:val="18"/>
                <w:szCs w:val="18"/>
                <w:lang w:val="sr-Latn-CS"/>
              </w:rPr>
              <w:t xml:space="preserve">(7) </w:t>
            </w:r>
            <w:r w:rsidR="00147811" w:rsidRPr="00487209">
              <w:rPr>
                <w:rFonts w:ascii="Times New Roman" w:hAnsi="Times New Roman" w:cs="Times New Roman"/>
                <w:sz w:val="18"/>
                <w:szCs w:val="18"/>
                <w:lang w:val="sr-Cyrl-CS"/>
              </w:rPr>
              <w:t>влаге у деловима објекта или на површинама у објекту.</w:t>
            </w:r>
          </w:p>
        </w:tc>
        <w:tc>
          <w:tcPr>
            <w:tcW w:w="458" w:type="pct"/>
            <w:shd w:val="clear" w:color="auto" w:fill="auto"/>
            <w:vAlign w:val="center"/>
          </w:tcPr>
          <w:p w14:paraId="15C97DB6"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6DE86477"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07630FA9"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20A699BE" w14:textId="77777777" w:rsidTr="007D5144">
        <w:trPr>
          <w:trHeight w:val="688"/>
          <w:jc w:val="center"/>
        </w:trPr>
        <w:tc>
          <w:tcPr>
            <w:tcW w:w="435" w:type="pct"/>
            <w:shd w:val="clear" w:color="auto" w:fill="auto"/>
            <w:vAlign w:val="center"/>
          </w:tcPr>
          <w:p w14:paraId="3E7C9D82"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ANNEX I</w:t>
            </w:r>
          </w:p>
          <w:p w14:paraId="4DB3670E"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4.</w:t>
            </w:r>
          </w:p>
        </w:tc>
        <w:tc>
          <w:tcPr>
            <w:tcW w:w="1369" w:type="pct"/>
            <w:gridSpan w:val="2"/>
            <w:shd w:val="clear" w:color="auto" w:fill="auto"/>
            <w:vAlign w:val="center"/>
          </w:tcPr>
          <w:p w14:paraId="76857453"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Safety and accessibility in use </w:t>
            </w:r>
          </w:p>
          <w:p w14:paraId="78CC9819"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The construction works must be designed and built in such a way that they do not present unacceptable risks of accidents or damage in </w:t>
            </w:r>
            <w:r w:rsidRPr="00487209">
              <w:rPr>
                <w:rFonts w:ascii="Times New Roman" w:hAnsi="Times New Roman" w:cs="Times New Roman"/>
                <w:sz w:val="18"/>
                <w:szCs w:val="18"/>
                <w:lang w:val="sr-Cyrl-CS"/>
              </w:rPr>
              <w:lastRenderedPageBreak/>
              <w:t>service or in operation such as slipping, falling, collision, burns, electrocution, injury from explosion and burglaries. In particular, construction works must be designed and built taking into consideration accessibility and use for disabled persons.</w:t>
            </w:r>
          </w:p>
          <w:p w14:paraId="5BF3F256" w14:textId="77777777" w:rsidR="00147811" w:rsidRPr="00487209" w:rsidRDefault="00147811" w:rsidP="006C6323">
            <w:pPr>
              <w:jc w:val="both"/>
              <w:rPr>
                <w:rFonts w:ascii="Times New Roman" w:hAnsi="Times New Roman" w:cs="Times New Roman"/>
                <w:sz w:val="18"/>
                <w:szCs w:val="18"/>
                <w:lang w:val="sr-Cyrl-CS"/>
              </w:rPr>
            </w:pPr>
          </w:p>
        </w:tc>
        <w:tc>
          <w:tcPr>
            <w:tcW w:w="429" w:type="pct"/>
            <w:shd w:val="clear" w:color="auto" w:fill="auto"/>
            <w:vAlign w:val="center"/>
          </w:tcPr>
          <w:p w14:paraId="1AF79958" w14:textId="77777777" w:rsidR="00B0659E" w:rsidRPr="00487209" w:rsidRDefault="00B0659E" w:rsidP="00B0659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01</w:t>
            </w:r>
          </w:p>
          <w:p w14:paraId="24452D47" w14:textId="75F17190" w:rsidR="00147811" w:rsidRPr="00487209" w:rsidRDefault="00B0659E" w:rsidP="00B0659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05.02.4)</w:t>
            </w:r>
          </w:p>
        </w:tc>
        <w:tc>
          <w:tcPr>
            <w:tcW w:w="1231" w:type="pct"/>
            <w:gridSpan w:val="2"/>
            <w:shd w:val="clear" w:color="auto" w:fill="auto"/>
            <w:vAlign w:val="center"/>
          </w:tcPr>
          <w:p w14:paraId="36CE8358" w14:textId="09FE564E" w:rsidR="00B0659E" w:rsidRPr="00487209" w:rsidRDefault="00B0659E" w:rsidP="007D5144">
            <w:pPr>
              <w:pStyle w:val="ListParagraph"/>
              <w:numPr>
                <w:ilvl w:val="0"/>
                <w:numId w:val="23"/>
              </w:numPr>
              <w:tabs>
                <w:tab w:val="left" w:pos="292"/>
              </w:tabs>
              <w:spacing w:before="120"/>
              <w:ind w:left="292" w:right="-23" w:hanging="283"/>
              <w:jc w:val="both"/>
              <w:outlineLvl w:val="3"/>
              <w:rPr>
                <w:rFonts w:eastAsia="Batang"/>
                <w:sz w:val="18"/>
                <w:szCs w:val="18"/>
                <w:lang w:eastAsia="ko-KR"/>
              </w:rPr>
            </w:pPr>
            <w:r w:rsidRPr="00487209">
              <w:rPr>
                <w:rFonts w:eastAsia="Batang"/>
                <w:sz w:val="18"/>
                <w:szCs w:val="18"/>
                <w:lang w:eastAsia="ko-KR"/>
              </w:rPr>
              <w:t xml:space="preserve">Безбедност и приступачност приликом употребе, односно објекти морају бити пројектовани и изведени на такав начин да не </w:t>
            </w:r>
            <w:r w:rsidRPr="00487209">
              <w:rPr>
                <w:rFonts w:eastAsia="Batang"/>
                <w:sz w:val="18"/>
                <w:szCs w:val="18"/>
                <w:lang w:eastAsia="ko-KR"/>
              </w:rPr>
              <w:lastRenderedPageBreak/>
              <w:t xml:space="preserve">представљају неприхватљиве ризике од незгода или оштећења током употребе или функционисања као што су клизање, падање, судар, опекотине, електрични удар, повреде од експлозије и провале. Објекти морају бити пројектовани и изведени узимајући нарочито у обзир приступачност и употребу за особе са инвалидитетом. </w:t>
            </w:r>
          </w:p>
          <w:p w14:paraId="20B31722" w14:textId="77777777" w:rsidR="00147811" w:rsidRPr="00487209" w:rsidRDefault="00147811" w:rsidP="006C6323">
            <w:pPr>
              <w:jc w:val="center"/>
              <w:rPr>
                <w:rFonts w:ascii="Times New Roman" w:hAnsi="Times New Roman" w:cs="Times New Roman"/>
                <w:b/>
                <w:sz w:val="18"/>
                <w:szCs w:val="18"/>
                <w:lang w:val="sr-Cyrl-CS"/>
              </w:rPr>
            </w:pPr>
          </w:p>
        </w:tc>
        <w:tc>
          <w:tcPr>
            <w:tcW w:w="458" w:type="pct"/>
            <w:shd w:val="clear" w:color="auto" w:fill="auto"/>
            <w:vAlign w:val="center"/>
          </w:tcPr>
          <w:p w14:paraId="118B3717"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lastRenderedPageBreak/>
              <w:t>ПУ</w:t>
            </w:r>
          </w:p>
        </w:tc>
        <w:tc>
          <w:tcPr>
            <w:tcW w:w="598" w:type="pct"/>
            <w:gridSpan w:val="2"/>
            <w:shd w:val="clear" w:color="auto" w:fill="auto"/>
            <w:vAlign w:val="center"/>
          </w:tcPr>
          <w:p w14:paraId="24CD28A0"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D9C4F99"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012746D8" w14:textId="77777777" w:rsidTr="007D5144">
        <w:trPr>
          <w:trHeight w:val="1970"/>
          <w:jc w:val="center"/>
        </w:trPr>
        <w:tc>
          <w:tcPr>
            <w:tcW w:w="435" w:type="pct"/>
            <w:shd w:val="clear" w:color="auto" w:fill="auto"/>
            <w:vAlign w:val="center"/>
          </w:tcPr>
          <w:p w14:paraId="3264DCED"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I</w:t>
            </w:r>
          </w:p>
          <w:p w14:paraId="627C2DD6"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5.</w:t>
            </w:r>
          </w:p>
        </w:tc>
        <w:tc>
          <w:tcPr>
            <w:tcW w:w="1369" w:type="pct"/>
            <w:gridSpan w:val="2"/>
            <w:shd w:val="clear" w:color="auto" w:fill="auto"/>
            <w:vAlign w:val="center"/>
          </w:tcPr>
          <w:p w14:paraId="50F75E5B"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Protection against noise </w:t>
            </w:r>
          </w:p>
          <w:p w14:paraId="3CEBAD50"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construction works must be designed and built in such a way that noise perceived by the occupants or people nearby is kept to a level that will not threaten their health and will allow them to sleep, rest and work in satisfactory conditions.</w:t>
            </w:r>
          </w:p>
          <w:p w14:paraId="3864B140" w14:textId="77777777" w:rsidR="00147811" w:rsidRPr="00487209" w:rsidRDefault="00147811" w:rsidP="006C6323">
            <w:pPr>
              <w:jc w:val="both"/>
              <w:rPr>
                <w:rFonts w:ascii="Times New Roman" w:hAnsi="Times New Roman" w:cs="Times New Roman"/>
                <w:sz w:val="18"/>
                <w:szCs w:val="18"/>
                <w:lang w:val="sr-Cyrl-CS"/>
              </w:rPr>
            </w:pPr>
          </w:p>
        </w:tc>
        <w:tc>
          <w:tcPr>
            <w:tcW w:w="429" w:type="pct"/>
            <w:shd w:val="clear" w:color="auto" w:fill="auto"/>
            <w:vAlign w:val="center"/>
          </w:tcPr>
          <w:p w14:paraId="541CD72F" w14:textId="77777777" w:rsidR="00B0659E" w:rsidRPr="00487209" w:rsidRDefault="00B0659E" w:rsidP="00B0659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740CA646" w14:textId="7F94BC47" w:rsidR="00147811" w:rsidRPr="00487209" w:rsidRDefault="00B0659E" w:rsidP="00B0659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05.02.</w:t>
            </w:r>
            <w:r w:rsidRPr="00487209">
              <w:rPr>
                <w:rFonts w:ascii="Times New Roman" w:hAnsi="Times New Roman" w:cs="Times New Roman"/>
                <w:sz w:val="18"/>
                <w:szCs w:val="18"/>
                <w:lang w:val="sr-Latn-CS"/>
              </w:rPr>
              <w:t>5</w:t>
            </w:r>
            <w:r w:rsidRPr="00487209">
              <w:rPr>
                <w:rFonts w:ascii="Times New Roman" w:hAnsi="Times New Roman" w:cs="Times New Roman"/>
                <w:sz w:val="18"/>
                <w:szCs w:val="18"/>
                <w:lang w:val="sr-Cyrl-CS"/>
              </w:rPr>
              <w:t>)</w:t>
            </w:r>
          </w:p>
        </w:tc>
        <w:tc>
          <w:tcPr>
            <w:tcW w:w="1231" w:type="pct"/>
            <w:gridSpan w:val="2"/>
            <w:shd w:val="clear" w:color="auto" w:fill="auto"/>
            <w:vAlign w:val="center"/>
          </w:tcPr>
          <w:p w14:paraId="6F872B4C" w14:textId="2B2E28E8" w:rsidR="00B0659E" w:rsidRPr="00487209" w:rsidRDefault="00B0659E" w:rsidP="007D5144">
            <w:pPr>
              <w:pStyle w:val="ListParagraph"/>
              <w:numPr>
                <w:ilvl w:val="0"/>
                <w:numId w:val="23"/>
              </w:numPr>
              <w:spacing w:before="120"/>
              <w:ind w:left="298" w:right="-23" w:hanging="294"/>
              <w:jc w:val="both"/>
              <w:outlineLvl w:val="3"/>
              <w:rPr>
                <w:rFonts w:eastAsia="Batang"/>
                <w:sz w:val="18"/>
                <w:szCs w:val="18"/>
                <w:lang w:eastAsia="ko-KR"/>
              </w:rPr>
            </w:pPr>
            <w:r w:rsidRPr="00487209">
              <w:rPr>
                <w:rFonts w:eastAsia="Batang"/>
                <w:sz w:val="18"/>
                <w:szCs w:val="18"/>
                <w:lang w:eastAsia="ko-KR"/>
              </w:rPr>
              <w:t>Заштита од буке, односно објекти морају бити пројектовани и изведени на такав начин да се бука коју опажају корисници или људи у близини одржава на нивоу на коме није угрожено њихово здравље и при којој могу да спавају, да се одмарају и раде под задовољавајућим условима.</w:t>
            </w:r>
          </w:p>
          <w:p w14:paraId="50F8E5EB"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77993C5D"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4CADAD60"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DE123CD"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609014E9" w14:textId="77777777" w:rsidTr="007D5144">
        <w:trPr>
          <w:trHeight w:val="913"/>
          <w:jc w:val="center"/>
        </w:trPr>
        <w:tc>
          <w:tcPr>
            <w:tcW w:w="435" w:type="pct"/>
            <w:shd w:val="clear" w:color="auto" w:fill="auto"/>
            <w:vAlign w:val="center"/>
          </w:tcPr>
          <w:p w14:paraId="5AD57800"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ANNEX I</w:t>
            </w:r>
          </w:p>
          <w:p w14:paraId="4A69864C"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6.</w:t>
            </w:r>
          </w:p>
        </w:tc>
        <w:tc>
          <w:tcPr>
            <w:tcW w:w="1369" w:type="pct"/>
            <w:gridSpan w:val="2"/>
            <w:shd w:val="clear" w:color="auto" w:fill="auto"/>
            <w:vAlign w:val="center"/>
          </w:tcPr>
          <w:p w14:paraId="4D51DEEF"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Energy economy and heat retention </w:t>
            </w:r>
          </w:p>
          <w:p w14:paraId="58E2620C"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construction works and their heating, cooling, lighting and ventilation installations must be designed and built in such a way that the amount of energy they require in use shall be low, when account is taken of the occupants and of the climatic conditions of the location. Construction works must also be energy-efficient, using as little energy as possible during their construction and dismantling.</w:t>
            </w:r>
          </w:p>
          <w:p w14:paraId="7FD83D6C" w14:textId="77777777" w:rsidR="00147811" w:rsidRPr="00487209" w:rsidRDefault="00147811" w:rsidP="006C6323">
            <w:pPr>
              <w:jc w:val="both"/>
              <w:rPr>
                <w:rFonts w:ascii="Times New Roman" w:hAnsi="Times New Roman" w:cs="Times New Roman"/>
                <w:sz w:val="18"/>
                <w:szCs w:val="18"/>
                <w:lang w:val="sr-Cyrl-CS"/>
              </w:rPr>
            </w:pPr>
          </w:p>
        </w:tc>
        <w:tc>
          <w:tcPr>
            <w:tcW w:w="429" w:type="pct"/>
            <w:shd w:val="clear" w:color="auto" w:fill="auto"/>
            <w:vAlign w:val="center"/>
          </w:tcPr>
          <w:p w14:paraId="1DB0A4E3" w14:textId="77777777" w:rsidR="00B0659E" w:rsidRPr="00487209" w:rsidRDefault="00B0659E" w:rsidP="00B0659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52E44E09" w14:textId="3B28D9E9" w:rsidR="00147811" w:rsidRPr="00487209" w:rsidRDefault="00B0659E" w:rsidP="00B0659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05.02</w:t>
            </w:r>
            <w:r w:rsidRPr="00487209">
              <w:rPr>
                <w:rFonts w:ascii="Times New Roman" w:hAnsi="Times New Roman" w:cs="Times New Roman"/>
                <w:sz w:val="18"/>
                <w:szCs w:val="18"/>
                <w:lang w:val="sr-Latn-CS"/>
              </w:rPr>
              <w:t>.6</w:t>
            </w:r>
            <w:r w:rsidRPr="00487209">
              <w:rPr>
                <w:rFonts w:ascii="Times New Roman" w:hAnsi="Times New Roman" w:cs="Times New Roman"/>
                <w:sz w:val="18"/>
                <w:szCs w:val="18"/>
                <w:lang w:val="sr-Cyrl-CS"/>
              </w:rPr>
              <w:t>)</w:t>
            </w:r>
          </w:p>
        </w:tc>
        <w:tc>
          <w:tcPr>
            <w:tcW w:w="1231" w:type="pct"/>
            <w:gridSpan w:val="2"/>
            <w:shd w:val="clear" w:color="auto" w:fill="auto"/>
            <w:vAlign w:val="center"/>
          </w:tcPr>
          <w:p w14:paraId="5BFFC862" w14:textId="606BA9C4" w:rsidR="00B0659E" w:rsidRPr="00487209" w:rsidRDefault="00B0659E" w:rsidP="007D5144">
            <w:pPr>
              <w:pStyle w:val="ListParagraph"/>
              <w:numPr>
                <w:ilvl w:val="0"/>
                <w:numId w:val="23"/>
              </w:numPr>
              <w:spacing w:before="120"/>
              <w:ind w:left="284" w:right="-23" w:hanging="284"/>
              <w:jc w:val="both"/>
              <w:outlineLvl w:val="3"/>
              <w:rPr>
                <w:rFonts w:eastAsia="Batang"/>
                <w:sz w:val="18"/>
                <w:szCs w:val="18"/>
                <w:lang w:eastAsia="ko-KR"/>
              </w:rPr>
            </w:pPr>
            <w:r w:rsidRPr="00487209">
              <w:rPr>
                <w:rFonts w:eastAsia="Batang"/>
                <w:sz w:val="18"/>
                <w:szCs w:val="18"/>
                <w:lang w:eastAsia="ko-KR"/>
              </w:rPr>
              <w:t>Уштеда енергије и задржавање топлоте, односно објекти и њихове инсталације за грејање, хлађење, осветљење и вентилацију морају бити пројектовани и изведени на такав начин да количина енергије коју захтевају током коришћења буде ниска, када се узму у обзир корисници и климатски услови локације. Објекти</w:t>
            </w:r>
            <w:r w:rsidRPr="00487209">
              <w:rPr>
                <w:rFonts w:eastAsia="Batang"/>
                <w:sz w:val="18"/>
                <w:szCs w:val="18"/>
                <w:lang w:val="en-US" w:eastAsia="ko-KR"/>
              </w:rPr>
              <w:t>,</w:t>
            </w:r>
            <w:r w:rsidRPr="00487209">
              <w:rPr>
                <w:rFonts w:eastAsia="Batang"/>
                <w:sz w:val="18"/>
                <w:szCs w:val="18"/>
                <w:lang w:eastAsia="ko-KR"/>
              </w:rPr>
              <w:t xml:space="preserve"> такође</w:t>
            </w:r>
            <w:r w:rsidRPr="00487209">
              <w:rPr>
                <w:rFonts w:eastAsia="Batang"/>
                <w:sz w:val="18"/>
                <w:szCs w:val="18"/>
                <w:lang w:val="en-US" w:eastAsia="ko-KR"/>
              </w:rPr>
              <w:t>,</w:t>
            </w:r>
            <w:r w:rsidRPr="00487209">
              <w:rPr>
                <w:rFonts w:eastAsia="Batang"/>
                <w:sz w:val="18"/>
                <w:szCs w:val="18"/>
                <w:lang w:eastAsia="ko-KR"/>
              </w:rPr>
              <w:t xml:space="preserve"> морају бити енергетски ефикасни, уз коришћење што је могуће мање енергије током изградње и рушења. </w:t>
            </w:r>
          </w:p>
          <w:p w14:paraId="29E37CE3" w14:textId="77777777" w:rsidR="00147811" w:rsidRPr="00487209" w:rsidRDefault="00147811" w:rsidP="006C6323">
            <w:pPr>
              <w:jc w:val="both"/>
              <w:rPr>
                <w:rFonts w:ascii="Times New Roman" w:hAnsi="Times New Roman" w:cs="Times New Roman"/>
                <w:sz w:val="18"/>
                <w:szCs w:val="18"/>
                <w:lang w:val="sr-Cyrl-CS"/>
              </w:rPr>
            </w:pPr>
          </w:p>
        </w:tc>
        <w:tc>
          <w:tcPr>
            <w:tcW w:w="458" w:type="pct"/>
            <w:shd w:val="clear" w:color="auto" w:fill="auto"/>
            <w:vAlign w:val="center"/>
          </w:tcPr>
          <w:p w14:paraId="173ACEE2"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461F7357"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F98B622"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6E54FB59" w14:textId="77777777" w:rsidTr="007D5144">
        <w:trPr>
          <w:trHeight w:val="913"/>
          <w:jc w:val="center"/>
        </w:trPr>
        <w:tc>
          <w:tcPr>
            <w:tcW w:w="435" w:type="pct"/>
            <w:shd w:val="clear" w:color="auto" w:fill="auto"/>
            <w:vAlign w:val="center"/>
          </w:tcPr>
          <w:p w14:paraId="127F1154"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I</w:t>
            </w:r>
          </w:p>
          <w:p w14:paraId="2FC87F76"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7.(a)</w:t>
            </w:r>
          </w:p>
        </w:tc>
        <w:tc>
          <w:tcPr>
            <w:tcW w:w="1369" w:type="pct"/>
            <w:gridSpan w:val="2"/>
            <w:shd w:val="clear" w:color="auto" w:fill="auto"/>
            <w:vAlign w:val="center"/>
          </w:tcPr>
          <w:p w14:paraId="39CE9155"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Sustainable use of natural resources </w:t>
            </w:r>
          </w:p>
          <w:p w14:paraId="44AA3DF3"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construction works must be designed, built and demolished in such a way that the use of natural resources is sustainable and in particular ensure the following:</w:t>
            </w:r>
          </w:p>
          <w:p w14:paraId="52176579"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reuse or recyclability of the construction works, their materials and parts after demolition;</w:t>
            </w:r>
          </w:p>
          <w:p w14:paraId="669CB6C2" w14:textId="77777777" w:rsidR="00147811" w:rsidRPr="00487209" w:rsidRDefault="00147811" w:rsidP="006C6323">
            <w:pPr>
              <w:jc w:val="both"/>
              <w:rPr>
                <w:rFonts w:ascii="Times New Roman" w:hAnsi="Times New Roman" w:cs="Times New Roman"/>
                <w:sz w:val="18"/>
                <w:szCs w:val="18"/>
                <w:lang w:val="sr-Cyrl-CS"/>
              </w:rPr>
            </w:pPr>
          </w:p>
        </w:tc>
        <w:tc>
          <w:tcPr>
            <w:tcW w:w="429" w:type="pct"/>
            <w:shd w:val="clear" w:color="auto" w:fill="auto"/>
            <w:vAlign w:val="center"/>
          </w:tcPr>
          <w:p w14:paraId="6F3374D6" w14:textId="77777777" w:rsidR="00B0659E" w:rsidRPr="00487209" w:rsidRDefault="00B0659E" w:rsidP="00B0659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4533D881" w14:textId="6DDB06E5" w:rsidR="00147811" w:rsidRPr="00487209" w:rsidRDefault="00B0659E" w:rsidP="00B0659E">
            <w:pPr>
              <w:spacing w:before="120" w:after="120"/>
              <w:ind w:firstLine="5"/>
              <w:jc w:val="center"/>
              <w:rPr>
                <w:rFonts w:ascii="Times New Roman" w:hAnsi="Times New Roman" w:cs="Times New Roman"/>
                <w:sz w:val="18"/>
                <w:szCs w:val="18"/>
                <w:lang w:val="sr-Latn-CS"/>
              </w:rPr>
            </w:pPr>
            <w:r w:rsidRPr="00487209">
              <w:rPr>
                <w:rFonts w:ascii="Times New Roman" w:hAnsi="Times New Roman" w:cs="Times New Roman"/>
                <w:sz w:val="18"/>
                <w:szCs w:val="18"/>
                <w:lang w:val="sr-Cyrl-CS"/>
              </w:rPr>
              <w:t>05.02.</w:t>
            </w:r>
            <w:r w:rsidRPr="00487209">
              <w:rPr>
                <w:rFonts w:ascii="Times New Roman" w:hAnsi="Times New Roman" w:cs="Times New Roman"/>
                <w:sz w:val="18"/>
                <w:szCs w:val="18"/>
                <w:lang w:val="sr-Latn-CS"/>
              </w:rPr>
              <w:t>7</w:t>
            </w:r>
            <w:r w:rsidRPr="00487209">
              <w:rPr>
                <w:rFonts w:ascii="Times New Roman" w:hAnsi="Times New Roman" w:cs="Times New Roman"/>
                <w:sz w:val="18"/>
                <w:szCs w:val="18"/>
                <w:lang w:val="sr-Cyrl-CS"/>
              </w:rPr>
              <w:t>)</w:t>
            </w:r>
            <w:r w:rsidR="000400AE" w:rsidRPr="00487209">
              <w:rPr>
                <w:rFonts w:ascii="Times New Roman" w:hAnsi="Times New Roman" w:cs="Times New Roman"/>
                <w:sz w:val="18"/>
                <w:szCs w:val="18"/>
                <w:lang w:val="sr-Latn-CS"/>
              </w:rPr>
              <w:t>.(1)</w:t>
            </w:r>
          </w:p>
        </w:tc>
        <w:tc>
          <w:tcPr>
            <w:tcW w:w="1231" w:type="pct"/>
            <w:gridSpan w:val="2"/>
            <w:shd w:val="clear" w:color="auto" w:fill="auto"/>
            <w:vAlign w:val="center"/>
          </w:tcPr>
          <w:p w14:paraId="1B34A47A" w14:textId="3C82A5B1" w:rsidR="000400AE" w:rsidRPr="007D5144" w:rsidRDefault="000400AE" w:rsidP="007D5144">
            <w:pPr>
              <w:pStyle w:val="ListParagraph"/>
              <w:numPr>
                <w:ilvl w:val="0"/>
                <w:numId w:val="23"/>
              </w:numPr>
              <w:spacing w:before="120"/>
              <w:ind w:left="228" w:right="-23" w:hanging="228"/>
              <w:jc w:val="both"/>
              <w:outlineLvl w:val="3"/>
              <w:rPr>
                <w:rFonts w:eastAsia="Batang"/>
                <w:sz w:val="18"/>
                <w:szCs w:val="18"/>
                <w:lang w:eastAsia="ko-KR"/>
              </w:rPr>
            </w:pPr>
            <w:r w:rsidRPr="007D5144">
              <w:rPr>
                <w:rFonts w:eastAsia="Batang"/>
                <w:sz w:val="18"/>
                <w:szCs w:val="18"/>
                <w:lang w:eastAsia="ko-KR"/>
              </w:rPr>
              <w:t>Одрживо коришћење природних ресурса, односно објекти морају бити пројектовани, изведени и срушени на такав начин да је употреба природних ресурса одржива, а нарочито да се обезбеди:</w:t>
            </w:r>
          </w:p>
          <w:p w14:paraId="45497CB6" w14:textId="6E0F8D79" w:rsidR="00147811" w:rsidRPr="007D5144" w:rsidRDefault="000400AE" w:rsidP="007D5144">
            <w:pPr>
              <w:pStyle w:val="ListParagraph"/>
              <w:numPr>
                <w:ilvl w:val="0"/>
                <w:numId w:val="95"/>
              </w:numPr>
              <w:spacing w:before="120"/>
              <w:ind w:left="746" w:right="-23" w:hanging="284"/>
              <w:jc w:val="both"/>
              <w:rPr>
                <w:rFonts w:eastAsia="Batang"/>
                <w:sz w:val="18"/>
                <w:szCs w:val="18"/>
                <w:lang w:eastAsia="ko-KR"/>
              </w:rPr>
            </w:pPr>
            <w:r w:rsidRPr="007D5144">
              <w:rPr>
                <w:rFonts w:eastAsia="Batang"/>
                <w:sz w:val="18"/>
                <w:szCs w:val="18"/>
                <w:lang w:eastAsia="ko-KR"/>
              </w:rPr>
              <w:t>поновна употреба или могућност рециклаже објеката, његових материјала и делова након рушења;</w:t>
            </w:r>
          </w:p>
        </w:tc>
        <w:tc>
          <w:tcPr>
            <w:tcW w:w="458" w:type="pct"/>
            <w:shd w:val="clear" w:color="auto" w:fill="auto"/>
            <w:vAlign w:val="center"/>
          </w:tcPr>
          <w:p w14:paraId="2F423061"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1946C00C"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4A4258C9"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33A36285" w14:textId="77777777" w:rsidTr="007D5144">
        <w:trPr>
          <w:trHeight w:val="1970"/>
          <w:jc w:val="center"/>
        </w:trPr>
        <w:tc>
          <w:tcPr>
            <w:tcW w:w="435" w:type="pct"/>
            <w:shd w:val="clear" w:color="auto" w:fill="auto"/>
            <w:vAlign w:val="center"/>
          </w:tcPr>
          <w:p w14:paraId="4D3B677D"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ANNEX I</w:t>
            </w:r>
          </w:p>
          <w:p w14:paraId="7AFDFE73"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7.(b)</w:t>
            </w:r>
          </w:p>
        </w:tc>
        <w:tc>
          <w:tcPr>
            <w:tcW w:w="1369" w:type="pct"/>
            <w:gridSpan w:val="2"/>
            <w:shd w:val="clear" w:color="auto" w:fill="auto"/>
            <w:vAlign w:val="center"/>
          </w:tcPr>
          <w:p w14:paraId="7D176C06"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durability of the construction works;</w:t>
            </w:r>
          </w:p>
        </w:tc>
        <w:tc>
          <w:tcPr>
            <w:tcW w:w="429" w:type="pct"/>
            <w:shd w:val="clear" w:color="auto" w:fill="auto"/>
            <w:vAlign w:val="center"/>
          </w:tcPr>
          <w:p w14:paraId="022C5EF5" w14:textId="77777777" w:rsidR="000400AE" w:rsidRPr="00487209" w:rsidRDefault="000400AE" w:rsidP="000400A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12F377CE" w14:textId="191547A9" w:rsidR="00147811" w:rsidRPr="00487209" w:rsidRDefault="000400AE" w:rsidP="007270D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05.02.</w:t>
            </w:r>
            <w:r w:rsidRPr="00487209">
              <w:rPr>
                <w:rFonts w:ascii="Times New Roman" w:hAnsi="Times New Roman" w:cs="Times New Roman"/>
                <w:sz w:val="18"/>
                <w:szCs w:val="18"/>
                <w:lang w:val="sr-Latn-CS"/>
              </w:rPr>
              <w:t>7</w:t>
            </w:r>
            <w:r w:rsidRPr="00487209">
              <w:rPr>
                <w:rFonts w:ascii="Times New Roman" w:hAnsi="Times New Roman" w:cs="Times New Roman"/>
                <w:sz w:val="18"/>
                <w:szCs w:val="18"/>
                <w:lang w:val="sr-Cyrl-CS"/>
              </w:rPr>
              <w:t>)</w:t>
            </w:r>
            <w:r w:rsidRPr="00487209">
              <w:rPr>
                <w:rFonts w:ascii="Times New Roman" w:hAnsi="Times New Roman" w:cs="Times New Roman"/>
                <w:sz w:val="18"/>
                <w:szCs w:val="18"/>
                <w:lang w:val="sr-Latn-CS"/>
              </w:rPr>
              <w:t>.(</w:t>
            </w:r>
            <w:r w:rsidR="007270DE" w:rsidRPr="00487209">
              <w:rPr>
                <w:rFonts w:ascii="Times New Roman" w:hAnsi="Times New Roman" w:cs="Times New Roman"/>
                <w:sz w:val="18"/>
                <w:szCs w:val="18"/>
                <w:lang w:val="sr-Latn-CS"/>
              </w:rPr>
              <w:t>2</w:t>
            </w:r>
            <w:r w:rsidRPr="00487209">
              <w:rPr>
                <w:rFonts w:ascii="Times New Roman" w:hAnsi="Times New Roman" w:cs="Times New Roman"/>
                <w:sz w:val="18"/>
                <w:szCs w:val="18"/>
                <w:lang w:val="sr-Latn-CS"/>
              </w:rPr>
              <w:t>)</w:t>
            </w:r>
          </w:p>
        </w:tc>
        <w:tc>
          <w:tcPr>
            <w:tcW w:w="1231" w:type="pct"/>
            <w:gridSpan w:val="2"/>
            <w:shd w:val="clear" w:color="auto" w:fill="auto"/>
            <w:vAlign w:val="center"/>
          </w:tcPr>
          <w:p w14:paraId="5979F4CC" w14:textId="2AA0284D" w:rsidR="00147811" w:rsidRPr="00487209" w:rsidRDefault="000400AE" w:rsidP="000400AE">
            <w:pPr>
              <w:tabs>
                <w:tab w:val="left" w:pos="494"/>
              </w:tabs>
              <w:spacing w:before="120"/>
              <w:ind w:left="447" w:right="-23"/>
              <w:jc w:val="both"/>
              <w:rPr>
                <w:rFonts w:ascii="Times New Roman" w:eastAsia="Batang" w:hAnsi="Times New Roman" w:cs="Times New Roman"/>
                <w:sz w:val="18"/>
                <w:szCs w:val="18"/>
                <w:lang w:eastAsia="ko-KR"/>
              </w:rPr>
            </w:pPr>
            <w:r w:rsidRPr="00487209">
              <w:rPr>
                <w:rFonts w:ascii="Times New Roman" w:eastAsia="Batang" w:hAnsi="Times New Roman" w:cs="Times New Roman"/>
                <w:sz w:val="18"/>
                <w:szCs w:val="18"/>
                <w:lang w:eastAsia="ko-KR"/>
              </w:rPr>
              <w:t>(2) трајност објекта;</w:t>
            </w:r>
          </w:p>
        </w:tc>
        <w:tc>
          <w:tcPr>
            <w:tcW w:w="458" w:type="pct"/>
            <w:shd w:val="clear" w:color="auto" w:fill="auto"/>
            <w:vAlign w:val="center"/>
          </w:tcPr>
          <w:p w14:paraId="36B109BB"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40CF19AF"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41924BD"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69C45BE3" w14:textId="77777777" w:rsidTr="007D5144">
        <w:trPr>
          <w:trHeight w:val="1970"/>
          <w:jc w:val="center"/>
        </w:trPr>
        <w:tc>
          <w:tcPr>
            <w:tcW w:w="435" w:type="pct"/>
            <w:shd w:val="clear" w:color="auto" w:fill="auto"/>
            <w:vAlign w:val="center"/>
          </w:tcPr>
          <w:p w14:paraId="1E074576"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ANNEX I</w:t>
            </w:r>
          </w:p>
          <w:p w14:paraId="18007BBD"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7.(c)</w:t>
            </w:r>
          </w:p>
        </w:tc>
        <w:tc>
          <w:tcPr>
            <w:tcW w:w="1369" w:type="pct"/>
            <w:gridSpan w:val="2"/>
            <w:shd w:val="clear" w:color="auto" w:fill="auto"/>
            <w:vAlign w:val="center"/>
          </w:tcPr>
          <w:p w14:paraId="6597BA27"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use of environmentally compatible raw and secondary materials in the construction works.</w:t>
            </w:r>
          </w:p>
        </w:tc>
        <w:tc>
          <w:tcPr>
            <w:tcW w:w="429" w:type="pct"/>
            <w:shd w:val="clear" w:color="auto" w:fill="auto"/>
            <w:vAlign w:val="center"/>
          </w:tcPr>
          <w:p w14:paraId="1C44E3DF" w14:textId="77777777" w:rsidR="000400AE" w:rsidRPr="00487209" w:rsidRDefault="000400AE" w:rsidP="000400A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4B375307" w14:textId="257B01D9" w:rsidR="00147811" w:rsidRPr="00487209" w:rsidRDefault="000400AE" w:rsidP="007270D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sr-Cyrl-CS"/>
              </w:rPr>
              <w:t>05.02.</w:t>
            </w:r>
            <w:r w:rsidRPr="00487209">
              <w:rPr>
                <w:rFonts w:ascii="Times New Roman" w:hAnsi="Times New Roman" w:cs="Times New Roman"/>
                <w:sz w:val="18"/>
                <w:szCs w:val="18"/>
                <w:lang w:val="sr-Latn-CS"/>
              </w:rPr>
              <w:t>7</w:t>
            </w:r>
            <w:r w:rsidRPr="00487209">
              <w:rPr>
                <w:rFonts w:ascii="Times New Roman" w:hAnsi="Times New Roman" w:cs="Times New Roman"/>
                <w:sz w:val="18"/>
                <w:szCs w:val="18"/>
                <w:lang w:val="sr-Cyrl-CS"/>
              </w:rPr>
              <w:t>)</w:t>
            </w:r>
            <w:r w:rsidRPr="00487209">
              <w:rPr>
                <w:rFonts w:ascii="Times New Roman" w:hAnsi="Times New Roman" w:cs="Times New Roman"/>
                <w:sz w:val="18"/>
                <w:szCs w:val="18"/>
                <w:lang w:val="sr-Latn-CS"/>
              </w:rPr>
              <w:t>.(</w:t>
            </w:r>
            <w:r w:rsidR="007270DE" w:rsidRPr="00487209">
              <w:rPr>
                <w:rFonts w:ascii="Times New Roman" w:hAnsi="Times New Roman" w:cs="Times New Roman"/>
                <w:sz w:val="18"/>
                <w:szCs w:val="18"/>
                <w:lang w:val="sr-Latn-CS"/>
              </w:rPr>
              <w:t>3</w:t>
            </w:r>
            <w:r w:rsidRPr="00487209">
              <w:rPr>
                <w:rFonts w:ascii="Times New Roman" w:hAnsi="Times New Roman" w:cs="Times New Roman"/>
                <w:sz w:val="18"/>
                <w:szCs w:val="18"/>
                <w:lang w:val="sr-Latn-CS"/>
              </w:rPr>
              <w:t>)</w:t>
            </w:r>
          </w:p>
        </w:tc>
        <w:tc>
          <w:tcPr>
            <w:tcW w:w="1231" w:type="pct"/>
            <w:gridSpan w:val="2"/>
            <w:shd w:val="clear" w:color="auto" w:fill="auto"/>
            <w:vAlign w:val="center"/>
          </w:tcPr>
          <w:p w14:paraId="43BE7052" w14:textId="37D8656A" w:rsidR="000400AE" w:rsidRPr="00487209" w:rsidRDefault="000400AE" w:rsidP="000400AE">
            <w:pPr>
              <w:spacing w:before="120"/>
              <w:ind w:left="704" w:right="-23" w:hanging="270"/>
              <w:jc w:val="both"/>
              <w:rPr>
                <w:rFonts w:ascii="Times New Roman" w:eastAsia="Batang" w:hAnsi="Times New Roman" w:cs="Times New Roman"/>
                <w:sz w:val="18"/>
                <w:szCs w:val="18"/>
                <w:lang w:val="sr-Latn-BA" w:eastAsia="ko-KR"/>
              </w:rPr>
            </w:pPr>
            <w:r w:rsidRPr="00487209">
              <w:rPr>
                <w:rFonts w:ascii="Times New Roman" w:eastAsia="Batang" w:hAnsi="Times New Roman" w:cs="Times New Roman"/>
                <w:sz w:val="18"/>
                <w:szCs w:val="18"/>
                <w:lang w:eastAsia="ko-KR"/>
              </w:rPr>
              <w:t>(3) коришћење сировина и секундарних материјала у објекту, који су погодни за животну средину.</w:t>
            </w:r>
          </w:p>
          <w:p w14:paraId="5508A2FE" w14:textId="77777777" w:rsidR="00147811" w:rsidRPr="00487209" w:rsidRDefault="00147811" w:rsidP="000400AE">
            <w:pPr>
              <w:jc w:val="both"/>
              <w:rPr>
                <w:rFonts w:ascii="Times New Roman" w:hAnsi="Times New Roman" w:cs="Times New Roman"/>
                <w:sz w:val="18"/>
                <w:szCs w:val="18"/>
                <w:lang w:val="sr-Cyrl-CS"/>
              </w:rPr>
            </w:pPr>
          </w:p>
        </w:tc>
        <w:tc>
          <w:tcPr>
            <w:tcW w:w="458" w:type="pct"/>
            <w:shd w:val="clear" w:color="auto" w:fill="auto"/>
            <w:vAlign w:val="center"/>
          </w:tcPr>
          <w:p w14:paraId="4761DD23"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ПУ</w:t>
            </w:r>
          </w:p>
        </w:tc>
        <w:tc>
          <w:tcPr>
            <w:tcW w:w="598" w:type="pct"/>
            <w:gridSpan w:val="2"/>
            <w:shd w:val="clear" w:color="auto" w:fill="auto"/>
            <w:vAlign w:val="center"/>
          </w:tcPr>
          <w:p w14:paraId="106D7304"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1E21820"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0B8138B" w14:textId="77777777" w:rsidTr="007D5144">
        <w:trPr>
          <w:trHeight w:val="1970"/>
          <w:jc w:val="center"/>
        </w:trPr>
        <w:tc>
          <w:tcPr>
            <w:tcW w:w="435" w:type="pct"/>
            <w:shd w:val="clear" w:color="auto" w:fill="auto"/>
            <w:vAlign w:val="center"/>
          </w:tcPr>
          <w:p w14:paraId="2D06129F" w14:textId="77777777" w:rsidR="00147811" w:rsidRPr="00487209" w:rsidRDefault="00147811" w:rsidP="006C6323">
            <w:pPr>
              <w:jc w:val="center"/>
              <w:rPr>
                <w:rFonts w:ascii="Times New Roman" w:hAnsi="Times New Roman" w:cs="Times New Roman"/>
                <w:i/>
                <w:sz w:val="18"/>
                <w:szCs w:val="18"/>
              </w:rPr>
            </w:pPr>
            <w:r w:rsidRPr="00487209">
              <w:rPr>
                <w:rFonts w:ascii="Times New Roman" w:hAnsi="Times New Roman" w:cs="Times New Roman"/>
                <w:sz w:val="18"/>
                <w:szCs w:val="18"/>
              </w:rPr>
              <w:t>ANNEX II</w:t>
            </w:r>
          </w:p>
          <w:p w14:paraId="5D051A9A"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1.</w:t>
            </w:r>
          </w:p>
        </w:tc>
        <w:tc>
          <w:tcPr>
            <w:tcW w:w="1369" w:type="pct"/>
            <w:gridSpan w:val="2"/>
            <w:shd w:val="clear" w:color="auto" w:fill="auto"/>
            <w:vAlign w:val="center"/>
          </w:tcPr>
          <w:p w14:paraId="27DA72AB" w14:textId="77777777" w:rsidR="00147811" w:rsidRPr="00487209" w:rsidRDefault="00147811" w:rsidP="006C6323">
            <w:pPr>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PROCEDURE FOR ADOPTING A EUROPEAN ASSESSMENT DOCUMENT </w:t>
            </w:r>
          </w:p>
          <w:p w14:paraId="026DD31B" w14:textId="77777777" w:rsidR="00147811" w:rsidRPr="00487209" w:rsidRDefault="00147811" w:rsidP="006C6323">
            <w:pPr>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1.   Request for a European Technical Assessment </w:t>
            </w:r>
          </w:p>
          <w:p w14:paraId="4A486323" w14:textId="77777777" w:rsidR="00147811" w:rsidRPr="00487209" w:rsidRDefault="00147811" w:rsidP="006C6323">
            <w:pPr>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When a manufacturer makes a request for a European Technical Assessment to any TAB for a construction product, and after the manufacturer and the TAB (hereinafter referred to as the ‘responsible TAB’) have signed an agreement of commercial secrecy and confidentiality, unless the manufacturer </w:t>
            </w:r>
            <w:r w:rsidRPr="00487209">
              <w:rPr>
                <w:rFonts w:ascii="Times New Roman" w:hAnsi="Times New Roman" w:cs="Times New Roman"/>
                <w:sz w:val="18"/>
                <w:szCs w:val="18"/>
                <w:lang w:val="sr-Cyrl-CS"/>
              </w:rPr>
              <w:lastRenderedPageBreak/>
              <w:t>decides otherwise, the manufacturer shall submit to the responsible TAB a technical file describing the product, its use as foreseen by the manufacturer and details of the factory production control the manufacturer intends to apply.</w:t>
            </w:r>
          </w:p>
        </w:tc>
        <w:tc>
          <w:tcPr>
            <w:tcW w:w="429" w:type="pct"/>
            <w:shd w:val="clear" w:color="auto" w:fill="auto"/>
            <w:vAlign w:val="center"/>
          </w:tcPr>
          <w:p w14:paraId="0C9892CF" w14:textId="77777777" w:rsidR="00147811" w:rsidRPr="00487209" w:rsidRDefault="00147811" w:rsidP="00113B29">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4B604587"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475823DC" w14:textId="6A714C77" w:rsidR="00147811" w:rsidRPr="00487209" w:rsidRDefault="00993219"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НП</w:t>
            </w:r>
          </w:p>
        </w:tc>
        <w:tc>
          <w:tcPr>
            <w:tcW w:w="598" w:type="pct"/>
            <w:gridSpan w:val="2"/>
            <w:shd w:val="clear" w:color="auto" w:fill="auto"/>
            <w:vAlign w:val="center"/>
          </w:tcPr>
          <w:p w14:paraId="1B648445" w14:textId="3BD0606A" w:rsidR="00147811" w:rsidRPr="00487209" w:rsidRDefault="00A43D0A" w:rsidP="00A43D0A">
            <w:pPr>
              <w:spacing w:before="120" w:after="120"/>
              <w:ind w:firstLine="21"/>
              <w:jc w:val="both"/>
              <w:rPr>
                <w:rFonts w:ascii="Times New Roman" w:hAnsi="Times New Roman" w:cs="Times New Roman"/>
                <w:b/>
                <w:sz w:val="18"/>
                <w:szCs w:val="18"/>
                <w:lang w:val="ru-RU"/>
              </w:rPr>
            </w:pPr>
            <w:r w:rsidRPr="00487209">
              <w:rPr>
                <w:rFonts w:ascii="Times New Roman" w:hAnsi="Times New Roman" w:cs="Times New Roman"/>
                <w:sz w:val="18"/>
                <w:szCs w:val="18"/>
                <w:lang w:val="ru-RU"/>
              </w:rPr>
              <w:t>Т</w:t>
            </w:r>
            <w:r w:rsidR="001625B5">
              <w:rPr>
                <w:rFonts w:ascii="Times New Roman" w:hAnsi="Times New Roman" w:cs="Times New Roman"/>
                <w:sz w:val="18"/>
                <w:szCs w:val="18"/>
                <w:lang w:val="ru-RU"/>
              </w:rPr>
              <w:t>а</w:t>
            </w:r>
            <w:r w:rsidRPr="00487209">
              <w:rPr>
                <w:rFonts w:ascii="Times New Roman" w:hAnsi="Times New Roman" w:cs="Times New Roman"/>
                <w:sz w:val="18"/>
                <w:szCs w:val="18"/>
                <w:lang w:val="ru-RU"/>
              </w:rPr>
              <w:t>ч</w:t>
            </w:r>
            <w:r w:rsidR="00B6446C">
              <w:rPr>
                <w:rFonts w:ascii="Times New Roman" w:hAnsi="Times New Roman" w:cs="Times New Roman"/>
                <w:sz w:val="18"/>
                <w:szCs w:val="18"/>
                <w:lang w:val="ru-RU"/>
              </w:rPr>
              <w:t>ка</w:t>
            </w:r>
            <w:r w:rsidRPr="00487209">
              <w:rPr>
                <w:rFonts w:ascii="Times New Roman" w:hAnsi="Times New Roman" w:cs="Times New Roman"/>
                <w:sz w:val="18"/>
                <w:szCs w:val="18"/>
                <w:lang w:val="ru-RU"/>
              </w:rPr>
              <w:t xml:space="preserve"> 1. Анекса </w:t>
            </w:r>
            <w:r w:rsidRPr="00487209">
              <w:rPr>
                <w:rFonts w:ascii="Times New Roman" w:hAnsi="Times New Roman" w:cs="Times New Roman"/>
                <w:sz w:val="18"/>
                <w:szCs w:val="18"/>
              </w:rPr>
              <w:t>II</w:t>
            </w:r>
            <w:r w:rsidRPr="00487209">
              <w:rPr>
                <w:rFonts w:ascii="Times New Roman" w:hAnsi="Times New Roman" w:cs="Times New Roman"/>
                <w:sz w:val="18"/>
                <w:szCs w:val="18"/>
                <w:lang w:val="sr-Cyrl-CS"/>
              </w:rPr>
              <w:t xml:space="preserve"> Уредбе 305/2011 (ЕУ) није пренет</w:t>
            </w:r>
            <w:r w:rsidR="00CC5598">
              <w:rPr>
                <w:rFonts w:ascii="Times New Roman" w:hAnsi="Times New Roman" w:cs="Times New Roman"/>
                <w:sz w:val="18"/>
                <w:szCs w:val="18"/>
                <w:lang w:val="sr-Cyrl-CS"/>
              </w:rPr>
              <w:t>а</w:t>
            </w:r>
            <w:r w:rsidRPr="00487209">
              <w:rPr>
                <w:rFonts w:ascii="Times New Roman" w:hAnsi="Times New Roman" w:cs="Times New Roman"/>
                <w:sz w:val="18"/>
                <w:szCs w:val="18"/>
                <w:lang w:val="sr-Cyrl-CS"/>
              </w:rPr>
              <w:t>, јер се односи на обавезу организације ТАВ-ова</w:t>
            </w:r>
          </w:p>
        </w:tc>
        <w:tc>
          <w:tcPr>
            <w:tcW w:w="480" w:type="pct"/>
            <w:shd w:val="clear" w:color="auto" w:fill="auto"/>
            <w:vAlign w:val="center"/>
          </w:tcPr>
          <w:p w14:paraId="7A32FA45"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7A8CE178" w14:textId="77777777" w:rsidTr="007D5144">
        <w:trPr>
          <w:trHeight w:val="629"/>
          <w:jc w:val="center"/>
        </w:trPr>
        <w:tc>
          <w:tcPr>
            <w:tcW w:w="435" w:type="pct"/>
            <w:shd w:val="clear" w:color="auto" w:fill="auto"/>
            <w:vAlign w:val="center"/>
          </w:tcPr>
          <w:p w14:paraId="00D27352"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II</w:t>
            </w:r>
          </w:p>
          <w:p w14:paraId="249ED0A1"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2</w:t>
            </w:r>
            <w:r w:rsidRPr="00487209">
              <w:rPr>
                <w:rFonts w:ascii="Times New Roman" w:hAnsi="Times New Roman" w:cs="Times New Roman"/>
                <w:sz w:val="18"/>
                <w:szCs w:val="18"/>
                <w:shd w:val="clear" w:color="auto" w:fill="D9D9D9" w:themeFill="background1" w:themeFillShade="D9"/>
              </w:rPr>
              <w:t>.</w:t>
            </w:r>
          </w:p>
        </w:tc>
        <w:tc>
          <w:tcPr>
            <w:tcW w:w="1369" w:type="pct"/>
            <w:gridSpan w:val="2"/>
            <w:shd w:val="clear" w:color="auto" w:fill="auto"/>
            <w:vAlign w:val="center"/>
          </w:tcPr>
          <w:p w14:paraId="7BB68109"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2.   Contract </w:t>
            </w:r>
          </w:p>
          <w:p w14:paraId="238125BA"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For construction products referred to in Article 21(1)(c), within 1 month from the reception of the technical file, a contract shall be concluded between the manufacturer and the responsible TAB for the production of the European Technical Assessment, defining the work programme for drawing up the European Assessment Document, including:</w:t>
            </w:r>
          </w:p>
          <w:p w14:paraId="2C911E92"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the organisation of work within the organisation of TABs,</w:t>
            </w:r>
          </w:p>
          <w:p w14:paraId="564EA440"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the composition of the workgroup to be established within the organisation of TABs, designated for the product area in question,</w:t>
            </w:r>
          </w:p>
          <w:p w14:paraId="22000398"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the coordination of TABs.</w:t>
            </w:r>
          </w:p>
          <w:p w14:paraId="7596979C" w14:textId="77777777" w:rsidR="00147811" w:rsidRPr="00487209" w:rsidRDefault="00147811" w:rsidP="006C6323">
            <w:pPr>
              <w:jc w:val="both"/>
              <w:rPr>
                <w:rFonts w:ascii="Times New Roman" w:hAnsi="Times New Roman" w:cs="Times New Roman"/>
                <w:sz w:val="18"/>
                <w:szCs w:val="18"/>
              </w:rPr>
            </w:pPr>
          </w:p>
        </w:tc>
        <w:tc>
          <w:tcPr>
            <w:tcW w:w="429" w:type="pct"/>
            <w:shd w:val="clear" w:color="auto" w:fill="auto"/>
            <w:vAlign w:val="center"/>
          </w:tcPr>
          <w:p w14:paraId="08260913" w14:textId="4AE444A1" w:rsidR="00147811" w:rsidRPr="00487209" w:rsidRDefault="00147811" w:rsidP="006C6323">
            <w:pPr>
              <w:spacing w:before="120" w:after="120"/>
              <w:ind w:firstLine="5"/>
              <w:jc w:val="center"/>
              <w:rPr>
                <w:rFonts w:ascii="Times New Roman" w:hAnsi="Times New Roman" w:cs="Times New Roman"/>
                <w:iCs/>
                <w:sz w:val="18"/>
                <w:szCs w:val="18"/>
              </w:rPr>
            </w:pPr>
          </w:p>
        </w:tc>
        <w:tc>
          <w:tcPr>
            <w:tcW w:w="1231" w:type="pct"/>
            <w:gridSpan w:val="2"/>
            <w:shd w:val="clear" w:color="auto" w:fill="auto"/>
            <w:vAlign w:val="center"/>
          </w:tcPr>
          <w:p w14:paraId="01D80EDF"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58BF226E" w14:textId="67100F67" w:rsidR="00147811" w:rsidRPr="00487209" w:rsidRDefault="00993219"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НП</w:t>
            </w:r>
          </w:p>
        </w:tc>
        <w:tc>
          <w:tcPr>
            <w:tcW w:w="598" w:type="pct"/>
            <w:gridSpan w:val="2"/>
            <w:shd w:val="clear" w:color="auto" w:fill="auto"/>
            <w:vAlign w:val="center"/>
          </w:tcPr>
          <w:p w14:paraId="3798B041" w14:textId="440F9B13" w:rsidR="00147811" w:rsidRPr="00487209" w:rsidRDefault="00A43D0A" w:rsidP="00A43D0A">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Т</w:t>
            </w:r>
            <w:r w:rsidR="001625B5">
              <w:rPr>
                <w:rFonts w:ascii="Times New Roman" w:hAnsi="Times New Roman" w:cs="Times New Roman"/>
                <w:sz w:val="18"/>
                <w:szCs w:val="18"/>
                <w:lang w:val="ru-RU"/>
              </w:rPr>
              <w:t>а</w:t>
            </w:r>
            <w:r w:rsidRPr="00487209">
              <w:rPr>
                <w:rFonts w:ascii="Times New Roman" w:hAnsi="Times New Roman" w:cs="Times New Roman"/>
                <w:sz w:val="18"/>
                <w:szCs w:val="18"/>
                <w:lang w:val="ru-RU"/>
              </w:rPr>
              <w:t>ч</w:t>
            </w:r>
            <w:r w:rsidR="006302E2">
              <w:rPr>
                <w:rFonts w:ascii="Times New Roman" w:hAnsi="Times New Roman" w:cs="Times New Roman"/>
                <w:sz w:val="18"/>
                <w:szCs w:val="18"/>
                <w:lang w:val="ru-RU"/>
              </w:rPr>
              <w:t>ка</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2</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II</w:t>
            </w:r>
            <w:r w:rsidRPr="00487209">
              <w:rPr>
                <w:rFonts w:ascii="Times New Roman" w:hAnsi="Times New Roman" w:cs="Times New Roman"/>
                <w:sz w:val="18"/>
                <w:szCs w:val="18"/>
                <w:lang w:val="sr-Cyrl-CS"/>
              </w:rPr>
              <w:t xml:space="preserve"> Уредбе 305/2011 (ЕУ) није пренет</w:t>
            </w:r>
            <w:r w:rsidR="00CC5598">
              <w:rPr>
                <w:rFonts w:ascii="Times New Roman" w:hAnsi="Times New Roman" w:cs="Times New Roman"/>
                <w:sz w:val="18"/>
                <w:szCs w:val="18"/>
                <w:lang w:val="sr-Cyrl-CS"/>
              </w:rPr>
              <w:t>а</w:t>
            </w:r>
            <w:r w:rsidRPr="00487209">
              <w:rPr>
                <w:rFonts w:ascii="Times New Roman" w:hAnsi="Times New Roman" w:cs="Times New Roman"/>
                <w:sz w:val="18"/>
                <w:szCs w:val="18"/>
                <w:lang w:val="sr-Cyrl-CS"/>
              </w:rPr>
              <w:t>, јер се односи на обавезу организације ТАВ-ова</w:t>
            </w:r>
          </w:p>
        </w:tc>
        <w:tc>
          <w:tcPr>
            <w:tcW w:w="480" w:type="pct"/>
            <w:shd w:val="clear" w:color="auto" w:fill="auto"/>
            <w:vAlign w:val="center"/>
          </w:tcPr>
          <w:p w14:paraId="77AE735E"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503151FD" w14:textId="77777777" w:rsidTr="007D5144">
        <w:trPr>
          <w:trHeight w:val="1970"/>
          <w:jc w:val="center"/>
        </w:trPr>
        <w:tc>
          <w:tcPr>
            <w:tcW w:w="435" w:type="pct"/>
            <w:shd w:val="clear" w:color="auto" w:fill="auto"/>
            <w:vAlign w:val="center"/>
          </w:tcPr>
          <w:p w14:paraId="09B2B068" w14:textId="77777777" w:rsidR="00147811" w:rsidRPr="00487209" w:rsidRDefault="00147811" w:rsidP="006C6323">
            <w:pPr>
              <w:jc w:val="center"/>
              <w:rPr>
                <w:rFonts w:ascii="Times New Roman" w:hAnsi="Times New Roman" w:cs="Times New Roman"/>
                <w:sz w:val="18"/>
                <w:szCs w:val="18"/>
                <w:lang w:val="sr-Cyrl-CS"/>
              </w:rPr>
            </w:pPr>
            <w:r w:rsidRPr="00487209">
              <w:rPr>
                <w:rFonts w:ascii="Times New Roman" w:hAnsi="Times New Roman" w:cs="Times New Roman"/>
                <w:sz w:val="18"/>
                <w:szCs w:val="18"/>
              </w:rPr>
              <w:t>ANNEX</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II</w:t>
            </w:r>
          </w:p>
          <w:p w14:paraId="27264A58" w14:textId="77777777" w:rsidR="00147811" w:rsidRPr="00487209" w:rsidRDefault="00147811" w:rsidP="006C6323">
            <w:pPr>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3.</w:t>
            </w:r>
          </w:p>
        </w:tc>
        <w:tc>
          <w:tcPr>
            <w:tcW w:w="1369" w:type="pct"/>
            <w:gridSpan w:val="2"/>
            <w:shd w:val="clear" w:color="auto" w:fill="auto"/>
            <w:vAlign w:val="center"/>
          </w:tcPr>
          <w:p w14:paraId="02FECD2B"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Work programme </w:t>
            </w:r>
          </w:p>
          <w:p w14:paraId="04118AC5"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After the conclusion of the contract with the manufacturer, the organisation of TABs shall inform the Commission of the work programme for drawing up the European Assessment Document, the schedule for its execution and indicating the assessment programme. This communication shall take place within 3 months of receipt of the request for a European Technical Assessment.</w:t>
            </w:r>
          </w:p>
          <w:p w14:paraId="30055820" w14:textId="77777777" w:rsidR="00147811" w:rsidRPr="00487209" w:rsidRDefault="00147811" w:rsidP="006C6323">
            <w:pPr>
              <w:jc w:val="both"/>
              <w:rPr>
                <w:rFonts w:ascii="Times New Roman" w:hAnsi="Times New Roman" w:cs="Times New Roman"/>
                <w:sz w:val="18"/>
                <w:szCs w:val="18"/>
                <w:lang w:val="sr-Cyrl-CS"/>
              </w:rPr>
            </w:pPr>
          </w:p>
        </w:tc>
        <w:tc>
          <w:tcPr>
            <w:tcW w:w="429" w:type="pct"/>
            <w:shd w:val="clear" w:color="auto" w:fill="auto"/>
            <w:vAlign w:val="center"/>
          </w:tcPr>
          <w:p w14:paraId="592D2219" w14:textId="76137E8E" w:rsidR="00147811" w:rsidRPr="00487209" w:rsidRDefault="00147811"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3AD1E663"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21802C93" w14:textId="53FDF425" w:rsidR="00147811" w:rsidRPr="00487209" w:rsidRDefault="00993219"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НП</w:t>
            </w:r>
          </w:p>
        </w:tc>
        <w:tc>
          <w:tcPr>
            <w:tcW w:w="598" w:type="pct"/>
            <w:gridSpan w:val="2"/>
            <w:shd w:val="clear" w:color="auto" w:fill="auto"/>
            <w:vAlign w:val="center"/>
          </w:tcPr>
          <w:p w14:paraId="4D3AB741" w14:textId="25BCF634" w:rsidR="00147811" w:rsidRPr="00487209" w:rsidRDefault="00A43D0A" w:rsidP="00A43D0A">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Т</w:t>
            </w:r>
            <w:r w:rsidR="001625B5">
              <w:rPr>
                <w:rFonts w:ascii="Times New Roman" w:hAnsi="Times New Roman" w:cs="Times New Roman"/>
                <w:sz w:val="18"/>
                <w:szCs w:val="18"/>
                <w:lang w:val="ru-RU"/>
              </w:rPr>
              <w:t>а</w:t>
            </w:r>
            <w:r w:rsidRPr="00487209">
              <w:rPr>
                <w:rFonts w:ascii="Times New Roman" w:hAnsi="Times New Roman" w:cs="Times New Roman"/>
                <w:sz w:val="18"/>
                <w:szCs w:val="18"/>
                <w:lang w:val="ru-RU"/>
              </w:rPr>
              <w:t>ч</w:t>
            </w:r>
            <w:r w:rsidR="006302E2">
              <w:rPr>
                <w:rFonts w:ascii="Times New Roman" w:hAnsi="Times New Roman" w:cs="Times New Roman"/>
                <w:sz w:val="18"/>
                <w:szCs w:val="18"/>
                <w:lang w:val="ru-RU"/>
              </w:rPr>
              <w:t>ка</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3</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II</w:t>
            </w:r>
            <w:r w:rsidRPr="00487209">
              <w:rPr>
                <w:rFonts w:ascii="Times New Roman" w:hAnsi="Times New Roman" w:cs="Times New Roman"/>
                <w:sz w:val="18"/>
                <w:szCs w:val="18"/>
                <w:lang w:val="sr-Cyrl-CS"/>
              </w:rPr>
              <w:t xml:space="preserve"> Уредбе 305/2011 (ЕУ) није пренет</w:t>
            </w:r>
            <w:r w:rsidR="00CC5598">
              <w:rPr>
                <w:rFonts w:ascii="Times New Roman" w:hAnsi="Times New Roman" w:cs="Times New Roman"/>
                <w:sz w:val="18"/>
                <w:szCs w:val="18"/>
                <w:lang w:val="sr-Cyrl-CS"/>
              </w:rPr>
              <w:t>а</w:t>
            </w:r>
            <w:r w:rsidRPr="00487209">
              <w:rPr>
                <w:rFonts w:ascii="Times New Roman" w:hAnsi="Times New Roman" w:cs="Times New Roman"/>
                <w:sz w:val="18"/>
                <w:szCs w:val="18"/>
                <w:lang w:val="sr-Cyrl-CS"/>
              </w:rPr>
              <w:t>, јер се односи на обавезу организације ТАВ-ова</w:t>
            </w:r>
          </w:p>
        </w:tc>
        <w:tc>
          <w:tcPr>
            <w:tcW w:w="480" w:type="pct"/>
            <w:shd w:val="clear" w:color="auto" w:fill="auto"/>
            <w:vAlign w:val="center"/>
          </w:tcPr>
          <w:p w14:paraId="609506C3"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3108F2FD" w14:textId="77777777" w:rsidTr="007D5144">
        <w:trPr>
          <w:trHeight w:val="1970"/>
          <w:jc w:val="center"/>
        </w:trPr>
        <w:tc>
          <w:tcPr>
            <w:tcW w:w="435" w:type="pct"/>
            <w:shd w:val="clear" w:color="auto" w:fill="auto"/>
            <w:vAlign w:val="center"/>
          </w:tcPr>
          <w:p w14:paraId="0F232703"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II</w:t>
            </w:r>
          </w:p>
          <w:p w14:paraId="529C583C"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4.</w:t>
            </w:r>
          </w:p>
        </w:tc>
        <w:tc>
          <w:tcPr>
            <w:tcW w:w="1369" w:type="pct"/>
            <w:gridSpan w:val="2"/>
            <w:shd w:val="clear" w:color="auto" w:fill="auto"/>
            <w:vAlign w:val="center"/>
          </w:tcPr>
          <w:p w14:paraId="52F1CDD6"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The draft European Assessment Document </w:t>
            </w:r>
          </w:p>
          <w:p w14:paraId="217274FE"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organisation of TABs shall finalise a draft European Assessment Document by means of the working group coordinated by the responsible TAB and shall communicate such draft to the parties concerned within 6 months of the date the Commission was informed of the work programme.</w:t>
            </w:r>
          </w:p>
          <w:p w14:paraId="3EFEFD7B" w14:textId="77777777" w:rsidR="00147811" w:rsidRPr="00487209" w:rsidRDefault="00147811" w:rsidP="006C6323">
            <w:pPr>
              <w:jc w:val="both"/>
              <w:rPr>
                <w:rFonts w:ascii="Times New Roman" w:hAnsi="Times New Roman" w:cs="Times New Roman"/>
                <w:sz w:val="18"/>
                <w:szCs w:val="18"/>
                <w:lang w:val="sr-Cyrl-CS"/>
              </w:rPr>
            </w:pPr>
          </w:p>
        </w:tc>
        <w:tc>
          <w:tcPr>
            <w:tcW w:w="429" w:type="pct"/>
            <w:shd w:val="clear" w:color="auto" w:fill="auto"/>
            <w:vAlign w:val="center"/>
          </w:tcPr>
          <w:p w14:paraId="111536EB" w14:textId="588C5B11" w:rsidR="00147811" w:rsidRPr="00487209" w:rsidRDefault="00147811"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44689D9E"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7C738FA2" w14:textId="6650AD70" w:rsidR="00147811" w:rsidRPr="00487209" w:rsidRDefault="00993219"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НП</w:t>
            </w:r>
          </w:p>
        </w:tc>
        <w:tc>
          <w:tcPr>
            <w:tcW w:w="598" w:type="pct"/>
            <w:gridSpan w:val="2"/>
            <w:shd w:val="clear" w:color="auto" w:fill="auto"/>
            <w:vAlign w:val="center"/>
          </w:tcPr>
          <w:p w14:paraId="785A46DD" w14:textId="5D3DFB9C" w:rsidR="00147811" w:rsidRPr="00487209" w:rsidRDefault="00A43D0A" w:rsidP="00A43D0A">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Т</w:t>
            </w:r>
            <w:r w:rsidR="001625B5">
              <w:rPr>
                <w:rFonts w:ascii="Times New Roman" w:hAnsi="Times New Roman" w:cs="Times New Roman"/>
                <w:sz w:val="18"/>
                <w:szCs w:val="18"/>
                <w:lang w:val="ru-RU"/>
              </w:rPr>
              <w:t>а</w:t>
            </w:r>
            <w:r w:rsidRPr="00487209">
              <w:rPr>
                <w:rFonts w:ascii="Times New Roman" w:hAnsi="Times New Roman" w:cs="Times New Roman"/>
                <w:sz w:val="18"/>
                <w:szCs w:val="18"/>
                <w:lang w:val="ru-RU"/>
              </w:rPr>
              <w:t>ч</w:t>
            </w:r>
            <w:r w:rsidR="001625B5">
              <w:rPr>
                <w:rFonts w:ascii="Times New Roman" w:hAnsi="Times New Roman" w:cs="Times New Roman"/>
                <w:sz w:val="18"/>
                <w:szCs w:val="18"/>
                <w:lang w:val="ru-RU"/>
              </w:rPr>
              <w:t>ка</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4.</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II</w:t>
            </w:r>
            <w:r w:rsidRPr="00487209">
              <w:rPr>
                <w:rFonts w:ascii="Times New Roman" w:hAnsi="Times New Roman" w:cs="Times New Roman"/>
                <w:sz w:val="18"/>
                <w:szCs w:val="18"/>
                <w:lang w:val="sr-Cyrl-CS"/>
              </w:rPr>
              <w:t xml:space="preserve"> Уредбе 305/2011 (ЕУ) није пренет</w:t>
            </w:r>
            <w:r w:rsidR="00CC5598">
              <w:rPr>
                <w:rFonts w:ascii="Times New Roman" w:hAnsi="Times New Roman" w:cs="Times New Roman"/>
                <w:sz w:val="18"/>
                <w:szCs w:val="18"/>
                <w:lang w:val="sr-Cyrl-CS"/>
              </w:rPr>
              <w:t>а</w:t>
            </w:r>
            <w:r w:rsidRPr="00487209">
              <w:rPr>
                <w:rFonts w:ascii="Times New Roman" w:hAnsi="Times New Roman" w:cs="Times New Roman"/>
                <w:sz w:val="18"/>
                <w:szCs w:val="18"/>
                <w:lang w:val="sr-Cyrl-CS"/>
              </w:rPr>
              <w:t>, јер се односи на обавезу организације ТАВ-ова</w:t>
            </w:r>
          </w:p>
        </w:tc>
        <w:tc>
          <w:tcPr>
            <w:tcW w:w="480" w:type="pct"/>
            <w:shd w:val="clear" w:color="auto" w:fill="auto"/>
            <w:vAlign w:val="center"/>
          </w:tcPr>
          <w:p w14:paraId="3A5D86CB"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07F066E6" w14:textId="77777777" w:rsidTr="007D5144">
        <w:trPr>
          <w:trHeight w:val="346"/>
          <w:jc w:val="center"/>
        </w:trPr>
        <w:tc>
          <w:tcPr>
            <w:tcW w:w="435" w:type="pct"/>
            <w:shd w:val="clear" w:color="auto" w:fill="auto"/>
            <w:vAlign w:val="center"/>
          </w:tcPr>
          <w:p w14:paraId="3F5E9433"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ANNEX II</w:t>
            </w:r>
          </w:p>
          <w:p w14:paraId="2A683C86"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5.</w:t>
            </w:r>
          </w:p>
        </w:tc>
        <w:tc>
          <w:tcPr>
            <w:tcW w:w="1369" w:type="pct"/>
            <w:gridSpan w:val="2"/>
            <w:shd w:val="clear" w:color="auto" w:fill="auto"/>
            <w:vAlign w:val="center"/>
          </w:tcPr>
          <w:p w14:paraId="7BE6ABE8"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Commission Participation </w:t>
            </w:r>
          </w:p>
          <w:p w14:paraId="5B5DCB35"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Commission representative may participate, as observer, to all the parts of the execution of the work programme.</w:t>
            </w:r>
          </w:p>
          <w:p w14:paraId="384987B2" w14:textId="77777777" w:rsidR="00147811" w:rsidRPr="00487209" w:rsidRDefault="00147811" w:rsidP="006C6323">
            <w:pPr>
              <w:jc w:val="both"/>
              <w:rPr>
                <w:rFonts w:ascii="Times New Roman" w:hAnsi="Times New Roman" w:cs="Times New Roman"/>
                <w:sz w:val="18"/>
                <w:szCs w:val="18"/>
                <w:lang w:val="sr-Cyrl-CS"/>
              </w:rPr>
            </w:pPr>
          </w:p>
        </w:tc>
        <w:tc>
          <w:tcPr>
            <w:tcW w:w="429" w:type="pct"/>
            <w:shd w:val="clear" w:color="auto" w:fill="auto"/>
            <w:vAlign w:val="center"/>
          </w:tcPr>
          <w:p w14:paraId="77E79087" w14:textId="77777777" w:rsidR="00147811" w:rsidRPr="00487209" w:rsidRDefault="00147811"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65D5A85A" w14:textId="77777777" w:rsidR="00147811" w:rsidRPr="00487209" w:rsidRDefault="00147811" w:rsidP="006C6323">
            <w:pPr>
              <w:jc w:val="both"/>
              <w:rPr>
                <w:rFonts w:ascii="Times New Roman" w:hAnsi="Times New Roman" w:cs="Times New Roman"/>
                <w:sz w:val="18"/>
                <w:szCs w:val="18"/>
                <w:lang w:val="sr-Cyrl-CS"/>
              </w:rPr>
            </w:pPr>
          </w:p>
        </w:tc>
        <w:tc>
          <w:tcPr>
            <w:tcW w:w="458" w:type="pct"/>
            <w:shd w:val="clear" w:color="auto" w:fill="auto"/>
            <w:vAlign w:val="center"/>
          </w:tcPr>
          <w:p w14:paraId="50A87A1B" w14:textId="3E2CEA55" w:rsidR="00147811" w:rsidRPr="00487209" w:rsidRDefault="00993219"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НП</w:t>
            </w:r>
          </w:p>
        </w:tc>
        <w:tc>
          <w:tcPr>
            <w:tcW w:w="598" w:type="pct"/>
            <w:gridSpan w:val="2"/>
            <w:shd w:val="clear" w:color="auto" w:fill="auto"/>
            <w:vAlign w:val="center"/>
          </w:tcPr>
          <w:p w14:paraId="6A614FD9" w14:textId="2DEA7DE5" w:rsidR="00147811" w:rsidRPr="00487209" w:rsidRDefault="00A43D0A" w:rsidP="00A43D0A">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Т</w:t>
            </w:r>
            <w:r w:rsidR="001625B5">
              <w:rPr>
                <w:rFonts w:ascii="Times New Roman" w:hAnsi="Times New Roman" w:cs="Times New Roman"/>
                <w:sz w:val="18"/>
                <w:szCs w:val="18"/>
                <w:lang w:val="ru-RU"/>
              </w:rPr>
              <w:t>а</w:t>
            </w:r>
            <w:r w:rsidRPr="00487209">
              <w:rPr>
                <w:rFonts w:ascii="Times New Roman" w:hAnsi="Times New Roman" w:cs="Times New Roman"/>
                <w:sz w:val="18"/>
                <w:szCs w:val="18"/>
                <w:lang w:val="ru-RU"/>
              </w:rPr>
              <w:t>ч</w:t>
            </w:r>
            <w:r w:rsidR="001625B5">
              <w:rPr>
                <w:rFonts w:ascii="Times New Roman" w:hAnsi="Times New Roman" w:cs="Times New Roman"/>
                <w:sz w:val="18"/>
                <w:szCs w:val="18"/>
                <w:lang w:val="ru-RU"/>
              </w:rPr>
              <w:t>ка</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5</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II</w:t>
            </w:r>
            <w:r w:rsidRPr="00487209">
              <w:rPr>
                <w:rFonts w:ascii="Times New Roman" w:hAnsi="Times New Roman" w:cs="Times New Roman"/>
                <w:sz w:val="18"/>
                <w:szCs w:val="18"/>
                <w:lang w:val="sr-Cyrl-CS"/>
              </w:rPr>
              <w:t xml:space="preserve"> Уредбе 305/2011 (ЕУ) није пренет</w:t>
            </w:r>
            <w:r w:rsidR="00CC5598">
              <w:rPr>
                <w:rFonts w:ascii="Times New Roman" w:hAnsi="Times New Roman" w:cs="Times New Roman"/>
                <w:sz w:val="18"/>
                <w:szCs w:val="18"/>
                <w:lang w:val="sr-Cyrl-CS"/>
              </w:rPr>
              <w:t>а</w:t>
            </w:r>
            <w:r w:rsidRPr="00487209">
              <w:rPr>
                <w:rFonts w:ascii="Times New Roman" w:hAnsi="Times New Roman" w:cs="Times New Roman"/>
                <w:sz w:val="18"/>
                <w:szCs w:val="18"/>
                <w:lang w:val="sr-Cyrl-CS"/>
              </w:rPr>
              <w:t>, јер се односи на обавезу организације ТАВ-ова</w:t>
            </w:r>
          </w:p>
        </w:tc>
        <w:tc>
          <w:tcPr>
            <w:tcW w:w="480" w:type="pct"/>
            <w:shd w:val="clear" w:color="auto" w:fill="auto"/>
            <w:vAlign w:val="center"/>
          </w:tcPr>
          <w:p w14:paraId="32412335"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7DBFE193" w14:textId="77777777" w:rsidTr="007D5144">
        <w:trPr>
          <w:trHeight w:val="1970"/>
          <w:jc w:val="center"/>
        </w:trPr>
        <w:tc>
          <w:tcPr>
            <w:tcW w:w="435" w:type="pct"/>
            <w:shd w:val="clear" w:color="auto" w:fill="auto"/>
            <w:vAlign w:val="center"/>
          </w:tcPr>
          <w:p w14:paraId="2CA83356"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ANNEX II</w:t>
            </w:r>
          </w:p>
          <w:p w14:paraId="4BC64368"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6.</w:t>
            </w:r>
          </w:p>
        </w:tc>
        <w:tc>
          <w:tcPr>
            <w:tcW w:w="1369" w:type="pct"/>
            <w:gridSpan w:val="2"/>
            <w:shd w:val="clear" w:color="auto" w:fill="auto"/>
            <w:vAlign w:val="center"/>
          </w:tcPr>
          <w:p w14:paraId="1014CC78"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Extension and delay </w:t>
            </w:r>
          </w:p>
          <w:p w14:paraId="08F4C95A"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Any delay in relation to the time limits set in Sections 1 to 4 in this Annex shall be reported by the working group to the organisation of TABs and to the Commission.</w:t>
            </w:r>
          </w:p>
          <w:p w14:paraId="31DD2630"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If an extension of the time limits for developing the European Assessment Document can be justified, notably by the absence of a Commission decision on the applicable system of assessment and verification of constancy of performance for the construction product or by the need to develop a new test method, an extended time limit shall be set by the Commission.</w:t>
            </w:r>
          </w:p>
          <w:p w14:paraId="0C0EC486" w14:textId="77777777" w:rsidR="00147811" w:rsidRPr="00487209" w:rsidRDefault="00147811" w:rsidP="006C6323">
            <w:pPr>
              <w:jc w:val="both"/>
              <w:rPr>
                <w:rFonts w:ascii="Times New Roman" w:hAnsi="Times New Roman" w:cs="Times New Roman"/>
                <w:sz w:val="18"/>
                <w:szCs w:val="18"/>
                <w:lang w:val="sr-Cyrl-CS"/>
              </w:rPr>
            </w:pPr>
          </w:p>
        </w:tc>
        <w:tc>
          <w:tcPr>
            <w:tcW w:w="429" w:type="pct"/>
            <w:shd w:val="clear" w:color="auto" w:fill="auto"/>
            <w:vAlign w:val="center"/>
          </w:tcPr>
          <w:p w14:paraId="70AEFCE7" w14:textId="374F3BFC" w:rsidR="00147811" w:rsidRPr="00487209" w:rsidRDefault="00147811"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57808372"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783F978F" w14:textId="2984D5A4" w:rsidR="00147811" w:rsidRPr="00487209" w:rsidRDefault="00993219"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НП</w:t>
            </w:r>
          </w:p>
        </w:tc>
        <w:tc>
          <w:tcPr>
            <w:tcW w:w="598" w:type="pct"/>
            <w:gridSpan w:val="2"/>
            <w:shd w:val="clear" w:color="auto" w:fill="auto"/>
            <w:vAlign w:val="center"/>
          </w:tcPr>
          <w:p w14:paraId="3AA63F69" w14:textId="17EC7516" w:rsidR="00147811" w:rsidRPr="00487209" w:rsidRDefault="00A43D0A" w:rsidP="00A43D0A">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Т</w:t>
            </w:r>
            <w:r w:rsidR="001625B5">
              <w:rPr>
                <w:rFonts w:ascii="Times New Roman" w:hAnsi="Times New Roman" w:cs="Times New Roman"/>
                <w:sz w:val="18"/>
                <w:szCs w:val="18"/>
                <w:lang w:val="ru-RU"/>
              </w:rPr>
              <w:t>ачка</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6</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II</w:t>
            </w:r>
            <w:r w:rsidRPr="00487209">
              <w:rPr>
                <w:rFonts w:ascii="Times New Roman" w:hAnsi="Times New Roman" w:cs="Times New Roman"/>
                <w:sz w:val="18"/>
                <w:szCs w:val="18"/>
                <w:lang w:val="sr-Cyrl-CS"/>
              </w:rPr>
              <w:t xml:space="preserve"> Уредбе 305/2011 (ЕУ) није пренет</w:t>
            </w:r>
            <w:r w:rsidR="00CC5598">
              <w:rPr>
                <w:rFonts w:ascii="Times New Roman" w:hAnsi="Times New Roman" w:cs="Times New Roman"/>
                <w:sz w:val="18"/>
                <w:szCs w:val="18"/>
                <w:lang w:val="sr-Cyrl-CS"/>
              </w:rPr>
              <w:t>а</w:t>
            </w:r>
            <w:r w:rsidRPr="00487209">
              <w:rPr>
                <w:rFonts w:ascii="Times New Roman" w:hAnsi="Times New Roman" w:cs="Times New Roman"/>
                <w:sz w:val="18"/>
                <w:szCs w:val="18"/>
                <w:lang w:val="sr-Cyrl-CS"/>
              </w:rPr>
              <w:t>, јер се односи на обавезу организације ТАВ-ова</w:t>
            </w:r>
          </w:p>
        </w:tc>
        <w:tc>
          <w:tcPr>
            <w:tcW w:w="480" w:type="pct"/>
            <w:shd w:val="clear" w:color="auto" w:fill="auto"/>
            <w:vAlign w:val="center"/>
          </w:tcPr>
          <w:p w14:paraId="16DB7FBB"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3CE28B15" w14:textId="77777777" w:rsidTr="007D5144">
        <w:trPr>
          <w:trHeight w:val="1970"/>
          <w:jc w:val="center"/>
        </w:trPr>
        <w:tc>
          <w:tcPr>
            <w:tcW w:w="435" w:type="pct"/>
            <w:shd w:val="clear" w:color="auto" w:fill="auto"/>
            <w:vAlign w:val="center"/>
          </w:tcPr>
          <w:p w14:paraId="453DD0E5"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II</w:t>
            </w:r>
          </w:p>
          <w:p w14:paraId="6F83AAD8"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7.(a)</w:t>
            </w:r>
          </w:p>
        </w:tc>
        <w:tc>
          <w:tcPr>
            <w:tcW w:w="1369" w:type="pct"/>
            <w:gridSpan w:val="2"/>
            <w:shd w:val="clear" w:color="auto" w:fill="auto"/>
            <w:vAlign w:val="center"/>
          </w:tcPr>
          <w:p w14:paraId="293E0F84"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Аmendments and adoption of a European Assessment Document </w:t>
            </w:r>
          </w:p>
          <w:p w14:paraId="4CE5F5EC"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responsible TAB shall communicate the draft European Assessment Document to the manufacturer, who shall have 15 working days to react thereto. Thereafter, the organisation of TABs shall:</w:t>
            </w:r>
          </w:p>
          <w:p w14:paraId="2D1836B4"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if applicable, inform the manufacturer as to how his reactions have been taken into account;</w:t>
            </w:r>
          </w:p>
          <w:p w14:paraId="14F7544F" w14:textId="77777777" w:rsidR="00147811" w:rsidRPr="00487209" w:rsidRDefault="00147811" w:rsidP="006C6323">
            <w:pPr>
              <w:jc w:val="both"/>
              <w:rPr>
                <w:rFonts w:ascii="Times New Roman" w:hAnsi="Times New Roman" w:cs="Times New Roman"/>
                <w:sz w:val="18"/>
                <w:szCs w:val="18"/>
                <w:lang w:val="sr-Cyrl-CS"/>
              </w:rPr>
            </w:pPr>
          </w:p>
        </w:tc>
        <w:tc>
          <w:tcPr>
            <w:tcW w:w="429" w:type="pct"/>
            <w:shd w:val="clear" w:color="auto" w:fill="auto"/>
            <w:vAlign w:val="center"/>
          </w:tcPr>
          <w:p w14:paraId="568E5967" w14:textId="201F8FFD" w:rsidR="00147811" w:rsidRPr="00487209" w:rsidRDefault="00147811" w:rsidP="006C6323">
            <w:pPr>
              <w:spacing w:before="120" w:after="120"/>
              <w:ind w:firstLine="5"/>
              <w:jc w:val="center"/>
              <w:rPr>
                <w:rFonts w:ascii="Times New Roman" w:hAnsi="Times New Roman" w:cs="Times New Roman"/>
                <w:sz w:val="18"/>
                <w:szCs w:val="18"/>
              </w:rPr>
            </w:pPr>
          </w:p>
        </w:tc>
        <w:tc>
          <w:tcPr>
            <w:tcW w:w="1231" w:type="pct"/>
            <w:gridSpan w:val="2"/>
            <w:shd w:val="clear" w:color="auto" w:fill="auto"/>
            <w:vAlign w:val="center"/>
          </w:tcPr>
          <w:p w14:paraId="57ABC74C" w14:textId="77777777" w:rsidR="00147811" w:rsidRPr="00487209" w:rsidRDefault="00147811" w:rsidP="006C6323">
            <w:pPr>
              <w:jc w:val="center"/>
              <w:rPr>
                <w:rFonts w:ascii="Times New Roman" w:hAnsi="Times New Roman" w:cs="Times New Roman"/>
                <w:sz w:val="18"/>
                <w:szCs w:val="18"/>
                <w:lang w:val="sr-Latn-BA"/>
              </w:rPr>
            </w:pPr>
          </w:p>
        </w:tc>
        <w:tc>
          <w:tcPr>
            <w:tcW w:w="458" w:type="pct"/>
            <w:shd w:val="clear" w:color="auto" w:fill="auto"/>
            <w:vAlign w:val="center"/>
          </w:tcPr>
          <w:p w14:paraId="74098779" w14:textId="673B96B7" w:rsidR="00147811" w:rsidRPr="00487209" w:rsidRDefault="00993219"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НП</w:t>
            </w:r>
          </w:p>
        </w:tc>
        <w:tc>
          <w:tcPr>
            <w:tcW w:w="598" w:type="pct"/>
            <w:gridSpan w:val="2"/>
            <w:shd w:val="clear" w:color="auto" w:fill="auto"/>
            <w:vAlign w:val="center"/>
          </w:tcPr>
          <w:p w14:paraId="2C9F1722" w14:textId="7C2F6B5F" w:rsidR="00147811" w:rsidRPr="00487209" w:rsidRDefault="00AA5306" w:rsidP="006C6323">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Т</w:t>
            </w:r>
            <w:r w:rsidR="001625B5">
              <w:rPr>
                <w:rFonts w:ascii="Times New Roman" w:hAnsi="Times New Roman" w:cs="Times New Roman"/>
                <w:sz w:val="18"/>
                <w:szCs w:val="18"/>
                <w:lang w:val="ru-RU"/>
              </w:rPr>
              <w:t>ачка</w:t>
            </w:r>
            <w:r w:rsidRPr="00487209">
              <w:rPr>
                <w:rFonts w:ascii="Times New Roman" w:hAnsi="Times New Roman" w:cs="Times New Roman"/>
                <w:sz w:val="18"/>
                <w:szCs w:val="18"/>
                <w:lang w:val="ru-RU"/>
              </w:rPr>
              <w:t xml:space="preserve"> </w:t>
            </w:r>
            <w:r w:rsidR="00A43D0A" w:rsidRPr="00487209">
              <w:rPr>
                <w:rFonts w:ascii="Times New Roman" w:hAnsi="Times New Roman" w:cs="Times New Roman"/>
                <w:sz w:val="18"/>
                <w:szCs w:val="18"/>
              </w:rPr>
              <w:t>7(a)</w:t>
            </w:r>
            <w:r w:rsidR="00A43D0A" w:rsidRPr="00487209">
              <w:rPr>
                <w:rFonts w:ascii="Times New Roman" w:hAnsi="Times New Roman" w:cs="Times New Roman"/>
                <w:sz w:val="18"/>
                <w:szCs w:val="18"/>
                <w:lang w:val="ru-RU"/>
              </w:rPr>
              <w:t xml:space="preserve">. Анекса </w:t>
            </w:r>
            <w:r w:rsidR="00A43D0A" w:rsidRPr="00487209">
              <w:rPr>
                <w:rFonts w:ascii="Times New Roman" w:hAnsi="Times New Roman" w:cs="Times New Roman"/>
                <w:sz w:val="18"/>
                <w:szCs w:val="18"/>
              </w:rPr>
              <w:t>II</w:t>
            </w:r>
            <w:r w:rsidR="00A43D0A" w:rsidRPr="00487209">
              <w:rPr>
                <w:rFonts w:ascii="Times New Roman" w:hAnsi="Times New Roman" w:cs="Times New Roman"/>
                <w:sz w:val="18"/>
                <w:szCs w:val="18"/>
                <w:lang w:val="sr-Cyrl-CS"/>
              </w:rPr>
              <w:t xml:space="preserve"> Уредбе 305/2011 (ЕУ) није пренет</w:t>
            </w:r>
            <w:r w:rsidR="003B0FC7">
              <w:rPr>
                <w:rFonts w:ascii="Times New Roman" w:hAnsi="Times New Roman" w:cs="Times New Roman"/>
                <w:sz w:val="18"/>
                <w:szCs w:val="18"/>
                <w:lang w:val="sr-Cyrl-CS"/>
              </w:rPr>
              <w:t>а</w:t>
            </w:r>
            <w:r w:rsidR="00A43D0A" w:rsidRPr="00487209">
              <w:rPr>
                <w:rFonts w:ascii="Times New Roman" w:hAnsi="Times New Roman" w:cs="Times New Roman"/>
                <w:sz w:val="18"/>
                <w:szCs w:val="18"/>
                <w:lang w:val="sr-Cyrl-CS"/>
              </w:rPr>
              <w:t>, јер се односи на обавезу организације ТАВ-ова</w:t>
            </w:r>
          </w:p>
        </w:tc>
        <w:tc>
          <w:tcPr>
            <w:tcW w:w="480" w:type="pct"/>
            <w:shd w:val="clear" w:color="auto" w:fill="auto"/>
            <w:vAlign w:val="center"/>
          </w:tcPr>
          <w:p w14:paraId="6E4735A9"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72D54413" w14:textId="77777777" w:rsidTr="007D5144">
        <w:trPr>
          <w:trHeight w:val="1970"/>
          <w:jc w:val="center"/>
        </w:trPr>
        <w:tc>
          <w:tcPr>
            <w:tcW w:w="435" w:type="pct"/>
            <w:shd w:val="clear" w:color="auto" w:fill="auto"/>
            <w:vAlign w:val="center"/>
          </w:tcPr>
          <w:p w14:paraId="59FE73AD" w14:textId="77777777" w:rsidR="00147811" w:rsidRPr="00487209" w:rsidRDefault="00147811" w:rsidP="006C6323">
            <w:pPr>
              <w:jc w:val="center"/>
              <w:rPr>
                <w:rFonts w:ascii="Times New Roman" w:hAnsi="Times New Roman" w:cs="Times New Roman"/>
                <w:sz w:val="18"/>
                <w:szCs w:val="18"/>
                <w:lang w:val="sr-Cyrl-CS"/>
              </w:rPr>
            </w:pPr>
            <w:r w:rsidRPr="00487209">
              <w:rPr>
                <w:rFonts w:ascii="Times New Roman" w:hAnsi="Times New Roman" w:cs="Times New Roman"/>
                <w:sz w:val="18"/>
                <w:szCs w:val="18"/>
              </w:rPr>
              <w:t>ANNEX</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II</w:t>
            </w:r>
          </w:p>
          <w:p w14:paraId="11A8A5E4" w14:textId="77777777" w:rsidR="00147811" w:rsidRPr="00487209" w:rsidRDefault="00147811" w:rsidP="006C6323">
            <w:pPr>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7.(</w:t>
            </w:r>
            <w:r w:rsidRPr="00487209">
              <w:rPr>
                <w:rFonts w:ascii="Times New Roman" w:hAnsi="Times New Roman" w:cs="Times New Roman"/>
                <w:sz w:val="18"/>
                <w:szCs w:val="18"/>
              </w:rPr>
              <w:t>b</w:t>
            </w:r>
            <w:r w:rsidRPr="00487209">
              <w:rPr>
                <w:rFonts w:ascii="Times New Roman" w:hAnsi="Times New Roman" w:cs="Times New Roman"/>
                <w:sz w:val="18"/>
                <w:szCs w:val="18"/>
                <w:lang w:val="sr-Cyrl-CS"/>
              </w:rPr>
              <w:t>)</w:t>
            </w:r>
          </w:p>
        </w:tc>
        <w:tc>
          <w:tcPr>
            <w:tcW w:w="1369" w:type="pct"/>
            <w:gridSpan w:val="2"/>
            <w:shd w:val="clear" w:color="auto" w:fill="auto"/>
            <w:vAlign w:val="center"/>
          </w:tcPr>
          <w:p w14:paraId="0DF0E0D7" w14:textId="77777777" w:rsidR="00147811" w:rsidRPr="00487209" w:rsidRDefault="00147811" w:rsidP="006C6323">
            <w:pPr>
              <w:jc w:val="both"/>
              <w:rPr>
                <w:rFonts w:ascii="Times New Roman" w:hAnsi="Times New Roman" w:cs="Times New Roman"/>
                <w:sz w:val="18"/>
                <w:szCs w:val="18"/>
              </w:rPr>
            </w:pPr>
            <w:r w:rsidRPr="00487209">
              <w:rPr>
                <w:rFonts w:ascii="Times New Roman" w:hAnsi="Times New Roman" w:cs="Times New Roman"/>
                <w:sz w:val="18"/>
                <w:szCs w:val="18"/>
              </w:rPr>
              <w:t>adopt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draft European Assessment Document; and</w:t>
            </w:r>
          </w:p>
        </w:tc>
        <w:tc>
          <w:tcPr>
            <w:tcW w:w="429" w:type="pct"/>
            <w:shd w:val="clear" w:color="auto" w:fill="auto"/>
            <w:vAlign w:val="center"/>
          </w:tcPr>
          <w:p w14:paraId="0E82B189" w14:textId="4A81EDCF" w:rsidR="00147811" w:rsidRPr="00487209" w:rsidRDefault="00147811"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551DAB98"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6E4CBA36" w14:textId="2024C0A2" w:rsidR="00147811" w:rsidRPr="00487209" w:rsidRDefault="00993219"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НП</w:t>
            </w:r>
          </w:p>
        </w:tc>
        <w:tc>
          <w:tcPr>
            <w:tcW w:w="598" w:type="pct"/>
            <w:gridSpan w:val="2"/>
            <w:shd w:val="clear" w:color="auto" w:fill="auto"/>
            <w:vAlign w:val="center"/>
          </w:tcPr>
          <w:p w14:paraId="10909B36" w14:textId="334A083B" w:rsidR="00147811" w:rsidRPr="00487209" w:rsidRDefault="001625B5" w:rsidP="00A43D0A">
            <w:pPr>
              <w:spacing w:before="120" w:after="120"/>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Т</w:t>
            </w:r>
            <w:r>
              <w:rPr>
                <w:rFonts w:ascii="Times New Roman" w:hAnsi="Times New Roman" w:cs="Times New Roman"/>
                <w:sz w:val="18"/>
                <w:szCs w:val="18"/>
                <w:lang w:val="ru-RU"/>
              </w:rPr>
              <w:t xml:space="preserve">ачка </w:t>
            </w:r>
            <w:r w:rsidR="00A43D0A" w:rsidRPr="00487209">
              <w:rPr>
                <w:rFonts w:ascii="Times New Roman" w:hAnsi="Times New Roman" w:cs="Times New Roman"/>
                <w:sz w:val="18"/>
                <w:szCs w:val="18"/>
              </w:rPr>
              <w:t>7(b)</w:t>
            </w:r>
            <w:r w:rsidR="00A43D0A" w:rsidRPr="00487209">
              <w:rPr>
                <w:rFonts w:ascii="Times New Roman" w:hAnsi="Times New Roman" w:cs="Times New Roman"/>
                <w:sz w:val="18"/>
                <w:szCs w:val="18"/>
                <w:lang w:val="ru-RU"/>
              </w:rPr>
              <w:t xml:space="preserve">. Анекса </w:t>
            </w:r>
            <w:r w:rsidR="00A43D0A" w:rsidRPr="00487209">
              <w:rPr>
                <w:rFonts w:ascii="Times New Roman" w:hAnsi="Times New Roman" w:cs="Times New Roman"/>
                <w:sz w:val="18"/>
                <w:szCs w:val="18"/>
              </w:rPr>
              <w:t>II</w:t>
            </w:r>
            <w:r w:rsidR="00A43D0A" w:rsidRPr="00487209">
              <w:rPr>
                <w:rFonts w:ascii="Times New Roman" w:hAnsi="Times New Roman" w:cs="Times New Roman"/>
                <w:sz w:val="18"/>
                <w:szCs w:val="18"/>
                <w:lang w:val="sr-Cyrl-CS"/>
              </w:rPr>
              <w:t xml:space="preserve"> Уредбе 305/2011 (ЕУ) није пренет</w:t>
            </w:r>
            <w:r w:rsidR="00EE2CFD">
              <w:rPr>
                <w:rFonts w:ascii="Times New Roman" w:hAnsi="Times New Roman" w:cs="Times New Roman"/>
                <w:sz w:val="18"/>
                <w:szCs w:val="18"/>
                <w:lang w:val="sr-Cyrl-CS"/>
              </w:rPr>
              <w:t>а</w:t>
            </w:r>
            <w:r w:rsidR="00A43D0A" w:rsidRPr="00487209">
              <w:rPr>
                <w:rFonts w:ascii="Times New Roman" w:hAnsi="Times New Roman" w:cs="Times New Roman"/>
                <w:sz w:val="18"/>
                <w:szCs w:val="18"/>
                <w:lang w:val="sr-Cyrl-CS"/>
              </w:rPr>
              <w:t>, јер се односи на обавезу организације ТАВ-ова</w:t>
            </w:r>
          </w:p>
        </w:tc>
        <w:tc>
          <w:tcPr>
            <w:tcW w:w="480" w:type="pct"/>
            <w:shd w:val="clear" w:color="auto" w:fill="auto"/>
            <w:vAlign w:val="center"/>
          </w:tcPr>
          <w:p w14:paraId="169F282F" w14:textId="77777777" w:rsidR="00147811" w:rsidRPr="00487209" w:rsidRDefault="00147811" w:rsidP="006C6323">
            <w:pPr>
              <w:spacing w:before="120" w:after="120"/>
              <w:jc w:val="center"/>
              <w:rPr>
                <w:rFonts w:ascii="Times New Roman" w:hAnsi="Times New Roman" w:cs="Times New Roman"/>
                <w:sz w:val="18"/>
                <w:szCs w:val="18"/>
                <w:lang w:val="ru-RU"/>
              </w:rPr>
            </w:pPr>
          </w:p>
        </w:tc>
      </w:tr>
      <w:tr w:rsidR="00337554" w:rsidRPr="00487209" w14:paraId="70390E86" w14:textId="77777777" w:rsidTr="007D5144">
        <w:trPr>
          <w:trHeight w:val="1970"/>
          <w:jc w:val="center"/>
        </w:trPr>
        <w:tc>
          <w:tcPr>
            <w:tcW w:w="435" w:type="pct"/>
            <w:shd w:val="clear" w:color="auto" w:fill="auto"/>
            <w:vAlign w:val="center"/>
          </w:tcPr>
          <w:p w14:paraId="7AA18529"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ANNEX II</w:t>
            </w:r>
          </w:p>
          <w:p w14:paraId="217E6444"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7.(c)</w:t>
            </w:r>
          </w:p>
        </w:tc>
        <w:tc>
          <w:tcPr>
            <w:tcW w:w="1369" w:type="pct"/>
            <w:gridSpan w:val="2"/>
            <w:shd w:val="clear" w:color="auto" w:fill="auto"/>
            <w:vAlign w:val="center"/>
          </w:tcPr>
          <w:p w14:paraId="08D94D9D"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send a copy to the Commission.</w:t>
            </w:r>
          </w:p>
          <w:p w14:paraId="13832966"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If, within 15 working days of receipt, the Commission communicates to the organisation of TABs its observations on the draft European Assessment Document, the organisation of TABs, after having been given the opportunity to comment, shall amend the draft accordingly and shall send a copy of the adopted European Assessment Document to the manufacturer and to the Commission.</w:t>
            </w:r>
          </w:p>
          <w:p w14:paraId="29D7EBB9" w14:textId="77777777" w:rsidR="00147811" w:rsidRPr="00487209" w:rsidRDefault="00147811" w:rsidP="006C6323">
            <w:pPr>
              <w:jc w:val="both"/>
              <w:rPr>
                <w:rFonts w:ascii="Times New Roman" w:hAnsi="Times New Roman" w:cs="Times New Roman"/>
                <w:sz w:val="18"/>
                <w:szCs w:val="18"/>
                <w:lang w:val="sr-Cyrl-CS"/>
              </w:rPr>
            </w:pPr>
          </w:p>
        </w:tc>
        <w:tc>
          <w:tcPr>
            <w:tcW w:w="429" w:type="pct"/>
            <w:shd w:val="clear" w:color="auto" w:fill="auto"/>
            <w:vAlign w:val="center"/>
          </w:tcPr>
          <w:p w14:paraId="13B649CA" w14:textId="7CF42667" w:rsidR="00147811" w:rsidRPr="00487209" w:rsidRDefault="00147811"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5392832E" w14:textId="77777777" w:rsidR="00147811" w:rsidRPr="00487209" w:rsidRDefault="00147811" w:rsidP="006C6323">
            <w:pPr>
              <w:jc w:val="center"/>
              <w:rPr>
                <w:rFonts w:ascii="Times New Roman" w:hAnsi="Times New Roman" w:cs="Times New Roman"/>
                <w:sz w:val="18"/>
                <w:szCs w:val="18"/>
                <w:lang w:val="sr-Cyrl-CS"/>
              </w:rPr>
            </w:pPr>
          </w:p>
        </w:tc>
        <w:tc>
          <w:tcPr>
            <w:tcW w:w="458" w:type="pct"/>
            <w:shd w:val="clear" w:color="auto" w:fill="auto"/>
            <w:vAlign w:val="center"/>
          </w:tcPr>
          <w:p w14:paraId="36BF4F55" w14:textId="7451B0AF" w:rsidR="00147811" w:rsidRPr="00487209" w:rsidRDefault="00147811" w:rsidP="006C6323">
            <w:pPr>
              <w:spacing w:before="120" w:after="120"/>
              <w:jc w:val="center"/>
              <w:rPr>
                <w:rFonts w:ascii="Times New Roman" w:hAnsi="Times New Roman" w:cs="Times New Roman"/>
                <w:sz w:val="18"/>
                <w:szCs w:val="18"/>
                <w:lang w:val="sr-Cyrl-CS"/>
              </w:rPr>
            </w:pPr>
          </w:p>
        </w:tc>
        <w:tc>
          <w:tcPr>
            <w:tcW w:w="598" w:type="pct"/>
            <w:gridSpan w:val="2"/>
            <w:shd w:val="clear" w:color="auto" w:fill="auto"/>
            <w:vAlign w:val="center"/>
          </w:tcPr>
          <w:p w14:paraId="64533EA0" w14:textId="3A2A9574" w:rsidR="00147811" w:rsidRPr="00487209" w:rsidRDefault="001625B5" w:rsidP="00A43D0A">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Т</w:t>
            </w:r>
            <w:r>
              <w:rPr>
                <w:rFonts w:ascii="Times New Roman" w:hAnsi="Times New Roman" w:cs="Times New Roman"/>
                <w:sz w:val="18"/>
                <w:szCs w:val="18"/>
                <w:lang w:val="ru-RU"/>
              </w:rPr>
              <w:t xml:space="preserve">ачка </w:t>
            </w:r>
            <w:r w:rsidR="00A43D0A" w:rsidRPr="00487209">
              <w:rPr>
                <w:rFonts w:ascii="Times New Roman" w:hAnsi="Times New Roman" w:cs="Times New Roman"/>
                <w:sz w:val="18"/>
                <w:szCs w:val="18"/>
              </w:rPr>
              <w:t>7(c)</w:t>
            </w:r>
            <w:r w:rsidR="00A43D0A" w:rsidRPr="00487209">
              <w:rPr>
                <w:rFonts w:ascii="Times New Roman" w:hAnsi="Times New Roman" w:cs="Times New Roman"/>
                <w:sz w:val="18"/>
                <w:szCs w:val="18"/>
                <w:lang w:val="ru-RU"/>
              </w:rPr>
              <w:t xml:space="preserve">. Анекса </w:t>
            </w:r>
            <w:r w:rsidR="00A43D0A" w:rsidRPr="00487209">
              <w:rPr>
                <w:rFonts w:ascii="Times New Roman" w:hAnsi="Times New Roman" w:cs="Times New Roman"/>
                <w:sz w:val="18"/>
                <w:szCs w:val="18"/>
              </w:rPr>
              <w:t>II</w:t>
            </w:r>
            <w:r w:rsidR="00A43D0A" w:rsidRPr="00487209">
              <w:rPr>
                <w:rFonts w:ascii="Times New Roman" w:hAnsi="Times New Roman" w:cs="Times New Roman"/>
                <w:sz w:val="18"/>
                <w:szCs w:val="18"/>
                <w:lang w:val="sr-Cyrl-CS"/>
              </w:rPr>
              <w:t xml:space="preserve"> Уредбе 305/2011 (ЕУ) није пренет</w:t>
            </w:r>
            <w:r w:rsidR="00EE2CFD">
              <w:rPr>
                <w:rFonts w:ascii="Times New Roman" w:hAnsi="Times New Roman" w:cs="Times New Roman"/>
                <w:sz w:val="18"/>
                <w:szCs w:val="18"/>
                <w:lang w:val="sr-Cyrl-CS"/>
              </w:rPr>
              <w:t>а</w:t>
            </w:r>
            <w:r w:rsidR="00A43D0A" w:rsidRPr="00487209">
              <w:rPr>
                <w:rFonts w:ascii="Times New Roman" w:hAnsi="Times New Roman" w:cs="Times New Roman"/>
                <w:sz w:val="18"/>
                <w:szCs w:val="18"/>
                <w:lang w:val="sr-Cyrl-CS"/>
              </w:rPr>
              <w:t>, јер се односи на обавезу организације ТАВ-ова</w:t>
            </w:r>
          </w:p>
        </w:tc>
        <w:tc>
          <w:tcPr>
            <w:tcW w:w="480" w:type="pct"/>
            <w:shd w:val="clear" w:color="auto" w:fill="auto"/>
            <w:vAlign w:val="center"/>
          </w:tcPr>
          <w:p w14:paraId="68967CA7"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337554" w:rsidRPr="00487209" w14:paraId="4ACB5784" w14:textId="77777777" w:rsidTr="007D5144">
        <w:trPr>
          <w:trHeight w:val="1970"/>
          <w:jc w:val="center"/>
        </w:trPr>
        <w:tc>
          <w:tcPr>
            <w:tcW w:w="435" w:type="pct"/>
            <w:shd w:val="clear" w:color="auto" w:fill="auto"/>
            <w:vAlign w:val="center"/>
          </w:tcPr>
          <w:p w14:paraId="57EF0E2F"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ANNEX II</w:t>
            </w:r>
          </w:p>
          <w:p w14:paraId="0900034F"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rPr>
              <w:t>8.</w:t>
            </w:r>
          </w:p>
        </w:tc>
        <w:tc>
          <w:tcPr>
            <w:tcW w:w="1369" w:type="pct"/>
            <w:gridSpan w:val="2"/>
            <w:shd w:val="clear" w:color="auto" w:fill="auto"/>
            <w:vAlign w:val="center"/>
          </w:tcPr>
          <w:p w14:paraId="608BA632" w14:textId="77777777" w:rsidR="00E47598" w:rsidRPr="00487209" w:rsidRDefault="00E47598" w:rsidP="006C6323">
            <w:pPr>
              <w:jc w:val="both"/>
              <w:rPr>
                <w:rFonts w:ascii="Times New Roman" w:hAnsi="Times New Roman" w:cs="Times New Roman"/>
                <w:sz w:val="18"/>
                <w:szCs w:val="18"/>
                <w:lang w:val="sr-Cyrl-CS"/>
              </w:rPr>
            </w:pPr>
          </w:p>
          <w:p w14:paraId="6873A45A"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Final European Assessment Document to be published </w:t>
            </w:r>
          </w:p>
          <w:p w14:paraId="377508E2" w14:textId="77777777" w:rsidR="00147811" w:rsidRPr="00487209" w:rsidRDefault="0014781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As soon as the first European Technical Assessment is issued by the responsible TAB on the basis of the adopted European Assessment Document, that European Assessment Document shall be adjusted, if appropriate, based on experiences gained. The </w:t>
            </w:r>
            <w:r w:rsidRPr="00487209">
              <w:rPr>
                <w:rFonts w:ascii="Times New Roman" w:hAnsi="Times New Roman" w:cs="Times New Roman"/>
                <w:sz w:val="18"/>
                <w:szCs w:val="18"/>
                <w:lang w:val="sr-Cyrl-CS"/>
              </w:rPr>
              <w:lastRenderedPageBreak/>
              <w:t>organisation of TABs shall adopt the final European Assessment Document and shall send a copy thereof to the Commission, together with a translation of its title in all the official languages of the Union, for publication of its reference. The organisation of TABs shall keep the European Assessment Document available by electronic means as soon as the product has been CE-marked.</w:t>
            </w:r>
          </w:p>
          <w:p w14:paraId="1FE28711" w14:textId="77777777" w:rsidR="00147811" w:rsidRPr="00487209" w:rsidRDefault="00147811" w:rsidP="006C6323">
            <w:pPr>
              <w:jc w:val="both"/>
              <w:rPr>
                <w:rFonts w:ascii="Times New Roman" w:hAnsi="Times New Roman" w:cs="Times New Roman"/>
                <w:sz w:val="18"/>
                <w:szCs w:val="18"/>
                <w:lang w:val="sr-Cyrl-CS"/>
              </w:rPr>
            </w:pPr>
          </w:p>
        </w:tc>
        <w:tc>
          <w:tcPr>
            <w:tcW w:w="429" w:type="pct"/>
            <w:shd w:val="clear" w:color="auto" w:fill="auto"/>
            <w:vAlign w:val="center"/>
          </w:tcPr>
          <w:p w14:paraId="3556BA66" w14:textId="483C7D0C" w:rsidR="00147811" w:rsidRPr="00487209" w:rsidRDefault="00147811" w:rsidP="006C6323">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51CE3E2E" w14:textId="77777777" w:rsidR="00147811" w:rsidRPr="00487209" w:rsidRDefault="00147811" w:rsidP="006C6323">
            <w:pPr>
              <w:jc w:val="both"/>
              <w:rPr>
                <w:rFonts w:ascii="Times New Roman" w:hAnsi="Times New Roman" w:cs="Times New Roman"/>
                <w:sz w:val="18"/>
                <w:szCs w:val="18"/>
                <w:lang w:val="sr-Latn-BA"/>
              </w:rPr>
            </w:pPr>
          </w:p>
        </w:tc>
        <w:tc>
          <w:tcPr>
            <w:tcW w:w="458" w:type="pct"/>
            <w:shd w:val="clear" w:color="auto" w:fill="auto"/>
            <w:vAlign w:val="center"/>
          </w:tcPr>
          <w:p w14:paraId="70344380" w14:textId="02597ADE" w:rsidR="00147811" w:rsidRPr="00487209" w:rsidRDefault="00993219"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НП</w:t>
            </w:r>
          </w:p>
        </w:tc>
        <w:tc>
          <w:tcPr>
            <w:tcW w:w="598" w:type="pct"/>
            <w:gridSpan w:val="2"/>
            <w:shd w:val="clear" w:color="auto" w:fill="auto"/>
            <w:vAlign w:val="center"/>
          </w:tcPr>
          <w:p w14:paraId="200E68B5" w14:textId="0EB44AB3" w:rsidR="00147811" w:rsidRPr="00487209" w:rsidRDefault="001625B5" w:rsidP="00A43D0A">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Т</w:t>
            </w:r>
            <w:r>
              <w:rPr>
                <w:rFonts w:ascii="Times New Roman" w:hAnsi="Times New Roman" w:cs="Times New Roman"/>
                <w:sz w:val="18"/>
                <w:szCs w:val="18"/>
                <w:lang w:val="ru-RU"/>
              </w:rPr>
              <w:t>ачка</w:t>
            </w:r>
            <w:r w:rsidRPr="00487209">
              <w:rPr>
                <w:rFonts w:ascii="Times New Roman" w:hAnsi="Times New Roman" w:cs="Times New Roman"/>
                <w:sz w:val="18"/>
                <w:szCs w:val="18"/>
                <w:lang w:val="ru-RU"/>
              </w:rPr>
              <w:t xml:space="preserve"> </w:t>
            </w:r>
            <w:r w:rsidR="00A43D0A" w:rsidRPr="00487209">
              <w:rPr>
                <w:rFonts w:ascii="Times New Roman" w:hAnsi="Times New Roman" w:cs="Times New Roman"/>
                <w:sz w:val="18"/>
                <w:szCs w:val="18"/>
              </w:rPr>
              <w:t>8</w:t>
            </w:r>
            <w:r w:rsidR="00A43D0A" w:rsidRPr="00487209">
              <w:rPr>
                <w:rFonts w:ascii="Times New Roman" w:hAnsi="Times New Roman" w:cs="Times New Roman"/>
                <w:sz w:val="18"/>
                <w:szCs w:val="18"/>
                <w:lang w:val="ru-RU"/>
              </w:rPr>
              <w:t xml:space="preserve">. Анекса </w:t>
            </w:r>
            <w:r w:rsidR="00A43D0A" w:rsidRPr="00487209">
              <w:rPr>
                <w:rFonts w:ascii="Times New Roman" w:hAnsi="Times New Roman" w:cs="Times New Roman"/>
                <w:sz w:val="18"/>
                <w:szCs w:val="18"/>
              </w:rPr>
              <w:t>II</w:t>
            </w:r>
            <w:r w:rsidR="00A43D0A" w:rsidRPr="00487209">
              <w:rPr>
                <w:rFonts w:ascii="Times New Roman" w:hAnsi="Times New Roman" w:cs="Times New Roman"/>
                <w:sz w:val="18"/>
                <w:szCs w:val="18"/>
                <w:lang w:val="sr-Cyrl-CS"/>
              </w:rPr>
              <w:t xml:space="preserve"> Уредбе 305/2011 (ЕУ) није пренет</w:t>
            </w:r>
            <w:r w:rsidR="00EE2CFD">
              <w:rPr>
                <w:rFonts w:ascii="Times New Roman" w:hAnsi="Times New Roman" w:cs="Times New Roman"/>
                <w:sz w:val="18"/>
                <w:szCs w:val="18"/>
                <w:lang w:val="sr-Cyrl-CS"/>
              </w:rPr>
              <w:t>а</w:t>
            </w:r>
            <w:r w:rsidR="00A43D0A" w:rsidRPr="00487209">
              <w:rPr>
                <w:rFonts w:ascii="Times New Roman" w:hAnsi="Times New Roman" w:cs="Times New Roman"/>
                <w:sz w:val="18"/>
                <w:szCs w:val="18"/>
                <w:lang w:val="sr-Cyrl-CS"/>
              </w:rPr>
              <w:t>, јер се односи на обавезу организације ТАВ-ова</w:t>
            </w:r>
          </w:p>
        </w:tc>
        <w:tc>
          <w:tcPr>
            <w:tcW w:w="480" w:type="pct"/>
            <w:shd w:val="clear" w:color="auto" w:fill="auto"/>
            <w:vAlign w:val="center"/>
          </w:tcPr>
          <w:p w14:paraId="63D3AE1C" w14:textId="77777777" w:rsidR="00147811" w:rsidRPr="00487209" w:rsidRDefault="00147811" w:rsidP="006C6323">
            <w:pPr>
              <w:spacing w:before="120" w:after="120"/>
              <w:jc w:val="center"/>
              <w:rPr>
                <w:rFonts w:ascii="Times New Roman" w:hAnsi="Times New Roman" w:cs="Times New Roman"/>
                <w:sz w:val="18"/>
                <w:szCs w:val="18"/>
                <w:lang w:val="sr-Cyrl-CS"/>
              </w:rPr>
            </w:pPr>
          </w:p>
        </w:tc>
      </w:tr>
      <w:tr w:rsidR="004B0D51" w:rsidRPr="00487209" w14:paraId="2D8393C0" w14:textId="77777777" w:rsidTr="007D5144">
        <w:trPr>
          <w:trHeight w:val="1220"/>
          <w:jc w:val="center"/>
        </w:trPr>
        <w:tc>
          <w:tcPr>
            <w:tcW w:w="435" w:type="pct"/>
            <w:shd w:val="clear" w:color="auto" w:fill="auto"/>
            <w:vAlign w:val="center"/>
          </w:tcPr>
          <w:p w14:paraId="75E939A4" w14:textId="77777777" w:rsidR="004B0D51" w:rsidRPr="00487209" w:rsidRDefault="004B0D5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III</w:t>
            </w:r>
          </w:p>
          <w:p w14:paraId="0F554EDA" w14:textId="77777777" w:rsidR="004B0D51" w:rsidRPr="00487209" w:rsidRDefault="004B0D51" w:rsidP="006C6323">
            <w:pPr>
              <w:jc w:val="center"/>
              <w:rPr>
                <w:rFonts w:ascii="Times New Roman" w:eastAsia="Arial Unicode MS" w:hAnsi="Times New Roman" w:cs="Times New Roman"/>
                <w:i/>
                <w:iCs/>
                <w:sz w:val="18"/>
                <w:szCs w:val="18"/>
                <w:shd w:val="clear" w:color="auto" w:fill="FFFFFF"/>
                <w:lang w:val="sr-Latn-CS"/>
              </w:rPr>
            </w:pPr>
            <w:r w:rsidRPr="00487209">
              <w:rPr>
                <w:rFonts w:ascii="Times New Roman" w:eastAsia="Arial Unicode MS" w:hAnsi="Times New Roman" w:cs="Times New Roman"/>
                <w:i/>
                <w:iCs/>
                <w:sz w:val="18"/>
                <w:szCs w:val="18"/>
                <w:shd w:val="clear" w:color="auto" w:fill="D9D9D9" w:themeFill="background1" w:themeFillShade="D9"/>
                <w:lang w:val="sr-Latn-CS"/>
              </w:rPr>
              <w:t>Title</w:t>
            </w:r>
          </w:p>
        </w:tc>
        <w:tc>
          <w:tcPr>
            <w:tcW w:w="1369" w:type="pct"/>
            <w:gridSpan w:val="2"/>
            <w:shd w:val="clear" w:color="auto" w:fill="auto"/>
            <w:vAlign w:val="center"/>
          </w:tcPr>
          <w:p w14:paraId="56BEC7DA" w14:textId="77777777" w:rsidR="004B0D51" w:rsidRPr="00487209" w:rsidRDefault="004B0D51" w:rsidP="006C6323">
            <w:pPr>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DECLARATION OF PERFORMANCE</w:t>
            </w:r>
          </w:p>
          <w:p w14:paraId="7005DB0C" w14:textId="77777777" w:rsidR="004B0D51" w:rsidRPr="00487209" w:rsidRDefault="004B0D51" w:rsidP="006C6323">
            <w:pPr>
              <w:jc w:val="both"/>
              <w:rPr>
                <w:rFonts w:ascii="Times New Roman" w:hAnsi="Times New Roman" w:cs="Times New Roman"/>
                <w:sz w:val="18"/>
                <w:szCs w:val="18"/>
              </w:rPr>
            </w:pPr>
            <w:r w:rsidRPr="00487209">
              <w:rPr>
                <w:rFonts w:ascii="Times New Roman" w:hAnsi="Times New Roman" w:cs="Times New Roman"/>
                <w:sz w:val="18"/>
                <w:szCs w:val="18"/>
                <w:lang w:val="sr-Cyrl-CS"/>
              </w:rPr>
              <w:t>No</w:t>
            </w:r>
          </w:p>
        </w:tc>
        <w:tc>
          <w:tcPr>
            <w:tcW w:w="3196" w:type="pct"/>
            <w:gridSpan w:val="7"/>
            <w:vMerge w:val="restart"/>
            <w:shd w:val="clear" w:color="auto" w:fill="auto"/>
            <w:vAlign w:val="center"/>
          </w:tcPr>
          <w:p w14:paraId="001F5E20" w14:textId="4F1E184C" w:rsidR="004B0D51" w:rsidRPr="00487209" w:rsidRDefault="004B0D51" w:rsidP="006C6323">
            <w:pPr>
              <w:spacing w:before="120" w:after="120"/>
              <w:ind w:firstLine="21"/>
              <w:jc w:val="both"/>
              <w:rPr>
                <w:rFonts w:ascii="Times New Roman" w:hAnsi="Times New Roman" w:cs="Times New Roman"/>
                <w:sz w:val="18"/>
                <w:szCs w:val="18"/>
                <w:lang w:val="ru-RU"/>
              </w:rPr>
            </w:pPr>
          </w:p>
          <w:p w14:paraId="5096EE2E" w14:textId="551F623D" w:rsidR="00CF3137" w:rsidRPr="00487209" w:rsidRDefault="00CF3137" w:rsidP="006C6323">
            <w:pPr>
              <w:spacing w:before="120" w:after="120"/>
              <w:ind w:firstLine="21"/>
              <w:jc w:val="both"/>
              <w:rPr>
                <w:rFonts w:ascii="Times New Roman" w:hAnsi="Times New Roman" w:cs="Times New Roman"/>
                <w:sz w:val="18"/>
                <w:szCs w:val="18"/>
                <w:lang w:val="ru-RU"/>
              </w:rPr>
            </w:pPr>
          </w:p>
          <w:p w14:paraId="3008AA5C" w14:textId="1A8CDE16" w:rsidR="00CF3137" w:rsidRPr="00487209" w:rsidRDefault="00CF3137" w:rsidP="006C6323">
            <w:pPr>
              <w:spacing w:before="120" w:after="120"/>
              <w:ind w:firstLine="21"/>
              <w:jc w:val="both"/>
              <w:rPr>
                <w:rFonts w:ascii="Times New Roman" w:hAnsi="Times New Roman" w:cs="Times New Roman"/>
                <w:sz w:val="18"/>
                <w:szCs w:val="18"/>
                <w:lang w:val="ru-RU"/>
              </w:rPr>
            </w:pPr>
          </w:p>
          <w:p w14:paraId="29309FA0" w14:textId="1760DEF3" w:rsidR="00CF3137" w:rsidRPr="00487209" w:rsidRDefault="00CF3137" w:rsidP="006C6323">
            <w:pPr>
              <w:spacing w:before="120" w:after="120"/>
              <w:ind w:firstLine="21"/>
              <w:jc w:val="both"/>
              <w:rPr>
                <w:rFonts w:ascii="Times New Roman" w:hAnsi="Times New Roman" w:cs="Times New Roman"/>
                <w:sz w:val="18"/>
                <w:szCs w:val="18"/>
                <w:lang w:val="ru-RU"/>
              </w:rPr>
            </w:pPr>
          </w:p>
          <w:p w14:paraId="7A55D92E" w14:textId="442B5AB7" w:rsidR="00CF3137" w:rsidRPr="00487209" w:rsidRDefault="00CF3137" w:rsidP="006C6323">
            <w:pPr>
              <w:spacing w:before="120" w:after="120"/>
              <w:ind w:firstLine="21"/>
              <w:jc w:val="both"/>
              <w:rPr>
                <w:rFonts w:ascii="Times New Roman" w:hAnsi="Times New Roman" w:cs="Times New Roman"/>
                <w:sz w:val="18"/>
                <w:szCs w:val="18"/>
                <w:lang w:val="ru-RU"/>
              </w:rPr>
            </w:pPr>
          </w:p>
          <w:p w14:paraId="4E43EF2D" w14:textId="29AD1AAA" w:rsidR="00CF3137" w:rsidRPr="00487209" w:rsidRDefault="00CF3137" w:rsidP="006C6323">
            <w:pPr>
              <w:spacing w:before="120" w:after="120"/>
              <w:ind w:firstLine="21"/>
              <w:jc w:val="both"/>
              <w:rPr>
                <w:rFonts w:ascii="Times New Roman" w:hAnsi="Times New Roman" w:cs="Times New Roman"/>
                <w:sz w:val="18"/>
                <w:szCs w:val="18"/>
                <w:lang w:val="ru-RU"/>
              </w:rPr>
            </w:pPr>
          </w:p>
          <w:p w14:paraId="70E4C5E5" w14:textId="3D4752BA" w:rsidR="00CF3137" w:rsidRPr="00487209" w:rsidRDefault="00CF3137" w:rsidP="006C6323">
            <w:pPr>
              <w:spacing w:before="120" w:after="120"/>
              <w:ind w:firstLine="21"/>
              <w:jc w:val="both"/>
              <w:rPr>
                <w:rFonts w:ascii="Times New Roman" w:hAnsi="Times New Roman" w:cs="Times New Roman"/>
                <w:sz w:val="18"/>
                <w:szCs w:val="18"/>
                <w:lang w:val="ru-RU"/>
              </w:rPr>
            </w:pPr>
          </w:p>
          <w:p w14:paraId="743D71CC" w14:textId="77777777" w:rsidR="00CF3137" w:rsidRPr="00487209" w:rsidRDefault="00CF3137" w:rsidP="006C6323">
            <w:pPr>
              <w:spacing w:before="120" w:after="120"/>
              <w:ind w:firstLine="21"/>
              <w:jc w:val="both"/>
              <w:rPr>
                <w:rFonts w:ascii="Times New Roman" w:hAnsi="Times New Roman" w:cs="Times New Roman"/>
                <w:sz w:val="18"/>
                <w:szCs w:val="18"/>
                <w:lang w:val="ru-RU"/>
              </w:rPr>
            </w:pPr>
          </w:p>
          <w:p w14:paraId="3A115336" w14:textId="7CB85602" w:rsidR="004B0D51" w:rsidRPr="00487209" w:rsidRDefault="004B0D51" w:rsidP="004B0D51">
            <w:pPr>
              <w:pStyle w:val="doc-ti"/>
              <w:spacing w:before="120" w:beforeAutospacing="0" w:after="0" w:afterAutospacing="0"/>
              <w:rPr>
                <w:b/>
                <w:bCs/>
                <w:sz w:val="18"/>
                <w:szCs w:val="18"/>
                <w:lang w:val="sr-Cyrl-CS"/>
              </w:rPr>
            </w:pPr>
            <w:r w:rsidRPr="00487209">
              <w:rPr>
                <w:sz w:val="18"/>
                <w:szCs w:val="18"/>
              </w:rPr>
              <w:t xml:space="preserve">Anex III </w:t>
            </w:r>
            <w:r w:rsidRPr="00487209">
              <w:rPr>
                <w:sz w:val="18"/>
                <w:szCs w:val="18"/>
                <w:lang w:val="sr-Cyrl-CS"/>
              </w:rPr>
              <w:t>Уредбе 305/2011 (ЕУ)</w:t>
            </w:r>
            <w:r w:rsidRPr="00487209">
              <w:rPr>
                <w:sz w:val="18"/>
                <w:szCs w:val="18"/>
              </w:rPr>
              <w:t xml:space="preserve"> je</w:t>
            </w:r>
            <w:r w:rsidRPr="00487209">
              <w:rPr>
                <w:sz w:val="18"/>
                <w:szCs w:val="18"/>
                <w:lang w:val="sr-Cyrl-CS"/>
              </w:rPr>
              <w:t xml:space="preserve"> измењен и донета је </w:t>
            </w:r>
            <w:r w:rsidRPr="00487209">
              <w:rPr>
                <w:b/>
                <w:bCs/>
                <w:sz w:val="18"/>
                <w:szCs w:val="18"/>
              </w:rPr>
              <w:t>COMMISSION DELEGATED REGULATION (EU) No 574/2014</w:t>
            </w:r>
            <w:r w:rsidRPr="00487209">
              <w:rPr>
                <w:b/>
                <w:bCs/>
                <w:sz w:val="18"/>
                <w:szCs w:val="18"/>
                <w:lang w:val="sr-Cyrl-CS"/>
              </w:rPr>
              <w:t xml:space="preserve"> </w:t>
            </w:r>
            <w:r w:rsidRPr="00487209">
              <w:rPr>
                <w:b/>
                <w:bCs/>
                <w:sz w:val="18"/>
                <w:szCs w:val="18"/>
              </w:rPr>
              <w:t>of 21 February 2014</w:t>
            </w:r>
            <w:r w:rsidRPr="00487209">
              <w:rPr>
                <w:b/>
                <w:bCs/>
                <w:sz w:val="18"/>
                <w:szCs w:val="18"/>
                <w:lang w:val="sr-Cyrl-CS"/>
              </w:rPr>
              <w:t xml:space="preserve"> </w:t>
            </w:r>
            <w:r w:rsidRPr="00487209">
              <w:rPr>
                <w:b/>
                <w:bCs/>
                <w:sz w:val="18"/>
                <w:szCs w:val="18"/>
              </w:rPr>
              <w:t>amending Annex III to Regulation (EU) No 305/2011 of the European Parliament and of the Council on the model to be used for drawing up a declaration of performance on construction products</w:t>
            </w:r>
            <w:r w:rsidRPr="00487209">
              <w:rPr>
                <w:b/>
                <w:bCs/>
                <w:sz w:val="18"/>
                <w:szCs w:val="18"/>
                <w:lang w:val="sr-Cyrl-CS"/>
              </w:rPr>
              <w:t>.</w:t>
            </w:r>
          </w:p>
          <w:p w14:paraId="49A3D733" w14:textId="41177CCF" w:rsidR="004B0D51" w:rsidRPr="00487209" w:rsidRDefault="0073105A" w:rsidP="004B0D51">
            <w:pPr>
              <w:spacing w:before="120" w:after="120"/>
              <w:jc w:val="center"/>
              <w:rPr>
                <w:rFonts w:ascii="Times New Roman" w:hAnsi="Times New Roman" w:cs="Times New Roman"/>
                <w:sz w:val="18"/>
                <w:szCs w:val="18"/>
              </w:rPr>
            </w:pPr>
            <w:r>
              <w:rPr>
                <w:rFonts w:ascii="Times New Roman" w:hAnsi="Times New Roman" w:cs="Times New Roman"/>
                <w:sz w:val="18"/>
                <w:szCs w:val="18"/>
                <w:lang w:val="sr-Cyrl-CS"/>
              </w:rPr>
              <w:t>Предлог</w:t>
            </w:r>
            <w:r w:rsidR="004B0D51" w:rsidRPr="00487209">
              <w:rPr>
                <w:rFonts w:ascii="Times New Roman" w:hAnsi="Times New Roman" w:cs="Times New Roman"/>
                <w:sz w:val="18"/>
                <w:szCs w:val="18"/>
                <w:lang w:val="sr-Cyrl-CS"/>
              </w:rPr>
              <w:t xml:space="preserve">ом закона о грађевинским производима је предвиђен подзаконски акт којим ће бити пренета </w:t>
            </w:r>
            <w:r w:rsidR="004B0D51" w:rsidRPr="00487209">
              <w:rPr>
                <w:b/>
                <w:bCs/>
                <w:sz w:val="18"/>
                <w:szCs w:val="18"/>
              </w:rPr>
              <w:t>COMMISSION DELEGATED REGULATION (EU) No 574/2014</w:t>
            </w:r>
            <w:r w:rsidR="004B0D51" w:rsidRPr="00487209">
              <w:rPr>
                <w:b/>
                <w:bCs/>
                <w:sz w:val="18"/>
                <w:szCs w:val="18"/>
                <w:lang w:val="sr-Cyrl-CS"/>
              </w:rPr>
              <w:t xml:space="preserve"> </w:t>
            </w:r>
            <w:r w:rsidR="004B0D51" w:rsidRPr="00487209">
              <w:rPr>
                <w:rFonts w:ascii="Times New Roman" w:hAnsi="Times New Roman" w:cs="Times New Roman"/>
                <w:sz w:val="18"/>
                <w:szCs w:val="18"/>
                <w:lang w:val="sr-Cyrl-CS"/>
              </w:rPr>
              <w:t xml:space="preserve">и за њу је израђена засебна табела усклађености </w:t>
            </w:r>
          </w:p>
        </w:tc>
      </w:tr>
      <w:tr w:rsidR="004B0D51" w:rsidRPr="00487209" w14:paraId="3E9A102C" w14:textId="77777777" w:rsidTr="007D5144">
        <w:trPr>
          <w:trHeight w:val="1092"/>
          <w:jc w:val="center"/>
        </w:trPr>
        <w:tc>
          <w:tcPr>
            <w:tcW w:w="435" w:type="pct"/>
            <w:shd w:val="clear" w:color="auto" w:fill="auto"/>
            <w:vAlign w:val="center"/>
          </w:tcPr>
          <w:p w14:paraId="2BC7E685" w14:textId="77777777" w:rsidR="004B0D51" w:rsidRPr="00487209" w:rsidRDefault="004B0D51" w:rsidP="00BD3C01">
            <w:pPr>
              <w:spacing w:before="120" w:after="120"/>
              <w:jc w:val="center"/>
              <w:rPr>
                <w:rFonts w:ascii="Times New Roman" w:eastAsia="Arial Unicode MS" w:hAnsi="Times New Roman" w:cs="Times New Roman"/>
                <w:i/>
                <w:iCs/>
                <w:sz w:val="18"/>
                <w:szCs w:val="18"/>
                <w:shd w:val="clear" w:color="auto" w:fill="D9D9D9" w:themeFill="background1" w:themeFillShade="D9"/>
              </w:rPr>
            </w:pPr>
            <w:r w:rsidRPr="00487209">
              <w:rPr>
                <w:rFonts w:ascii="Times New Roman" w:hAnsi="Times New Roman" w:cs="Times New Roman"/>
                <w:sz w:val="18"/>
                <w:szCs w:val="18"/>
              </w:rPr>
              <w:t>ANNEX III</w:t>
            </w:r>
            <w:r w:rsidRPr="00487209">
              <w:rPr>
                <w:rFonts w:ascii="Times New Roman" w:eastAsia="Arial Unicode MS" w:hAnsi="Times New Roman" w:cs="Times New Roman"/>
                <w:i/>
                <w:iCs/>
                <w:sz w:val="18"/>
                <w:szCs w:val="18"/>
                <w:shd w:val="clear" w:color="auto" w:fill="D9D9D9" w:themeFill="background1" w:themeFillShade="D9"/>
              </w:rPr>
              <w:t xml:space="preserve"> </w:t>
            </w:r>
          </w:p>
          <w:p w14:paraId="2EE357E1" w14:textId="77777777" w:rsidR="004B0D51" w:rsidRPr="00487209" w:rsidRDefault="004B0D51" w:rsidP="00BD3C01">
            <w:pPr>
              <w:spacing w:before="120" w:after="120"/>
              <w:jc w:val="center"/>
              <w:rPr>
                <w:rFonts w:ascii="Times New Roman" w:eastAsia="Arial Unicode MS" w:hAnsi="Times New Roman" w:cs="Times New Roman"/>
                <w:iCs/>
                <w:sz w:val="18"/>
                <w:szCs w:val="18"/>
                <w:shd w:val="clear" w:color="auto" w:fill="FFFFFF"/>
              </w:rPr>
            </w:pPr>
            <w:r w:rsidRPr="00487209">
              <w:rPr>
                <w:rFonts w:ascii="Times New Roman" w:eastAsia="Arial Unicode MS" w:hAnsi="Times New Roman" w:cs="Times New Roman"/>
                <w:iCs/>
                <w:sz w:val="18"/>
                <w:szCs w:val="18"/>
                <w:shd w:val="clear" w:color="auto" w:fill="D9D9D9" w:themeFill="background1" w:themeFillShade="D9"/>
              </w:rPr>
              <w:t>1.</w:t>
            </w:r>
          </w:p>
        </w:tc>
        <w:tc>
          <w:tcPr>
            <w:tcW w:w="1369" w:type="pct"/>
            <w:gridSpan w:val="2"/>
            <w:shd w:val="clear" w:color="auto" w:fill="auto"/>
            <w:vAlign w:val="center"/>
          </w:tcPr>
          <w:p w14:paraId="62AF2B3A"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eastAsia="Arial Unicode MS" w:hAnsi="Times New Roman" w:cs="Times New Roman"/>
                <w:sz w:val="18"/>
                <w:szCs w:val="18"/>
                <w:shd w:val="clear" w:color="auto" w:fill="D9D9D9" w:themeFill="background1" w:themeFillShade="D9"/>
              </w:rPr>
              <w:t>Unique identification code of the product-type:</w:t>
            </w:r>
          </w:p>
        </w:tc>
        <w:tc>
          <w:tcPr>
            <w:tcW w:w="3196" w:type="pct"/>
            <w:gridSpan w:val="7"/>
            <w:vMerge/>
            <w:shd w:val="clear" w:color="auto" w:fill="auto"/>
            <w:vAlign w:val="center"/>
          </w:tcPr>
          <w:p w14:paraId="17E17033" w14:textId="77777777" w:rsidR="004B0D51" w:rsidRPr="00487209" w:rsidRDefault="004B0D51" w:rsidP="006C6323">
            <w:pPr>
              <w:spacing w:before="120" w:after="120"/>
              <w:jc w:val="center"/>
              <w:rPr>
                <w:rFonts w:ascii="Times New Roman" w:hAnsi="Times New Roman" w:cs="Times New Roman"/>
                <w:sz w:val="18"/>
                <w:szCs w:val="18"/>
              </w:rPr>
            </w:pPr>
          </w:p>
        </w:tc>
      </w:tr>
      <w:tr w:rsidR="004B0D51" w:rsidRPr="00487209" w14:paraId="6E770C52" w14:textId="77777777" w:rsidTr="007D5144">
        <w:trPr>
          <w:trHeight w:val="1055"/>
          <w:jc w:val="center"/>
        </w:trPr>
        <w:tc>
          <w:tcPr>
            <w:tcW w:w="435" w:type="pct"/>
            <w:shd w:val="clear" w:color="auto" w:fill="auto"/>
            <w:vAlign w:val="center"/>
          </w:tcPr>
          <w:p w14:paraId="376B31F0" w14:textId="77777777" w:rsidR="004B0D51" w:rsidRPr="00487209" w:rsidRDefault="004B0D51" w:rsidP="00BD3C01">
            <w:pPr>
              <w:spacing w:before="120" w:after="120"/>
              <w:jc w:val="center"/>
              <w:rPr>
                <w:rFonts w:ascii="Times New Roman" w:eastAsia="Arial Unicode MS" w:hAnsi="Times New Roman" w:cs="Times New Roman"/>
                <w:i/>
                <w:iCs/>
                <w:sz w:val="18"/>
                <w:szCs w:val="18"/>
                <w:shd w:val="clear" w:color="auto" w:fill="D9D9D9" w:themeFill="background1" w:themeFillShade="D9"/>
              </w:rPr>
            </w:pPr>
            <w:r w:rsidRPr="00487209">
              <w:rPr>
                <w:rFonts w:ascii="Times New Roman" w:hAnsi="Times New Roman" w:cs="Times New Roman"/>
                <w:sz w:val="18"/>
                <w:szCs w:val="18"/>
              </w:rPr>
              <w:t>ANNEX</w:t>
            </w:r>
            <w:r w:rsidRPr="00487209">
              <w:rPr>
                <w:rFonts w:ascii="Times New Roman" w:eastAsia="Arial Unicode MS" w:hAnsi="Times New Roman" w:cs="Times New Roman"/>
                <w:i/>
                <w:iCs/>
                <w:sz w:val="18"/>
                <w:szCs w:val="18"/>
                <w:shd w:val="clear" w:color="auto" w:fill="D9D9D9" w:themeFill="background1" w:themeFillShade="D9"/>
              </w:rPr>
              <w:t xml:space="preserve"> </w:t>
            </w:r>
            <w:r w:rsidRPr="00487209">
              <w:rPr>
                <w:rFonts w:ascii="Times New Roman" w:hAnsi="Times New Roman" w:cs="Times New Roman"/>
                <w:sz w:val="18"/>
                <w:szCs w:val="18"/>
              </w:rPr>
              <w:t>III</w:t>
            </w:r>
          </w:p>
          <w:p w14:paraId="2667A8BE" w14:textId="77777777" w:rsidR="004B0D51" w:rsidRPr="00487209" w:rsidRDefault="004B0D51" w:rsidP="00BD3C01">
            <w:pPr>
              <w:spacing w:before="120" w:after="120"/>
              <w:jc w:val="center"/>
              <w:rPr>
                <w:rFonts w:ascii="Times New Roman" w:eastAsia="Arial Unicode MS" w:hAnsi="Times New Roman" w:cs="Times New Roman"/>
                <w:iCs/>
                <w:sz w:val="18"/>
                <w:szCs w:val="18"/>
                <w:shd w:val="clear" w:color="auto" w:fill="FFFFFF"/>
              </w:rPr>
            </w:pPr>
            <w:r w:rsidRPr="00487209">
              <w:rPr>
                <w:rFonts w:ascii="Times New Roman" w:eastAsia="Arial Unicode MS" w:hAnsi="Times New Roman" w:cs="Times New Roman"/>
                <w:iCs/>
                <w:sz w:val="18"/>
                <w:szCs w:val="18"/>
                <w:shd w:val="clear" w:color="auto" w:fill="D9D9D9" w:themeFill="background1" w:themeFillShade="D9"/>
              </w:rPr>
              <w:t>2.</w:t>
            </w:r>
          </w:p>
        </w:tc>
        <w:tc>
          <w:tcPr>
            <w:tcW w:w="1369" w:type="pct"/>
            <w:gridSpan w:val="2"/>
            <w:shd w:val="clear" w:color="auto" w:fill="auto"/>
            <w:vAlign w:val="center"/>
          </w:tcPr>
          <w:p w14:paraId="71C151B8"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eastAsia="Arial Unicode MS" w:hAnsi="Times New Roman" w:cs="Times New Roman"/>
                <w:sz w:val="18"/>
                <w:szCs w:val="18"/>
                <w:shd w:val="clear" w:color="auto" w:fill="D9D9D9" w:themeFill="background1" w:themeFillShade="D9"/>
              </w:rPr>
              <w:t>Intended use/es:</w:t>
            </w:r>
          </w:p>
        </w:tc>
        <w:tc>
          <w:tcPr>
            <w:tcW w:w="3196" w:type="pct"/>
            <w:gridSpan w:val="7"/>
            <w:vMerge/>
            <w:shd w:val="clear" w:color="auto" w:fill="auto"/>
            <w:vAlign w:val="center"/>
          </w:tcPr>
          <w:p w14:paraId="6702B8C3" w14:textId="77777777" w:rsidR="004B0D51" w:rsidRPr="00487209" w:rsidRDefault="004B0D51" w:rsidP="006C6323">
            <w:pPr>
              <w:spacing w:before="120" w:after="120"/>
              <w:jc w:val="center"/>
              <w:rPr>
                <w:rFonts w:ascii="Times New Roman" w:hAnsi="Times New Roman" w:cs="Times New Roman"/>
                <w:sz w:val="18"/>
                <w:szCs w:val="18"/>
              </w:rPr>
            </w:pPr>
          </w:p>
        </w:tc>
      </w:tr>
      <w:tr w:rsidR="004B0D51" w:rsidRPr="00487209" w14:paraId="1EE8B7C3" w14:textId="77777777" w:rsidTr="007D5144">
        <w:trPr>
          <w:trHeight w:val="913"/>
          <w:jc w:val="center"/>
        </w:trPr>
        <w:tc>
          <w:tcPr>
            <w:tcW w:w="435" w:type="pct"/>
            <w:shd w:val="clear" w:color="auto" w:fill="auto"/>
            <w:vAlign w:val="center"/>
          </w:tcPr>
          <w:p w14:paraId="68208CD0" w14:textId="77777777" w:rsidR="004B0D51" w:rsidRPr="00487209" w:rsidRDefault="004B0D51" w:rsidP="00BD3C01">
            <w:pPr>
              <w:spacing w:before="120" w:after="120"/>
              <w:jc w:val="center"/>
              <w:rPr>
                <w:rFonts w:ascii="Times New Roman" w:eastAsia="Arial Unicode MS" w:hAnsi="Times New Roman" w:cs="Times New Roman"/>
                <w:i/>
                <w:iCs/>
                <w:sz w:val="18"/>
                <w:szCs w:val="18"/>
                <w:shd w:val="clear" w:color="auto" w:fill="D9D9D9" w:themeFill="background1" w:themeFillShade="D9"/>
              </w:rPr>
            </w:pPr>
            <w:r w:rsidRPr="00487209">
              <w:rPr>
                <w:rFonts w:ascii="Times New Roman" w:hAnsi="Times New Roman" w:cs="Times New Roman"/>
                <w:sz w:val="18"/>
                <w:szCs w:val="18"/>
              </w:rPr>
              <w:t>ANNEX III</w:t>
            </w:r>
            <w:r w:rsidRPr="00487209">
              <w:rPr>
                <w:rFonts w:ascii="Times New Roman" w:eastAsia="Arial Unicode MS" w:hAnsi="Times New Roman" w:cs="Times New Roman"/>
                <w:i/>
                <w:iCs/>
                <w:sz w:val="18"/>
                <w:szCs w:val="18"/>
                <w:shd w:val="clear" w:color="auto" w:fill="D9D9D9" w:themeFill="background1" w:themeFillShade="D9"/>
              </w:rPr>
              <w:t xml:space="preserve"> </w:t>
            </w:r>
          </w:p>
          <w:p w14:paraId="43C6FE79" w14:textId="77777777" w:rsidR="004B0D51" w:rsidRPr="00487209" w:rsidRDefault="004B0D51" w:rsidP="00BD3C01">
            <w:pPr>
              <w:spacing w:before="120" w:after="120"/>
              <w:jc w:val="center"/>
              <w:rPr>
                <w:rFonts w:ascii="Times New Roman" w:eastAsia="Arial Unicode MS" w:hAnsi="Times New Roman" w:cs="Times New Roman"/>
                <w:iCs/>
                <w:sz w:val="18"/>
                <w:szCs w:val="18"/>
                <w:shd w:val="clear" w:color="auto" w:fill="FFFFFF"/>
              </w:rPr>
            </w:pPr>
            <w:r w:rsidRPr="00487209">
              <w:rPr>
                <w:rFonts w:ascii="Times New Roman" w:eastAsia="Arial Unicode MS" w:hAnsi="Times New Roman" w:cs="Times New Roman"/>
                <w:iCs/>
                <w:sz w:val="18"/>
                <w:szCs w:val="18"/>
                <w:shd w:val="clear" w:color="auto" w:fill="D9D9D9" w:themeFill="background1" w:themeFillShade="D9"/>
              </w:rPr>
              <w:t>3.</w:t>
            </w:r>
          </w:p>
        </w:tc>
        <w:tc>
          <w:tcPr>
            <w:tcW w:w="1369" w:type="pct"/>
            <w:gridSpan w:val="2"/>
            <w:shd w:val="clear" w:color="auto" w:fill="auto"/>
            <w:vAlign w:val="center"/>
          </w:tcPr>
          <w:p w14:paraId="441D4BE9"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eastAsia="Arial Unicode MS" w:hAnsi="Times New Roman" w:cs="Times New Roman"/>
                <w:sz w:val="18"/>
                <w:szCs w:val="18"/>
                <w:shd w:val="clear" w:color="auto" w:fill="D9D9D9" w:themeFill="background1" w:themeFillShade="D9"/>
              </w:rPr>
              <w:t>Manufacturer:</w:t>
            </w:r>
          </w:p>
        </w:tc>
        <w:tc>
          <w:tcPr>
            <w:tcW w:w="3196" w:type="pct"/>
            <w:gridSpan w:val="7"/>
            <w:vMerge/>
            <w:shd w:val="clear" w:color="auto" w:fill="auto"/>
            <w:vAlign w:val="center"/>
          </w:tcPr>
          <w:p w14:paraId="3F118A05" w14:textId="77777777" w:rsidR="004B0D51" w:rsidRPr="00487209" w:rsidRDefault="004B0D51" w:rsidP="006C6323">
            <w:pPr>
              <w:spacing w:before="120" w:after="120"/>
              <w:jc w:val="center"/>
              <w:rPr>
                <w:rFonts w:ascii="Times New Roman" w:hAnsi="Times New Roman" w:cs="Times New Roman"/>
                <w:sz w:val="18"/>
                <w:szCs w:val="18"/>
              </w:rPr>
            </w:pPr>
          </w:p>
        </w:tc>
      </w:tr>
      <w:tr w:rsidR="004B0D51" w:rsidRPr="00487209" w14:paraId="018AA66D" w14:textId="77777777" w:rsidTr="007D5144">
        <w:trPr>
          <w:trHeight w:val="705"/>
          <w:jc w:val="center"/>
        </w:trPr>
        <w:tc>
          <w:tcPr>
            <w:tcW w:w="435" w:type="pct"/>
            <w:shd w:val="clear" w:color="auto" w:fill="auto"/>
            <w:vAlign w:val="center"/>
          </w:tcPr>
          <w:p w14:paraId="60DE746D" w14:textId="77777777" w:rsidR="004B0D51" w:rsidRPr="00487209" w:rsidRDefault="004B0D51" w:rsidP="00BD3C01">
            <w:pPr>
              <w:spacing w:before="120" w:after="120"/>
              <w:jc w:val="center"/>
              <w:rPr>
                <w:rFonts w:ascii="Times New Roman" w:eastAsia="Arial Unicode MS" w:hAnsi="Times New Roman" w:cs="Times New Roman"/>
                <w:i/>
                <w:iCs/>
                <w:sz w:val="18"/>
                <w:szCs w:val="18"/>
                <w:shd w:val="clear" w:color="auto" w:fill="D9D9D9" w:themeFill="background1" w:themeFillShade="D9"/>
              </w:rPr>
            </w:pPr>
            <w:r w:rsidRPr="00487209">
              <w:rPr>
                <w:rFonts w:ascii="Times New Roman" w:hAnsi="Times New Roman" w:cs="Times New Roman"/>
                <w:sz w:val="18"/>
                <w:szCs w:val="18"/>
              </w:rPr>
              <w:t>ANNEX</w:t>
            </w:r>
            <w:r w:rsidRPr="00487209">
              <w:rPr>
                <w:rFonts w:ascii="Times New Roman" w:eastAsia="Arial Unicode MS" w:hAnsi="Times New Roman" w:cs="Times New Roman"/>
                <w:i/>
                <w:iCs/>
                <w:sz w:val="18"/>
                <w:szCs w:val="18"/>
                <w:shd w:val="clear" w:color="auto" w:fill="D9D9D9" w:themeFill="background1" w:themeFillShade="D9"/>
              </w:rPr>
              <w:t xml:space="preserve"> </w:t>
            </w:r>
            <w:r w:rsidRPr="00487209">
              <w:rPr>
                <w:rFonts w:ascii="Times New Roman" w:hAnsi="Times New Roman" w:cs="Times New Roman"/>
                <w:sz w:val="18"/>
                <w:szCs w:val="18"/>
              </w:rPr>
              <w:t>III</w:t>
            </w:r>
          </w:p>
          <w:p w14:paraId="51256977" w14:textId="77777777" w:rsidR="004B0D51" w:rsidRPr="00487209" w:rsidRDefault="004B0D51" w:rsidP="00BD3C01">
            <w:pPr>
              <w:spacing w:before="120" w:after="120"/>
              <w:jc w:val="center"/>
              <w:rPr>
                <w:rFonts w:ascii="Times New Roman" w:eastAsia="Arial Unicode MS" w:hAnsi="Times New Roman" w:cs="Times New Roman"/>
                <w:iCs/>
                <w:sz w:val="18"/>
                <w:szCs w:val="18"/>
                <w:shd w:val="clear" w:color="auto" w:fill="FFFFFF"/>
              </w:rPr>
            </w:pPr>
            <w:r w:rsidRPr="00487209">
              <w:rPr>
                <w:rFonts w:ascii="Times New Roman" w:eastAsia="Arial Unicode MS" w:hAnsi="Times New Roman" w:cs="Times New Roman"/>
                <w:iCs/>
                <w:sz w:val="18"/>
                <w:szCs w:val="18"/>
                <w:shd w:val="clear" w:color="auto" w:fill="D9D9D9" w:themeFill="background1" w:themeFillShade="D9"/>
              </w:rPr>
              <w:t>4.</w:t>
            </w:r>
          </w:p>
        </w:tc>
        <w:tc>
          <w:tcPr>
            <w:tcW w:w="1369" w:type="pct"/>
            <w:gridSpan w:val="2"/>
            <w:shd w:val="clear" w:color="auto" w:fill="auto"/>
            <w:vAlign w:val="center"/>
          </w:tcPr>
          <w:p w14:paraId="234BDB57"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eastAsia="Arial Unicode MS" w:hAnsi="Times New Roman" w:cs="Times New Roman"/>
                <w:sz w:val="18"/>
                <w:szCs w:val="18"/>
                <w:shd w:val="clear" w:color="auto" w:fill="D9D9D9" w:themeFill="background1" w:themeFillShade="D9"/>
              </w:rPr>
              <w:t>Authorised representative:</w:t>
            </w:r>
          </w:p>
        </w:tc>
        <w:tc>
          <w:tcPr>
            <w:tcW w:w="3196" w:type="pct"/>
            <w:gridSpan w:val="7"/>
            <w:vMerge/>
            <w:shd w:val="clear" w:color="auto" w:fill="auto"/>
            <w:vAlign w:val="center"/>
          </w:tcPr>
          <w:p w14:paraId="62C02CFC" w14:textId="77777777" w:rsidR="004B0D51" w:rsidRPr="00487209" w:rsidRDefault="004B0D51" w:rsidP="006C6323">
            <w:pPr>
              <w:spacing w:before="120" w:after="120"/>
              <w:jc w:val="center"/>
              <w:rPr>
                <w:rFonts w:ascii="Times New Roman" w:hAnsi="Times New Roman" w:cs="Times New Roman"/>
                <w:sz w:val="18"/>
                <w:szCs w:val="18"/>
              </w:rPr>
            </w:pPr>
          </w:p>
        </w:tc>
      </w:tr>
      <w:tr w:rsidR="004B0D51" w:rsidRPr="00487209" w14:paraId="77EE8B8F" w14:textId="77777777" w:rsidTr="007D5144">
        <w:trPr>
          <w:trHeight w:val="1330"/>
          <w:jc w:val="center"/>
        </w:trPr>
        <w:tc>
          <w:tcPr>
            <w:tcW w:w="435" w:type="pct"/>
            <w:shd w:val="clear" w:color="auto" w:fill="auto"/>
            <w:vAlign w:val="center"/>
          </w:tcPr>
          <w:p w14:paraId="3F1F6622" w14:textId="77777777" w:rsidR="004B0D51" w:rsidRPr="00487209" w:rsidRDefault="004B0D51" w:rsidP="00BD3C01">
            <w:pPr>
              <w:spacing w:before="120" w:after="120"/>
              <w:jc w:val="center"/>
              <w:rPr>
                <w:rFonts w:ascii="Times New Roman" w:eastAsia="Arial Unicode MS" w:hAnsi="Times New Roman" w:cs="Times New Roman"/>
                <w:i/>
                <w:iCs/>
                <w:sz w:val="18"/>
                <w:szCs w:val="18"/>
                <w:shd w:val="clear" w:color="auto" w:fill="D9D9D9" w:themeFill="background1" w:themeFillShade="D9"/>
              </w:rPr>
            </w:pPr>
            <w:r w:rsidRPr="00487209">
              <w:rPr>
                <w:rFonts w:ascii="Times New Roman" w:hAnsi="Times New Roman" w:cs="Times New Roman"/>
                <w:sz w:val="18"/>
                <w:szCs w:val="18"/>
              </w:rPr>
              <w:t>ANNEX</w:t>
            </w:r>
            <w:r w:rsidRPr="00487209">
              <w:rPr>
                <w:rFonts w:ascii="Times New Roman" w:eastAsia="Arial Unicode MS" w:hAnsi="Times New Roman" w:cs="Times New Roman"/>
                <w:i/>
                <w:iCs/>
                <w:sz w:val="18"/>
                <w:szCs w:val="18"/>
                <w:shd w:val="clear" w:color="auto" w:fill="D9D9D9" w:themeFill="background1" w:themeFillShade="D9"/>
              </w:rPr>
              <w:t xml:space="preserve"> </w:t>
            </w:r>
            <w:r w:rsidRPr="00487209">
              <w:rPr>
                <w:rFonts w:ascii="Times New Roman" w:hAnsi="Times New Roman" w:cs="Times New Roman"/>
                <w:sz w:val="18"/>
                <w:szCs w:val="18"/>
              </w:rPr>
              <w:t>III</w:t>
            </w:r>
          </w:p>
          <w:p w14:paraId="329E0B95" w14:textId="77777777" w:rsidR="004B0D51" w:rsidRPr="00487209" w:rsidRDefault="004B0D51" w:rsidP="00BD3C01">
            <w:pPr>
              <w:spacing w:before="120" w:after="120"/>
              <w:jc w:val="center"/>
              <w:rPr>
                <w:rFonts w:ascii="Times New Roman" w:eastAsia="Arial Unicode MS" w:hAnsi="Times New Roman" w:cs="Times New Roman"/>
                <w:i/>
                <w:iCs/>
                <w:sz w:val="18"/>
                <w:szCs w:val="18"/>
                <w:shd w:val="clear" w:color="auto" w:fill="FFFFFF"/>
              </w:rPr>
            </w:pPr>
            <w:r w:rsidRPr="00487209">
              <w:rPr>
                <w:rFonts w:ascii="Times New Roman" w:eastAsia="Arial Unicode MS" w:hAnsi="Times New Roman" w:cs="Times New Roman"/>
                <w:iCs/>
                <w:sz w:val="18"/>
                <w:szCs w:val="18"/>
                <w:shd w:val="clear" w:color="auto" w:fill="D9D9D9" w:themeFill="background1" w:themeFillShade="D9"/>
              </w:rPr>
              <w:t>5</w:t>
            </w:r>
            <w:r w:rsidRPr="00487209">
              <w:rPr>
                <w:rFonts w:ascii="Times New Roman" w:eastAsia="Arial Unicode MS" w:hAnsi="Times New Roman" w:cs="Times New Roman"/>
                <w:i/>
                <w:iCs/>
                <w:sz w:val="18"/>
                <w:szCs w:val="18"/>
                <w:shd w:val="clear" w:color="auto" w:fill="D9D9D9" w:themeFill="background1" w:themeFillShade="D9"/>
              </w:rPr>
              <w:t>.</w:t>
            </w:r>
          </w:p>
        </w:tc>
        <w:tc>
          <w:tcPr>
            <w:tcW w:w="1369" w:type="pct"/>
            <w:gridSpan w:val="2"/>
            <w:shd w:val="clear" w:color="auto" w:fill="auto"/>
            <w:vAlign w:val="center"/>
          </w:tcPr>
          <w:p w14:paraId="742F2147"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eastAsia="Arial Unicode MS" w:hAnsi="Times New Roman" w:cs="Times New Roman"/>
                <w:sz w:val="18"/>
                <w:szCs w:val="18"/>
                <w:shd w:val="clear" w:color="auto" w:fill="D9D9D9" w:themeFill="background1" w:themeFillShade="D9"/>
              </w:rPr>
              <w:t>System/s of AVCP:</w:t>
            </w:r>
          </w:p>
        </w:tc>
        <w:tc>
          <w:tcPr>
            <w:tcW w:w="3196" w:type="pct"/>
            <w:gridSpan w:val="7"/>
            <w:vMerge/>
            <w:shd w:val="clear" w:color="auto" w:fill="auto"/>
            <w:vAlign w:val="center"/>
          </w:tcPr>
          <w:p w14:paraId="626C831B" w14:textId="77777777" w:rsidR="004B0D51" w:rsidRPr="00487209" w:rsidRDefault="004B0D51" w:rsidP="006C6323">
            <w:pPr>
              <w:spacing w:before="120" w:after="120"/>
              <w:jc w:val="center"/>
              <w:rPr>
                <w:rFonts w:ascii="Times New Roman" w:hAnsi="Times New Roman" w:cs="Times New Roman"/>
                <w:sz w:val="18"/>
                <w:szCs w:val="18"/>
              </w:rPr>
            </w:pPr>
          </w:p>
        </w:tc>
      </w:tr>
      <w:tr w:rsidR="004B0D51" w:rsidRPr="00487209" w14:paraId="668AA649" w14:textId="77777777" w:rsidTr="007D5144">
        <w:trPr>
          <w:trHeight w:val="1970"/>
          <w:jc w:val="center"/>
        </w:trPr>
        <w:tc>
          <w:tcPr>
            <w:tcW w:w="435" w:type="pct"/>
            <w:shd w:val="clear" w:color="auto" w:fill="auto"/>
            <w:vAlign w:val="center"/>
          </w:tcPr>
          <w:p w14:paraId="156CDB3F" w14:textId="77777777" w:rsidR="004B0D51" w:rsidRPr="00487209" w:rsidRDefault="004B0D51" w:rsidP="00BD3C01">
            <w:pPr>
              <w:spacing w:before="120" w:after="120"/>
              <w:jc w:val="center"/>
              <w:rPr>
                <w:rFonts w:ascii="Times New Roman" w:eastAsia="Arial Unicode MS" w:hAnsi="Times New Roman" w:cs="Times New Roman"/>
                <w:i/>
                <w:iCs/>
                <w:sz w:val="18"/>
                <w:szCs w:val="18"/>
                <w:shd w:val="clear" w:color="auto" w:fill="D9D9D9" w:themeFill="background1" w:themeFillShade="D9"/>
              </w:rPr>
            </w:pPr>
            <w:r w:rsidRPr="00487209">
              <w:rPr>
                <w:rFonts w:ascii="Times New Roman" w:hAnsi="Times New Roman" w:cs="Times New Roman"/>
                <w:sz w:val="18"/>
                <w:szCs w:val="18"/>
              </w:rPr>
              <w:lastRenderedPageBreak/>
              <w:t>ANNEX</w:t>
            </w:r>
            <w:r w:rsidRPr="00487209">
              <w:rPr>
                <w:rFonts w:ascii="Times New Roman" w:eastAsia="Arial Unicode MS" w:hAnsi="Times New Roman" w:cs="Times New Roman"/>
                <w:i/>
                <w:iCs/>
                <w:sz w:val="18"/>
                <w:szCs w:val="18"/>
                <w:shd w:val="clear" w:color="auto" w:fill="D9D9D9" w:themeFill="background1" w:themeFillShade="D9"/>
              </w:rPr>
              <w:t xml:space="preserve"> </w:t>
            </w:r>
            <w:r w:rsidRPr="00487209">
              <w:rPr>
                <w:rFonts w:ascii="Times New Roman" w:hAnsi="Times New Roman" w:cs="Times New Roman"/>
                <w:sz w:val="18"/>
                <w:szCs w:val="18"/>
              </w:rPr>
              <w:t>III</w:t>
            </w:r>
          </w:p>
          <w:p w14:paraId="0C23C1C1" w14:textId="77777777" w:rsidR="004B0D51" w:rsidRPr="00487209" w:rsidRDefault="004B0D51" w:rsidP="00BD3C01">
            <w:pPr>
              <w:spacing w:before="120" w:after="120"/>
              <w:jc w:val="center"/>
              <w:rPr>
                <w:rFonts w:ascii="Times New Roman" w:eastAsia="Arial Unicode MS" w:hAnsi="Times New Roman" w:cs="Times New Roman"/>
                <w:iCs/>
                <w:sz w:val="18"/>
                <w:szCs w:val="18"/>
                <w:shd w:val="clear" w:color="auto" w:fill="FFFFFF"/>
              </w:rPr>
            </w:pPr>
            <w:r w:rsidRPr="00487209">
              <w:rPr>
                <w:rFonts w:ascii="Times New Roman" w:eastAsia="Arial Unicode MS" w:hAnsi="Times New Roman" w:cs="Times New Roman"/>
                <w:iCs/>
                <w:sz w:val="18"/>
                <w:szCs w:val="18"/>
                <w:shd w:val="clear" w:color="auto" w:fill="D9D9D9" w:themeFill="background1" w:themeFillShade="D9"/>
              </w:rPr>
              <w:t>6a.</w:t>
            </w:r>
          </w:p>
        </w:tc>
        <w:tc>
          <w:tcPr>
            <w:tcW w:w="1369" w:type="pct"/>
            <w:gridSpan w:val="2"/>
            <w:shd w:val="clear" w:color="auto" w:fill="auto"/>
            <w:vAlign w:val="center"/>
          </w:tcPr>
          <w:p w14:paraId="52CCAFA0" w14:textId="77777777" w:rsidR="004B0D51" w:rsidRPr="00487209" w:rsidRDefault="004B0D51" w:rsidP="00BD3C01">
            <w:pPr>
              <w:pStyle w:val="norm"/>
              <w:spacing w:before="0" w:beforeAutospacing="0" w:after="0" w:afterAutospacing="0" w:line="250" w:lineRule="atLeast"/>
              <w:jc w:val="both"/>
              <w:textAlignment w:val="baseline"/>
              <w:rPr>
                <w:rFonts w:eastAsia="Arial Unicode MS"/>
                <w:sz w:val="18"/>
                <w:szCs w:val="18"/>
              </w:rPr>
            </w:pPr>
            <w:r w:rsidRPr="00487209">
              <w:rPr>
                <w:rFonts w:eastAsia="Arial Unicode MS"/>
                <w:sz w:val="18"/>
                <w:szCs w:val="18"/>
              </w:rPr>
              <w:t>Harmonised standard:</w:t>
            </w:r>
          </w:p>
          <w:p w14:paraId="117A74E7" w14:textId="77777777" w:rsidR="004B0D51" w:rsidRPr="00487209" w:rsidRDefault="004B0D51" w:rsidP="00BD3C01">
            <w:pPr>
              <w:pStyle w:val="List1"/>
              <w:spacing w:before="0" w:beforeAutospacing="0" w:after="0" w:afterAutospacing="0" w:line="250" w:lineRule="atLeast"/>
              <w:ind w:left="240" w:firstLine="38"/>
              <w:jc w:val="both"/>
              <w:textAlignment w:val="baseline"/>
              <w:rPr>
                <w:rFonts w:eastAsia="Arial Unicode MS"/>
                <w:sz w:val="18"/>
                <w:szCs w:val="18"/>
              </w:rPr>
            </w:pPr>
            <w:r w:rsidRPr="00487209">
              <w:rPr>
                <w:rFonts w:eastAsia="Arial Unicode MS"/>
                <w:sz w:val="18"/>
                <w:szCs w:val="18"/>
              </w:rPr>
              <w:t>Notified body/ies:</w:t>
            </w:r>
          </w:p>
          <w:p w14:paraId="21E38B5A"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p>
        </w:tc>
        <w:tc>
          <w:tcPr>
            <w:tcW w:w="3196" w:type="pct"/>
            <w:gridSpan w:val="7"/>
            <w:vMerge/>
            <w:shd w:val="clear" w:color="auto" w:fill="auto"/>
            <w:vAlign w:val="center"/>
          </w:tcPr>
          <w:p w14:paraId="1694D3B6" w14:textId="77777777" w:rsidR="004B0D51" w:rsidRPr="00487209" w:rsidRDefault="004B0D51" w:rsidP="006C6323">
            <w:pPr>
              <w:spacing w:before="120" w:after="120"/>
              <w:jc w:val="center"/>
              <w:rPr>
                <w:rFonts w:ascii="Times New Roman" w:hAnsi="Times New Roman" w:cs="Times New Roman"/>
                <w:sz w:val="18"/>
                <w:szCs w:val="18"/>
                <w:lang w:val="sr-Cyrl-CS"/>
              </w:rPr>
            </w:pPr>
          </w:p>
        </w:tc>
      </w:tr>
      <w:tr w:rsidR="004B0D51" w:rsidRPr="00487209" w14:paraId="55621459" w14:textId="77777777" w:rsidTr="007D5144">
        <w:trPr>
          <w:trHeight w:val="1970"/>
          <w:jc w:val="center"/>
        </w:trPr>
        <w:tc>
          <w:tcPr>
            <w:tcW w:w="435" w:type="pct"/>
            <w:shd w:val="clear" w:color="auto" w:fill="auto"/>
            <w:vAlign w:val="center"/>
          </w:tcPr>
          <w:p w14:paraId="701A2F0F" w14:textId="77777777" w:rsidR="004B0D51" w:rsidRPr="00487209" w:rsidRDefault="004B0D51" w:rsidP="006C6323">
            <w:pPr>
              <w:spacing w:before="120" w:after="120"/>
              <w:jc w:val="center"/>
              <w:rPr>
                <w:rFonts w:ascii="Times New Roman" w:eastAsia="Arial Unicode MS" w:hAnsi="Times New Roman" w:cs="Times New Roman"/>
                <w:i/>
                <w:iCs/>
                <w:sz w:val="18"/>
                <w:szCs w:val="18"/>
                <w:shd w:val="clear" w:color="auto" w:fill="D9D9D9" w:themeFill="background1" w:themeFillShade="D9"/>
              </w:rPr>
            </w:pPr>
            <w:r w:rsidRPr="00487209">
              <w:rPr>
                <w:rFonts w:ascii="Times New Roman" w:hAnsi="Times New Roman" w:cs="Times New Roman"/>
                <w:sz w:val="18"/>
                <w:szCs w:val="18"/>
              </w:rPr>
              <w:t>ANNEX III</w:t>
            </w:r>
            <w:r w:rsidRPr="00487209">
              <w:rPr>
                <w:rFonts w:ascii="Times New Roman" w:eastAsia="Arial Unicode MS" w:hAnsi="Times New Roman" w:cs="Times New Roman"/>
                <w:i/>
                <w:iCs/>
                <w:sz w:val="18"/>
                <w:szCs w:val="18"/>
                <w:shd w:val="clear" w:color="auto" w:fill="D9D9D9" w:themeFill="background1" w:themeFillShade="D9"/>
              </w:rPr>
              <w:t xml:space="preserve"> </w:t>
            </w:r>
          </w:p>
          <w:p w14:paraId="378C4BE9" w14:textId="77777777" w:rsidR="004B0D51" w:rsidRPr="00487209" w:rsidRDefault="004B0D51" w:rsidP="006C6323">
            <w:pPr>
              <w:spacing w:before="120" w:after="120"/>
              <w:jc w:val="center"/>
              <w:rPr>
                <w:rFonts w:ascii="Times New Roman" w:eastAsia="Arial Unicode MS" w:hAnsi="Times New Roman" w:cs="Times New Roman"/>
                <w:iCs/>
                <w:sz w:val="18"/>
                <w:szCs w:val="18"/>
                <w:shd w:val="clear" w:color="auto" w:fill="FFFFFF"/>
              </w:rPr>
            </w:pPr>
            <w:r w:rsidRPr="00487209">
              <w:rPr>
                <w:rFonts w:ascii="Times New Roman" w:eastAsia="Arial Unicode MS" w:hAnsi="Times New Roman" w:cs="Times New Roman"/>
                <w:iCs/>
                <w:sz w:val="18"/>
                <w:szCs w:val="18"/>
                <w:shd w:val="clear" w:color="auto" w:fill="D9D9D9" w:themeFill="background1" w:themeFillShade="D9"/>
              </w:rPr>
              <w:t>6b.</w:t>
            </w:r>
          </w:p>
        </w:tc>
        <w:tc>
          <w:tcPr>
            <w:tcW w:w="1369" w:type="pct"/>
            <w:gridSpan w:val="2"/>
            <w:shd w:val="clear" w:color="auto" w:fill="auto"/>
            <w:vAlign w:val="center"/>
          </w:tcPr>
          <w:p w14:paraId="1C48EE0E" w14:textId="77777777" w:rsidR="004B0D51" w:rsidRPr="00487209" w:rsidRDefault="004B0D51" w:rsidP="006C6323">
            <w:pPr>
              <w:pStyle w:val="norm"/>
              <w:spacing w:before="0" w:beforeAutospacing="0" w:after="0" w:afterAutospacing="0" w:line="250" w:lineRule="atLeast"/>
              <w:jc w:val="both"/>
              <w:textAlignment w:val="baseline"/>
              <w:rPr>
                <w:rFonts w:eastAsia="Arial Unicode MS"/>
                <w:sz w:val="18"/>
                <w:szCs w:val="18"/>
              </w:rPr>
            </w:pPr>
            <w:r w:rsidRPr="00487209">
              <w:rPr>
                <w:rFonts w:eastAsia="Arial Unicode MS"/>
                <w:sz w:val="18"/>
                <w:szCs w:val="18"/>
              </w:rPr>
              <w:t>European Assessment Document:</w:t>
            </w:r>
          </w:p>
          <w:p w14:paraId="34E162B5" w14:textId="77777777" w:rsidR="004B0D51" w:rsidRPr="00487209" w:rsidRDefault="004B0D51" w:rsidP="006C6323">
            <w:pPr>
              <w:pStyle w:val="List1"/>
              <w:spacing w:before="0" w:beforeAutospacing="0" w:after="0" w:afterAutospacing="0" w:line="250" w:lineRule="atLeast"/>
              <w:ind w:left="240"/>
              <w:jc w:val="both"/>
              <w:textAlignment w:val="baseline"/>
              <w:rPr>
                <w:rFonts w:eastAsia="Arial Unicode MS"/>
                <w:sz w:val="18"/>
                <w:szCs w:val="18"/>
              </w:rPr>
            </w:pPr>
            <w:r w:rsidRPr="00487209">
              <w:rPr>
                <w:rFonts w:eastAsia="Arial Unicode MS"/>
                <w:sz w:val="18"/>
                <w:szCs w:val="18"/>
              </w:rPr>
              <w:t>European Technical Assessment:</w:t>
            </w:r>
          </w:p>
          <w:p w14:paraId="45948881" w14:textId="77777777" w:rsidR="004B0D51" w:rsidRPr="00487209" w:rsidRDefault="004B0D51" w:rsidP="006C6323">
            <w:pPr>
              <w:pStyle w:val="List1"/>
              <w:spacing w:before="0" w:beforeAutospacing="0" w:after="0" w:afterAutospacing="0" w:line="250" w:lineRule="atLeast"/>
              <w:ind w:left="240"/>
              <w:jc w:val="both"/>
              <w:textAlignment w:val="baseline"/>
              <w:rPr>
                <w:rFonts w:eastAsia="Arial Unicode MS"/>
                <w:sz w:val="18"/>
                <w:szCs w:val="18"/>
              </w:rPr>
            </w:pPr>
            <w:r w:rsidRPr="00487209">
              <w:rPr>
                <w:rFonts w:eastAsia="Arial Unicode MS"/>
                <w:sz w:val="18"/>
                <w:szCs w:val="18"/>
              </w:rPr>
              <w:t>Technical Assessment Body:</w:t>
            </w:r>
          </w:p>
          <w:p w14:paraId="6E459307" w14:textId="77777777" w:rsidR="004B0D51" w:rsidRPr="00487209" w:rsidRDefault="004B0D51" w:rsidP="006C6323">
            <w:pPr>
              <w:pStyle w:val="List1"/>
              <w:spacing w:before="0" w:beforeAutospacing="0" w:after="0" w:afterAutospacing="0" w:line="250" w:lineRule="atLeast"/>
              <w:ind w:left="240"/>
              <w:jc w:val="both"/>
              <w:textAlignment w:val="baseline"/>
              <w:rPr>
                <w:rFonts w:eastAsia="Arial Unicode MS"/>
                <w:sz w:val="18"/>
                <w:szCs w:val="18"/>
              </w:rPr>
            </w:pPr>
            <w:r w:rsidRPr="00487209">
              <w:rPr>
                <w:rFonts w:eastAsia="Arial Unicode MS"/>
                <w:sz w:val="18"/>
                <w:szCs w:val="18"/>
              </w:rPr>
              <w:t>Notified body/ies:</w:t>
            </w:r>
          </w:p>
          <w:p w14:paraId="7E266F65" w14:textId="77777777" w:rsidR="004B0D51" w:rsidRPr="00487209" w:rsidRDefault="004B0D51" w:rsidP="006C6323">
            <w:pPr>
              <w:spacing w:before="100" w:beforeAutospacing="1" w:after="100" w:afterAutospacing="1"/>
              <w:jc w:val="both"/>
              <w:rPr>
                <w:rFonts w:ascii="Times New Roman" w:hAnsi="Times New Roman" w:cs="Times New Roman"/>
                <w:sz w:val="18"/>
                <w:szCs w:val="18"/>
              </w:rPr>
            </w:pPr>
          </w:p>
        </w:tc>
        <w:tc>
          <w:tcPr>
            <w:tcW w:w="3196" w:type="pct"/>
            <w:gridSpan w:val="7"/>
            <w:vMerge/>
            <w:shd w:val="clear" w:color="auto" w:fill="auto"/>
            <w:vAlign w:val="center"/>
          </w:tcPr>
          <w:p w14:paraId="493D7298" w14:textId="77777777" w:rsidR="004B0D51" w:rsidRPr="00487209" w:rsidRDefault="004B0D51" w:rsidP="006C6323">
            <w:pPr>
              <w:spacing w:before="120" w:after="120"/>
              <w:jc w:val="center"/>
              <w:rPr>
                <w:rFonts w:ascii="Times New Roman" w:hAnsi="Times New Roman" w:cs="Times New Roman"/>
                <w:sz w:val="18"/>
                <w:szCs w:val="18"/>
                <w:lang w:val="sr-Cyrl-CS"/>
              </w:rPr>
            </w:pPr>
          </w:p>
        </w:tc>
      </w:tr>
      <w:tr w:rsidR="004B0D51" w:rsidRPr="00487209" w14:paraId="39202DC0" w14:textId="77777777" w:rsidTr="007D5144">
        <w:trPr>
          <w:trHeight w:val="1970"/>
          <w:jc w:val="center"/>
        </w:trPr>
        <w:tc>
          <w:tcPr>
            <w:tcW w:w="435" w:type="pct"/>
            <w:shd w:val="clear" w:color="auto" w:fill="auto"/>
            <w:vAlign w:val="center"/>
          </w:tcPr>
          <w:p w14:paraId="2EB38016" w14:textId="77777777" w:rsidR="004B0D51" w:rsidRPr="00487209" w:rsidRDefault="004B0D51" w:rsidP="00BD3C01">
            <w:pPr>
              <w:spacing w:before="120" w:after="120"/>
              <w:jc w:val="center"/>
              <w:rPr>
                <w:rFonts w:ascii="Times New Roman" w:eastAsia="Arial Unicode MS" w:hAnsi="Times New Roman" w:cs="Times New Roman"/>
                <w:i/>
                <w:iCs/>
                <w:sz w:val="18"/>
                <w:szCs w:val="18"/>
                <w:shd w:val="clear" w:color="auto" w:fill="FFFFFF"/>
              </w:rPr>
            </w:pPr>
            <w:r w:rsidRPr="00487209">
              <w:rPr>
                <w:rFonts w:ascii="Times New Roman" w:hAnsi="Times New Roman" w:cs="Times New Roman"/>
                <w:sz w:val="18"/>
                <w:szCs w:val="18"/>
              </w:rPr>
              <w:t>ANNEX III</w:t>
            </w:r>
            <w:r w:rsidRPr="00487209">
              <w:rPr>
                <w:rFonts w:ascii="Times New Roman" w:eastAsia="Arial Unicode MS" w:hAnsi="Times New Roman" w:cs="Times New Roman"/>
                <w:i/>
                <w:iCs/>
                <w:sz w:val="18"/>
                <w:szCs w:val="18"/>
                <w:shd w:val="clear" w:color="auto" w:fill="FFFFFF"/>
              </w:rPr>
              <w:t xml:space="preserve"> </w:t>
            </w:r>
          </w:p>
          <w:p w14:paraId="37459918" w14:textId="77777777" w:rsidR="004B0D51" w:rsidRPr="00487209" w:rsidRDefault="004B0D51" w:rsidP="00BD3C01">
            <w:pPr>
              <w:spacing w:before="120" w:after="120"/>
              <w:jc w:val="center"/>
              <w:rPr>
                <w:rFonts w:ascii="Times New Roman" w:eastAsia="Arial Unicode MS" w:hAnsi="Times New Roman" w:cs="Times New Roman"/>
                <w:iCs/>
                <w:sz w:val="18"/>
                <w:szCs w:val="18"/>
                <w:shd w:val="clear" w:color="auto" w:fill="FFFFFF"/>
              </w:rPr>
            </w:pPr>
            <w:r w:rsidRPr="00487209">
              <w:rPr>
                <w:rFonts w:ascii="Times New Roman" w:eastAsia="Arial Unicode MS" w:hAnsi="Times New Roman" w:cs="Times New Roman"/>
                <w:iCs/>
                <w:sz w:val="18"/>
                <w:szCs w:val="18"/>
                <w:shd w:val="clear" w:color="auto" w:fill="D9D9D9" w:themeFill="background1" w:themeFillShade="D9"/>
              </w:rPr>
              <w:t>7.</w:t>
            </w:r>
          </w:p>
        </w:tc>
        <w:tc>
          <w:tcPr>
            <w:tcW w:w="1369" w:type="pct"/>
            <w:gridSpan w:val="2"/>
            <w:shd w:val="clear" w:color="auto" w:fill="auto"/>
            <w:vAlign w:val="center"/>
          </w:tcPr>
          <w:p w14:paraId="040F040A"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eastAsia="Arial Unicode MS" w:hAnsi="Times New Roman" w:cs="Times New Roman"/>
                <w:sz w:val="18"/>
                <w:szCs w:val="18"/>
                <w:shd w:val="clear" w:color="auto" w:fill="D9D9D9" w:themeFill="background1" w:themeFillShade="D9"/>
              </w:rPr>
              <w:t>Declared performance/s:</w:t>
            </w:r>
          </w:p>
        </w:tc>
        <w:tc>
          <w:tcPr>
            <w:tcW w:w="3196" w:type="pct"/>
            <w:gridSpan w:val="7"/>
            <w:vMerge/>
            <w:shd w:val="clear" w:color="auto" w:fill="auto"/>
            <w:vAlign w:val="center"/>
          </w:tcPr>
          <w:p w14:paraId="0FEAADF4" w14:textId="77777777" w:rsidR="004B0D51" w:rsidRPr="00487209" w:rsidRDefault="004B0D51" w:rsidP="00BD3C01">
            <w:pPr>
              <w:spacing w:before="120" w:after="120"/>
              <w:jc w:val="center"/>
              <w:rPr>
                <w:rFonts w:ascii="Times New Roman" w:hAnsi="Times New Roman" w:cs="Times New Roman"/>
                <w:sz w:val="18"/>
                <w:szCs w:val="18"/>
              </w:rPr>
            </w:pPr>
          </w:p>
        </w:tc>
      </w:tr>
      <w:tr w:rsidR="004B0D51" w:rsidRPr="00487209" w14:paraId="45CF5CE0" w14:textId="77777777" w:rsidTr="007D5144">
        <w:trPr>
          <w:trHeight w:val="1970"/>
          <w:jc w:val="center"/>
        </w:trPr>
        <w:tc>
          <w:tcPr>
            <w:tcW w:w="435" w:type="pct"/>
            <w:shd w:val="clear" w:color="auto" w:fill="auto"/>
            <w:vAlign w:val="center"/>
          </w:tcPr>
          <w:p w14:paraId="2287FCDD" w14:textId="77777777" w:rsidR="004B0D51" w:rsidRPr="00487209" w:rsidRDefault="004B0D51" w:rsidP="00BD3C01">
            <w:pPr>
              <w:spacing w:before="120" w:after="120"/>
              <w:jc w:val="center"/>
              <w:rPr>
                <w:rFonts w:ascii="Times New Roman" w:eastAsia="Arial Unicode MS" w:hAnsi="Times New Roman" w:cs="Times New Roman"/>
                <w:i/>
                <w:iCs/>
                <w:sz w:val="18"/>
                <w:szCs w:val="18"/>
                <w:shd w:val="clear" w:color="auto" w:fill="D9D9D9" w:themeFill="background1" w:themeFillShade="D9"/>
              </w:rPr>
            </w:pPr>
            <w:r w:rsidRPr="00487209">
              <w:rPr>
                <w:rFonts w:ascii="Times New Roman" w:hAnsi="Times New Roman" w:cs="Times New Roman"/>
                <w:sz w:val="18"/>
                <w:szCs w:val="18"/>
              </w:rPr>
              <w:t>ANNEX</w:t>
            </w:r>
            <w:r w:rsidRPr="00487209">
              <w:rPr>
                <w:rFonts w:ascii="Times New Roman" w:eastAsia="Arial Unicode MS" w:hAnsi="Times New Roman" w:cs="Times New Roman"/>
                <w:i/>
                <w:iCs/>
                <w:sz w:val="18"/>
                <w:szCs w:val="18"/>
                <w:shd w:val="clear" w:color="auto" w:fill="D9D9D9" w:themeFill="background1" w:themeFillShade="D9"/>
              </w:rPr>
              <w:t xml:space="preserve"> </w:t>
            </w:r>
            <w:r w:rsidRPr="00487209">
              <w:rPr>
                <w:rFonts w:ascii="Times New Roman" w:hAnsi="Times New Roman" w:cs="Times New Roman"/>
                <w:sz w:val="18"/>
                <w:szCs w:val="18"/>
              </w:rPr>
              <w:t>III</w:t>
            </w:r>
          </w:p>
          <w:p w14:paraId="55FC6328" w14:textId="77777777" w:rsidR="004B0D51" w:rsidRPr="00487209" w:rsidRDefault="004B0D51" w:rsidP="00BD3C01">
            <w:pPr>
              <w:spacing w:before="120" w:after="120"/>
              <w:jc w:val="center"/>
              <w:rPr>
                <w:rFonts w:ascii="Times New Roman" w:eastAsia="Arial Unicode MS" w:hAnsi="Times New Roman" w:cs="Times New Roman"/>
                <w:iCs/>
                <w:sz w:val="18"/>
                <w:szCs w:val="18"/>
                <w:shd w:val="clear" w:color="auto" w:fill="FFFFFF"/>
              </w:rPr>
            </w:pPr>
            <w:r w:rsidRPr="00487209">
              <w:rPr>
                <w:rFonts w:ascii="Times New Roman" w:eastAsia="Arial Unicode MS" w:hAnsi="Times New Roman" w:cs="Times New Roman"/>
                <w:iCs/>
                <w:sz w:val="18"/>
                <w:szCs w:val="18"/>
                <w:shd w:val="clear" w:color="auto" w:fill="D9D9D9" w:themeFill="background1" w:themeFillShade="D9"/>
              </w:rPr>
              <w:t>8.</w:t>
            </w:r>
          </w:p>
        </w:tc>
        <w:tc>
          <w:tcPr>
            <w:tcW w:w="1369" w:type="pct"/>
            <w:gridSpan w:val="2"/>
            <w:shd w:val="clear" w:color="auto" w:fill="auto"/>
            <w:vAlign w:val="center"/>
          </w:tcPr>
          <w:p w14:paraId="4E74CA33" w14:textId="77777777" w:rsidR="004B0D51" w:rsidRPr="00487209" w:rsidRDefault="004B0D51" w:rsidP="00BD3C01">
            <w:pPr>
              <w:pStyle w:val="norm"/>
              <w:spacing w:before="0" w:beforeAutospacing="0" w:after="0" w:afterAutospacing="0" w:line="250" w:lineRule="atLeast"/>
              <w:ind w:left="420" w:hanging="420"/>
              <w:jc w:val="both"/>
              <w:textAlignment w:val="baseline"/>
              <w:rPr>
                <w:rFonts w:eastAsia="Arial Unicode MS"/>
                <w:sz w:val="18"/>
                <w:szCs w:val="18"/>
              </w:rPr>
            </w:pPr>
            <w:r w:rsidRPr="00487209">
              <w:rPr>
                <w:rFonts w:eastAsia="Arial Unicode MS"/>
                <w:sz w:val="18"/>
                <w:szCs w:val="18"/>
              </w:rPr>
              <w:t>Appropriate Technical Documentation and/or Specific Technical Documentation:</w:t>
            </w:r>
          </w:p>
          <w:p w14:paraId="717DEA1B" w14:textId="77777777" w:rsidR="004B0D51" w:rsidRPr="00487209" w:rsidRDefault="004B0D51" w:rsidP="00BD3C01">
            <w:pPr>
              <w:pStyle w:val="List1"/>
              <w:spacing w:before="0" w:beforeAutospacing="0" w:after="0" w:afterAutospacing="0" w:line="250" w:lineRule="atLeast"/>
              <w:ind w:left="420" w:hanging="420"/>
              <w:jc w:val="both"/>
              <w:textAlignment w:val="baseline"/>
              <w:rPr>
                <w:rFonts w:eastAsia="Arial Unicode MS"/>
                <w:sz w:val="18"/>
                <w:szCs w:val="18"/>
              </w:rPr>
            </w:pPr>
            <w:r w:rsidRPr="00487209">
              <w:rPr>
                <w:rFonts w:eastAsia="Arial Unicode MS"/>
                <w:sz w:val="18"/>
                <w:szCs w:val="18"/>
              </w:rPr>
              <w:t>The performance of the product identified above is in conformity with the set of declared performance/s. This declaration of performance is issued, in accordance with Regulation (EU) No 305/2011, under the sole responsibility of the manufacturer identified above.</w:t>
            </w:r>
          </w:p>
          <w:p w14:paraId="068AF703" w14:textId="77777777" w:rsidR="004B0D51" w:rsidRPr="00487209" w:rsidRDefault="004B0D51" w:rsidP="00BD3C01">
            <w:pPr>
              <w:pStyle w:val="List1"/>
              <w:spacing w:before="0" w:beforeAutospacing="0" w:after="0" w:afterAutospacing="0" w:line="250" w:lineRule="atLeast"/>
              <w:ind w:left="420" w:hanging="420"/>
              <w:jc w:val="both"/>
              <w:textAlignment w:val="baseline"/>
              <w:rPr>
                <w:rFonts w:eastAsia="Arial Unicode MS"/>
                <w:sz w:val="18"/>
                <w:szCs w:val="18"/>
              </w:rPr>
            </w:pPr>
            <w:r w:rsidRPr="00487209">
              <w:rPr>
                <w:rFonts w:eastAsia="Arial Unicode MS"/>
                <w:sz w:val="18"/>
                <w:szCs w:val="18"/>
              </w:rPr>
              <w:t xml:space="preserve">Signed for and on behalf of the manufacturer </w:t>
            </w:r>
            <w:r w:rsidRPr="00487209">
              <w:rPr>
                <w:rFonts w:eastAsia="Arial Unicode MS"/>
                <w:sz w:val="18"/>
                <w:szCs w:val="18"/>
              </w:rPr>
              <w:lastRenderedPageBreak/>
              <w:t>by:</w:t>
            </w:r>
          </w:p>
          <w:p w14:paraId="1C32E278" w14:textId="77777777" w:rsidR="004B0D51" w:rsidRPr="00487209" w:rsidRDefault="004B0D51" w:rsidP="00BD3C01">
            <w:pPr>
              <w:pStyle w:val="norm"/>
              <w:spacing w:before="0" w:beforeAutospacing="0" w:after="0" w:afterAutospacing="0" w:line="312" w:lineRule="atLeast"/>
              <w:ind w:left="420" w:hanging="420"/>
              <w:jc w:val="both"/>
              <w:textAlignment w:val="baseline"/>
              <w:rPr>
                <w:rFonts w:eastAsia="Arial Unicode MS"/>
                <w:sz w:val="18"/>
                <w:szCs w:val="18"/>
              </w:rPr>
            </w:pPr>
            <w:r w:rsidRPr="00487209">
              <w:rPr>
                <w:rFonts w:eastAsia="Arial Unicode MS"/>
                <w:sz w:val="18"/>
                <w:szCs w:val="18"/>
              </w:rPr>
              <w:t>[</w:t>
            </w:r>
            <w:r w:rsidRPr="00487209">
              <w:rPr>
                <w:rStyle w:val="italics"/>
                <w:rFonts w:eastAsia="Arial Unicode MS"/>
                <w:i/>
                <w:iCs/>
                <w:sz w:val="18"/>
                <w:szCs w:val="18"/>
                <w:bdr w:val="none" w:sz="0" w:space="0" w:color="auto" w:frame="1"/>
              </w:rPr>
              <w:t>name</w:t>
            </w:r>
            <w:r w:rsidRPr="00487209">
              <w:rPr>
                <w:rFonts w:eastAsia="Arial Unicode MS"/>
                <w:sz w:val="18"/>
                <w:szCs w:val="18"/>
              </w:rPr>
              <w:t>]</w:t>
            </w:r>
          </w:p>
          <w:p w14:paraId="6726C7CB" w14:textId="77777777" w:rsidR="004B0D51" w:rsidRPr="00487209" w:rsidRDefault="004B0D51" w:rsidP="00BD3C01">
            <w:pPr>
              <w:pStyle w:val="norm"/>
              <w:spacing w:before="0" w:beforeAutospacing="0" w:after="0" w:afterAutospacing="0" w:line="312" w:lineRule="atLeast"/>
              <w:ind w:left="420" w:hanging="420"/>
              <w:jc w:val="both"/>
              <w:textAlignment w:val="baseline"/>
              <w:rPr>
                <w:rFonts w:eastAsia="Arial Unicode MS"/>
                <w:sz w:val="18"/>
                <w:szCs w:val="18"/>
              </w:rPr>
            </w:pPr>
            <w:r w:rsidRPr="00487209">
              <w:rPr>
                <w:rFonts w:eastAsia="Arial Unicode MS"/>
                <w:sz w:val="18"/>
                <w:szCs w:val="18"/>
              </w:rPr>
              <w:t>At [</w:t>
            </w:r>
            <w:r w:rsidRPr="00487209">
              <w:rPr>
                <w:rStyle w:val="italics"/>
                <w:rFonts w:eastAsia="Arial Unicode MS"/>
                <w:i/>
                <w:iCs/>
                <w:sz w:val="18"/>
                <w:szCs w:val="18"/>
                <w:bdr w:val="none" w:sz="0" w:space="0" w:color="auto" w:frame="1"/>
              </w:rPr>
              <w:t>place</w:t>
            </w:r>
            <w:r w:rsidRPr="00487209">
              <w:rPr>
                <w:rFonts w:eastAsia="Arial Unicode MS"/>
                <w:sz w:val="18"/>
                <w:szCs w:val="18"/>
              </w:rPr>
              <w:t>] on [</w:t>
            </w:r>
            <w:r w:rsidRPr="00487209">
              <w:rPr>
                <w:rStyle w:val="italics"/>
                <w:rFonts w:eastAsia="Arial Unicode MS"/>
                <w:i/>
                <w:iCs/>
                <w:sz w:val="18"/>
                <w:szCs w:val="18"/>
                <w:bdr w:val="none" w:sz="0" w:space="0" w:color="auto" w:frame="1"/>
              </w:rPr>
              <w:t>date of issue</w:t>
            </w:r>
            <w:r w:rsidRPr="00487209">
              <w:rPr>
                <w:rFonts w:eastAsia="Arial Unicode MS"/>
                <w:sz w:val="18"/>
                <w:szCs w:val="18"/>
              </w:rPr>
              <w:t>]</w:t>
            </w:r>
          </w:p>
          <w:p w14:paraId="55CBAB69" w14:textId="77777777" w:rsidR="004B0D51" w:rsidRPr="00487209" w:rsidRDefault="004B0D51" w:rsidP="00BD3C01">
            <w:pPr>
              <w:pStyle w:val="norm"/>
              <w:spacing w:before="0" w:beforeAutospacing="0" w:after="0" w:afterAutospacing="0" w:line="312" w:lineRule="atLeast"/>
              <w:ind w:left="420" w:hanging="420"/>
              <w:jc w:val="both"/>
              <w:textAlignment w:val="baseline"/>
              <w:rPr>
                <w:rFonts w:eastAsia="Arial Unicode MS"/>
                <w:sz w:val="18"/>
                <w:szCs w:val="18"/>
              </w:rPr>
            </w:pPr>
            <w:r w:rsidRPr="00487209">
              <w:rPr>
                <w:rFonts w:eastAsia="Arial Unicode MS"/>
                <w:sz w:val="18"/>
                <w:szCs w:val="18"/>
              </w:rPr>
              <w:t>[</w:t>
            </w:r>
            <w:r w:rsidRPr="00487209">
              <w:rPr>
                <w:rStyle w:val="italics"/>
                <w:rFonts w:eastAsia="Arial Unicode MS"/>
                <w:i/>
                <w:iCs/>
                <w:sz w:val="18"/>
                <w:szCs w:val="18"/>
                <w:bdr w:val="none" w:sz="0" w:space="0" w:color="auto" w:frame="1"/>
              </w:rPr>
              <w:t>signature</w:t>
            </w:r>
            <w:r w:rsidRPr="00487209">
              <w:rPr>
                <w:rFonts w:eastAsia="Arial Unicode MS"/>
                <w:sz w:val="18"/>
                <w:szCs w:val="18"/>
              </w:rPr>
              <w:t>]</w:t>
            </w:r>
          </w:p>
        </w:tc>
        <w:tc>
          <w:tcPr>
            <w:tcW w:w="3196" w:type="pct"/>
            <w:gridSpan w:val="7"/>
            <w:vMerge/>
            <w:shd w:val="clear" w:color="auto" w:fill="auto"/>
            <w:vAlign w:val="center"/>
          </w:tcPr>
          <w:p w14:paraId="66221D6A" w14:textId="77777777" w:rsidR="004B0D51" w:rsidRPr="00487209" w:rsidRDefault="004B0D51" w:rsidP="00BD3C01">
            <w:pPr>
              <w:spacing w:before="120" w:after="120"/>
              <w:jc w:val="center"/>
              <w:rPr>
                <w:rFonts w:ascii="Times New Roman" w:hAnsi="Times New Roman" w:cs="Times New Roman"/>
                <w:sz w:val="18"/>
                <w:szCs w:val="18"/>
              </w:rPr>
            </w:pPr>
          </w:p>
        </w:tc>
      </w:tr>
      <w:tr w:rsidR="004B0D51" w:rsidRPr="00487209" w14:paraId="52078059" w14:textId="77777777" w:rsidTr="007D5144">
        <w:trPr>
          <w:trHeight w:val="2614"/>
          <w:jc w:val="center"/>
        </w:trPr>
        <w:tc>
          <w:tcPr>
            <w:tcW w:w="435" w:type="pct"/>
            <w:shd w:val="clear" w:color="auto" w:fill="auto"/>
            <w:vAlign w:val="center"/>
          </w:tcPr>
          <w:p w14:paraId="3F2AD065" w14:textId="77777777" w:rsidR="004B0D51" w:rsidRPr="00487209" w:rsidRDefault="004B0D51" w:rsidP="00BD3C0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III</w:t>
            </w:r>
          </w:p>
          <w:p w14:paraId="6889966B" w14:textId="77777777" w:rsidR="004B0D51" w:rsidRPr="00487209" w:rsidRDefault="004B0D51" w:rsidP="00BD3C0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w:t>
            </w:r>
          </w:p>
          <w:p w14:paraId="015C7E03" w14:textId="77777777" w:rsidR="004B0D51" w:rsidRPr="00487209" w:rsidRDefault="004B0D51" w:rsidP="00BD3C01">
            <w:pPr>
              <w:spacing w:before="120" w:after="120"/>
              <w:jc w:val="center"/>
              <w:rPr>
                <w:rFonts w:ascii="Times New Roman" w:hAnsi="Times New Roman" w:cs="Times New Roman"/>
                <w:sz w:val="18"/>
                <w:szCs w:val="18"/>
              </w:rPr>
            </w:pPr>
          </w:p>
        </w:tc>
        <w:tc>
          <w:tcPr>
            <w:tcW w:w="1369" w:type="pct"/>
            <w:gridSpan w:val="2"/>
            <w:shd w:val="clear" w:color="auto" w:fill="auto"/>
            <w:vAlign w:val="center"/>
          </w:tcPr>
          <w:p w14:paraId="545AE539"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p>
          <w:p w14:paraId="3E189506"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Instructions for drawing up the declaration of performance</w:t>
            </w:r>
          </w:p>
          <w:p w14:paraId="5019D9E6" w14:textId="77777777" w:rsidR="004B0D51" w:rsidRPr="00487209" w:rsidRDefault="004B0D51" w:rsidP="00BD3C01">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1.   GENERAL </w:t>
            </w:r>
          </w:p>
          <w:p w14:paraId="0AC93AC7" w14:textId="77777777" w:rsidR="004B0D51" w:rsidRPr="00487209" w:rsidRDefault="004B0D51" w:rsidP="00BD3C01">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These instructions aim at guiding the manufacturers when drawing up a declaration of performance compliant with Regulation (EU) No 305/2011, following the model of this Annex (hereinafter referred to as ‘the model’).</w:t>
            </w:r>
          </w:p>
          <w:p w14:paraId="64E09F2F" w14:textId="77777777" w:rsidR="004B0D51" w:rsidRPr="00487209" w:rsidRDefault="004B0D51" w:rsidP="00BD3C01">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These instructions are not part of the declarations of performance to be issued by manufacturers and should not be enclosed to these declarations of performance.</w:t>
            </w:r>
          </w:p>
          <w:p w14:paraId="1847C570" w14:textId="77777777" w:rsidR="004B0D51" w:rsidRPr="00487209" w:rsidRDefault="004B0D51" w:rsidP="00BD3C01">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When drawing up a declaration of performance, the manufacturer shall:</w:t>
            </w:r>
          </w:p>
          <w:p w14:paraId="146E1ABA" w14:textId="77777777" w:rsidR="004B0D51" w:rsidRPr="00487209" w:rsidRDefault="004B0D51" w:rsidP="00BD3C01">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(1) reproduce the texts and the headlines of the model which are not indicated between square brackets;</w:t>
            </w:r>
          </w:p>
          <w:p w14:paraId="5F041E85" w14:textId="77777777" w:rsidR="004B0D51" w:rsidRPr="00487209" w:rsidRDefault="004B0D51" w:rsidP="00BD3C01">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(2) replace the blank spaces and square brackets by inserting the necessary </w:t>
            </w:r>
            <w:r w:rsidRPr="00487209">
              <w:rPr>
                <w:rFonts w:ascii="Times New Roman" w:hAnsi="Times New Roman" w:cs="Times New Roman"/>
                <w:sz w:val="18"/>
                <w:szCs w:val="18"/>
                <w:lang w:val="sr-Cyrl-CS"/>
              </w:rPr>
              <w:lastRenderedPageBreak/>
              <w:t>information.</w:t>
            </w:r>
          </w:p>
          <w:p w14:paraId="3C13C310" w14:textId="77777777" w:rsidR="004B0D51" w:rsidRPr="00487209" w:rsidRDefault="004B0D51" w:rsidP="00BD3C01">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Manufacturers may also include in the declaration of performance the reference to the website where the copy of the declaration of performance is made available in accordance with Article 7(3) of Regulation (EU) No 305/2011. This may be included after point 8 or in another place where it does not affect the readability and clarity of the mandatory information.</w:t>
            </w:r>
          </w:p>
        </w:tc>
        <w:tc>
          <w:tcPr>
            <w:tcW w:w="3196" w:type="pct"/>
            <w:gridSpan w:val="7"/>
            <w:vMerge/>
            <w:shd w:val="clear" w:color="auto" w:fill="auto"/>
            <w:vAlign w:val="center"/>
          </w:tcPr>
          <w:p w14:paraId="07A4A2D5" w14:textId="77777777" w:rsidR="004B0D51" w:rsidRPr="00487209" w:rsidRDefault="004B0D51" w:rsidP="00BD3C01">
            <w:pPr>
              <w:spacing w:before="120" w:after="120"/>
              <w:jc w:val="center"/>
              <w:rPr>
                <w:rFonts w:ascii="Times New Roman" w:hAnsi="Times New Roman" w:cs="Times New Roman"/>
                <w:sz w:val="18"/>
                <w:szCs w:val="18"/>
                <w:lang w:val="sr-Cyrl-CS"/>
              </w:rPr>
            </w:pPr>
          </w:p>
        </w:tc>
      </w:tr>
      <w:tr w:rsidR="004B0D51" w:rsidRPr="00487209" w14:paraId="79BB7DAD" w14:textId="77777777" w:rsidTr="007D5144">
        <w:trPr>
          <w:trHeight w:val="629"/>
          <w:jc w:val="center"/>
        </w:trPr>
        <w:tc>
          <w:tcPr>
            <w:tcW w:w="435" w:type="pct"/>
            <w:shd w:val="clear" w:color="auto" w:fill="auto"/>
            <w:vAlign w:val="center"/>
          </w:tcPr>
          <w:p w14:paraId="04D3AE4D" w14:textId="77777777" w:rsidR="004B0D51" w:rsidRPr="00487209" w:rsidRDefault="004B0D51" w:rsidP="00BD3C0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III</w:t>
            </w:r>
          </w:p>
          <w:p w14:paraId="47D27CE4" w14:textId="77777777" w:rsidR="004B0D51" w:rsidRPr="00487209" w:rsidRDefault="004B0D51" w:rsidP="00BD3C01">
            <w:pPr>
              <w:spacing w:before="120" w:after="120"/>
              <w:jc w:val="center"/>
              <w:rPr>
                <w:rFonts w:ascii="Times New Roman" w:eastAsia="Arial Unicode MS" w:hAnsi="Times New Roman" w:cs="Times New Roman"/>
                <w:i/>
                <w:iCs/>
                <w:sz w:val="18"/>
                <w:szCs w:val="18"/>
                <w:shd w:val="clear" w:color="auto" w:fill="FFFFFF"/>
              </w:rPr>
            </w:pPr>
            <w:r w:rsidRPr="00487209">
              <w:rPr>
                <w:rFonts w:ascii="Times New Roman" w:hAnsi="Times New Roman" w:cs="Times New Roman"/>
                <w:sz w:val="18"/>
                <w:szCs w:val="18"/>
              </w:rPr>
              <w:t>2.</w:t>
            </w:r>
          </w:p>
        </w:tc>
        <w:tc>
          <w:tcPr>
            <w:tcW w:w="1369" w:type="pct"/>
            <w:gridSpan w:val="2"/>
            <w:shd w:val="clear" w:color="auto" w:fill="auto"/>
            <w:vAlign w:val="center"/>
          </w:tcPr>
          <w:p w14:paraId="710E0427"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2.   FLEXIBILITY</w:t>
            </w:r>
          </w:p>
          <w:p w14:paraId="41C23764"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Providing that the mandatory information required by Article 6 of Regulation (EU) No 305/2011 is provided in a clear, complete and coherent manner, when drawing up a declaration of performance, it is possible to:</w:t>
            </w:r>
          </w:p>
          <w:p w14:paraId="52D3CE78"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(1) use a different layout as in the model;</w:t>
            </w:r>
          </w:p>
          <w:p w14:paraId="22A4B4F3"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(2) combine the points of the model by presenting some of them together;</w:t>
            </w:r>
          </w:p>
          <w:p w14:paraId="23BEA293"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(3) present the points of the model in a different order or using one or more tables;</w:t>
            </w:r>
          </w:p>
          <w:p w14:paraId="636FA223"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 xml:space="preserve">(4) omit some points of the model which are not relevant for the product for which a declaration of performance is drawn up. For example, this is the case since the declaration of performance may be based either on a harmonised standard or on a European Technical Assessment issued for the product, rendering the other alternative not applicable. These omissions could also concern the points on the authorised representative or on the use of Appropriate Technical Documentation and </w:t>
            </w:r>
            <w:r w:rsidRPr="00487209">
              <w:rPr>
                <w:rFonts w:ascii="Times New Roman" w:hAnsi="Times New Roman" w:cs="Times New Roman"/>
                <w:sz w:val="18"/>
                <w:szCs w:val="18"/>
              </w:rPr>
              <w:lastRenderedPageBreak/>
              <w:t>the Specific Technical Documentation;</w:t>
            </w:r>
          </w:p>
          <w:p w14:paraId="4CAC1685"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(5) present the points without numbering them.</w:t>
            </w:r>
          </w:p>
          <w:p w14:paraId="00E8C52F"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If a manufacturer wishes to issue a single declaration of performance covering different variations of a product-type, at least the following elements need to be listed separately and clearly for every product variation: the number of the declaration of performance, the identification code under point 1 and the declared performances/s under point 7.</w:t>
            </w:r>
          </w:p>
        </w:tc>
        <w:tc>
          <w:tcPr>
            <w:tcW w:w="3196" w:type="pct"/>
            <w:gridSpan w:val="7"/>
            <w:vMerge/>
            <w:shd w:val="clear" w:color="auto" w:fill="auto"/>
            <w:vAlign w:val="center"/>
          </w:tcPr>
          <w:p w14:paraId="5EDA59FF" w14:textId="77777777" w:rsidR="004B0D51" w:rsidRPr="00487209" w:rsidRDefault="004B0D51" w:rsidP="00BD3C01">
            <w:pPr>
              <w:spacing w:before="120" w:after="120"/>
              <w:jc w:val="center"/>
              <w:rPr>
                <w:rFonts w:ascii="Times New Roman" w:hAnsi="Times New Roman" w:cs="Times New Roman"/>
                <w:sz w:val="18"/>
                <w:szCs w:val="18"/>
              </w:rPr>
            </w:pPr>
          </w:p>
        </w:tc>
      </w:tr>
      <w:tr w:rsidR="004B0D51" w:rsidRPr="00487209" w14:paraId="33B53ADC" w14:textId="77777777" w:rsidTr="007D5144">
        <w:trPr>
          <w:trHeight w:val="1164"/>
          <w:jc w:val="center"/>
        </w:trPr>
        <w:tc>
          <w:tcPr>
            <w:tcW w:w="435" w:type="pct"/>
            <w:shd w:val="clear" w:color="auto" w:fill="auto"/>
            <w:vAlign w:val="center"/>
          </w:tcPr>
          <w:p w14:paraId="28D14139" w14:textId="77777777" w:rsidR="004B0D51" w:rsidRPr="00487209" w:rsidRDefault="004B0D51" w:rsidP="00BD3C0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III</w:t>
            </w:r>
          </w:p>
          <w:p w14:paraId="7EBFE66B" w14:textId="77777777" w:rsidR="004B0D51" w:rsidRPr="00487209" w:rsidRDefault="004B0D51" w:rsidP="00BD3C01">
            <w:pPr>
              <w:spacing w:before="120" w:after="120"/>
              <w:jc w:val="center"/>
              <w:rPr>
                <w:rFonts w:ascii="Times New Roman" w:eastAsia="Arial Unicode MS" w:hAnsi="Times New Roman" w:cs="Times New Roman"/>
                <w:iCs/>
                <w:sz w:val="18"/>
                <w:szCs w:val="18"/>
                <w:shd w:val="clear" w:color="auto" w:fill="FFFFFF"/>
              </w:rPr>
            </w:pPr>
            <w:r w:rsidRPr="00487209">
              <w:rPr>
                <w:rFonts w:ascii="Times New Roman" w:eastAsia="Arial Unicode MS" w:hAnsi="Times New Roman" w:cs="Times New Roman"/>
                <w:iCs/>
                <w:sz w:val="18"/>
                <w:szCs w:val="18"/>
                <w:shd w:val="clear" w:color="auto" w:fill="D9D9D9" w:themeFill="background1" w:themeFillShade="D9"/>
              </w:rPr>
              <w:t>3.</w:t>
            </w:r>
          </w:p>
        </w:tc>
        <w:tc>
          <w:tcPr>
            <w:tcW w:w="1369" w:type="pct"/>
            <w:gridSpan w:val="2"/>
            <w:shd w:val="clear" w:color="auto" w:fill="auto"/>
            <w:vAlign w:val="center"/>
          </w:tcPr>
          <w:p w14:paraId="22F79859"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INSTRUCTION FOR THE COMPLETION OF THE FORM</w:t>
            </w:r>
          </w:p>
        </w:tc>
        <w:tc>
          <w:tcPr>
            <w:tcW w:w="3196" w:type="pct"/>
            <w:gridSpan w:val="7"/>
            <w:vMerge/>
            <w:shd w:val="clear" w:color="auto" w:fill="auto"/>
            <w:vAlign w:val="center"/>
          </w:tcPr>
          <w:p w14:paraId="7C46659D" w14:textId="77777777" w:rsidR="004B0D51" w:rsidRPr="00487209" w:rsidRDefault="004B0D51" w:rsidP="00BD3C01">
            <w:pPr>
              <w:spacing w:before="120" w:after="120"/>
              <w:jc w:val="center"/>
              <w:rPr>
                <w:rFonts w:ascii="Times New Roman" w:hAnsi="Times New Roman" w:cs="Times New Roman"/>
                <w:sz w:val="18"/>
                <w:szCs w:val="18"/>
              </w:rPr>
            </w:pPr>
          </w:p>
        </w:tc>
      </w:tr>
      <w:tr w:rsidR="004B0D51" w:rsidRPr="00487209" w14:paraId="73BB9E27" w14:textId="77777777" w:rsidTr="007D5144">
        <w:trPr>
          <w:trHeight w:val="913"/>
          <w:jc w:val="center"/>
        </w:trPr>
        <w:tc>
          <w:tcPr>
            <w:tcW w:w="435" w:type="pct"/>
            <w:shd w:val="clear" w:color="auto" w:fill="auto"/>
            <w:vAlign w:val="center"/>
          </w:tcPr>
          <w:p w14:paraId="4A9FE975" w14:textId="77777777" w:rsidR="004B0D51" w:rsidRPr="00487209" w:rsidRDefault="004B0D51" w:rsidP="00BD3C01">
            <w:pPr>
              <w:spacing w:before="120" w:after="120"/>
              <w:jc w:val="center"/>
              <w:rPr>
                <w:rFonts w:ascii="Times New Roman" w:eastAsia="Arial Unicode MS" w:hAnsi="Times New Roman" w:cs="Times New Roman"/>
                <w:i/>
                <w:iCs/>
                <w:sz w:val="18"/>
                <w:szCs w:val="18"/>
                <w:shd w:val="clear" w:color="auto" w:fill="FFFFFF"/>
              </w:rPr>
            </w:pPr>
            <w:r w:rsidRPr="00487209">
              <w:rPr>
                <w:rFonts w:ascii="Times New Roman" w:eastAsia="Arial Unicode MS" w:hAnsi="Times New Roman" w:cs="Times New Roman"/>
                <w:i/>
                <w:iCs/>
                <w:sz w:val="18"/>
                <w:szCs w:val="18"/>
                <w:shd w:val="clear" w:color="auto" w:fill="D9D9D9" w:themeFill="background1" w:themeFillShade="D9"/>
              </w:rPr>
              <w:t>Number of</w:t>
            </w:r>
            <w:r w:rsidRPr="00487209">
              <w:rPr>
                <w:rFonts w:ascii="Times New Roman" w:eastAsia="Arial Unicode MS" w:hAnsi="Times New Roman" w:cs="Times New Roman"/>
                <w:i/>
                <w:iCs/>
                <w:sz w:val="18"/>
                <w:szCs w:val="18"/>
                <w:shd w:val="clear" w:color="auto" w:fill="FFFFFF"/>
              </w:rPr>
              <w:t xml:space="preserve"> </w:t>
            </w:r>
            <w:r w:rsidRPr="00487209">
              <w:rPr>
                <w:rFonts w:ascii="Times New Roman" w:eastAsia="Arial Unicode MS" w:hAnsi="Times New Roman" w:cs="Times New Roman"/>
                <w:i/>
                <w:iCs/>
                <w:sz w:val="18"/>
                <w:szCs w:val="18"/>
                <w:shd w:val="clear" w:color="auto" w:fill="D9D9D9" w:themeFill="background1" w:themeFillShade="D9"/>
              </w:rPr>
              <w:t>the</w:t>
            </w:r>
            <w:r w:rsidRPr="00487209">
              <w:rPr>
                <w:rFonts w:ascii="Times New Roman" w:eastAsia="Arial Unicode MS" w:hAnsi="Times New Roman" w:cs="Times New Roman"/>
                <w:i/>
                <w:iCs/>
                <w:sz w:val="18"/>
                <w:szCs w:val="18"/>
                <w:shd w:val="clear" w:color="auto" w:fill="FFFFFF"/>
              </w:rPr>
              <w:t xml:space="preserve"> </w:t>
            </w:r>
            <w:r w:rsidRPr="00487209">
              <w:rPr>
                <w:rFonts w:ascii="Times New Roman" w:eastAsia="Arial Unicode MS" w:hAnsi="Times New Roman" w:cs="Times New Roman"/>
                <w:i/>
                <w:iCs/>
                <w:sz w:val="18"/>
                <w:szCs w:val="18"/>
                <w:shd w:val="clear" w:color="auto" w:fill="D9D9D9" w:themeFill="background1" w:themeFillShade="D9"/>
              </w:rPr>
              <w:t>declaration</w:t>
            </w:r>
            <w:r w:rsidRPr="00487209">
              <w:rPr>
                <w:rFonts w:ascii="Times New Roman" w:eastAsia="Arial Unicode MS" w:hAnsi="Times New Roman" w:cs="Times New Roman"/>
                <w:i/>
                <w:iCs/>
                <w:sz w:val="18"/>
                <w:szCs w:val="18"/>
                <w:shd w:val="clear" w:color="auto" w:fill="FFFFFF"/>
              </w:rPr>
              <w:t xml:space="preserve"> </w:t>
            </w:r>
            <w:r w:rsidRPr="00487209">
              <w:rPr>
                <w:rFonts w:ascii="Times New Roman" w:eastAsia="Arial Unicode MS" w:hAnsi="Times New Roman" w:cs="Times New Roman"/>
                <w:i/>
                <w:iCs/>
                <w:sz w:val="18"/>
                <w:szCs w:val="18"/>
                <w:shd w:val="clear" w:color="auto" w:fill="D9D9D9" w:themeFill="background1" w:themeFillShade="D9"/>
              </w:rPr>
              <w:t>of</w:t>
            </w:r>
            <w:r w:rsidRPr="00487209">
              <w:rPr>
                <w:rFonts w:ascii="Times New Roman" w:eastAsia="Arial Unicode MS" w:hAnsi="Times New Roman" w:cs="Times New Roman"/>
                <w:i/>
                <w:iCs/>
                <w:sz w:val="18"/>
                <w:szCs w:val="18"/>
                <w:shd w:val="clear" w:color="auto" w:fill="FFFFFF"/>
              </w:rPr>
              <w:t xml:space="preserve"> </w:t>
            </w:r>
            <w:r w:rsidRPr="00487209">
              <w:rPr>
                <w:rFonts w:ascii="Times New Roman" w:eastAsia="Arial Unicode MS" w:hAnsi="Times New Roman" w:cs="Times New Roman"/>
                <w:i/>
                <w:iCs/>
                <w:sz w:val="18"/>
                <w:szCs w:val="18"/>
                <w:shd w:val="clear" w:color="auto" w:fill="D9D9D9" w:themeFill="background1" w:themeFillShade="D9"/>
              </w:rPr>
              <w:t>performance</w:t>
            </w:r>
          </w:p>
        </w:tc>
        <w:tc>
          <w:tcPr>
            <w:tcW w:w="1369" w:type="pct"/>
            <w:gridSpan w:val="2"/>
            <w:shd w:val="clear" w:color="auto" w:fill="auto"/>
            <w:vAlign w:val="center"/>
          </w:tcPr>
          <w:p w14:paraId="73CBF7AE"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This is the reference number of the declaration of performance foreseen in Article 9(2) of Regulation (EU) No 305/2011.</w:t>
            </w:r>
          </w:p>
          <w:p w14:paraId="72E9C7AB"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choice of the number is left to the manufacturer.</w:t>
            </w:r>
          </w:p>
          <w:p w14:paraId="0D9DD5E6"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This number may be the same as the unique identification code of the product-type indicated under point 1 of the model.</w:t>
            </w:r>
          </w:p>
        </w:tc>
        <w:tc>
          <w:tcPr>
            <w:tcW w:w="3196" w:type="pct"/>
            <w:gridSpan w:val="7"/>
            <w:vMerge/>
            <w:shd w:val="clear" w:color="auto" w:fill="auto"/>
            <w:vAlign w:val="center"/>
          </w:tcPr>
          <w:p w14:paraId="0B7A73DD" w14:textId="77777777" w:rsidR="004B0D51" w:rsidRPr="00487209" w:rsidRDefault="004B0D51" w:rsidP="00BD3C01">
            <w:pPr>
              <w:spacing w:before="120" w:after="120"/>
              <w:jc w:val="center"/>
              <w:rPr>
                <w:rFonts w:ascii="Times New Roman" w:hAnsi="Times New Roman" w:cs="Times New Roman"/>
                <w:sz w:val="18"/>
                <w:szCs w:val="18"/>
              </w:rPr>
            </w:pPr>
          </w:p>
        </w:tc>
      </w:tr>
      <w:tr w:rsidR="004B0D51" w:rsidRPr="00487209" w14:paraId="6FE3F8E9" w14:textId="77777777" w:rsidTr="007D5144">
        <w:trPr>
          <w:trHeight w:val="1970"/>
          <w:jc w:val="center"/>
        </w:trPr>
        <w:tc>
          <w:tcPr>
            <w:tcW w:w="435" w:type="pct"/>
            <w:shd w:val="clear" w:color="auto" w:fill="auto"/>
            <w:vAlign w:val="center"/>
          </w:tcPr>
          <w:p w14:paraId="7FAF3932" w14:textId="77777777" w:rsidR="004B0D51" w:rsidRPr="00487209" w:rsidRDefault="004B0D51" w:rsidP="00BD3C01">
            <w:pPr>
              <w:spacing w:before="120" w:after="120"/>
              <w:jc w:val="center"/>
              <w:rPr>
                <w:rFonts w:ascii="Times New Roman" w:eastAsia="Arial Unicode MS" w:hAnsi="Times New Roman" w:cs="Times New Roman"/>
                <w:i/>
                <w:iCs/>
                <w:sz w:val="18"/>
                <w:szCs w:val="18"/>
                <w:shd w:val="clear" w:color="auto" w:fill="FFFFFF"/>
              </w:rPr>
            </w:pPr>
            <w:r w:rsidRPr="00487209">
              <w:rPr>
                <w:rFonts w:ascii="Times New Roman" w:eastAsia="Arial Unicode MS" w:hAnsi="Times New Roman" w:cs="Times New Roman"/>
                <w:sz w:val="18"/>
                <w:szCs w:val="18"/>
                <w:shd w:val="clear" w:color="auto" w:fill="D9D9D9" w:themeFill="background1" w:themeFillShade="D9"/>
              </w:rPr>
              <w:t>Point 1</w:t>
            </w:r>
          </w:p>
        </w:tc>
        <w:tc>
          <w:tcPr>
            <w:tcW w:w="1369" w:type="pct"/>
            <w:gridSpan w:val="2"/>
            <w:shd w:val="clear" w:color="auto" w:fill="auto"/>
            <w:vAlign w:val="center"/>
          </w:tcPr>
          <w:p w14:paraId="00323D43"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Indicate the unique identification code of the product-type referred to in Article 6(2)(a) of Regulation (EU) No 305/2011.</w:t>
            </w:r>
          </w:p>
          <w:p w14:paraId="2264DDD4"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 xml:space="preserve">In Article 9(2) of Regulation (EU) No 305/2011, the unique identification code determined by the manufacturer to follow the CE marking is linked to the product-type and thus to the set of performance levels or classes of a construction product, as brought forward in the declaration of performance drawn up for </w:t>
            </w:r>
            <w:r w:rsidRPr="00487209">
              <w:rPr>
                <w:rFonts w:ascii="Times New Roman" w:hAnsi="Times New Roman" w:cs="Times New Roman"/>
                <w:sz w:val="18"/>
                <w:szCs w:val="18"/>
              </w:rPr>
              <w:lastRenderedPageBreak/>
              <w:t>it. Moreover, for the recipients of construction products, in particular for their final end users, it is necessary to be able to unequivocally identify this set of performance levels or classes for any given product. Therefore, every construction product, for which a declaration of performance has been drawn up, should be linked by its manufacturer to the respective product-type and a given set of performance levels or classes by the unique identification code, which acts also as the reference mentioned in Article 6(2)(a) of Regulation (EU) No 305/2011.</w:t>
            </w:r>
          </w:p>
        </w:tc>
        <w:tc>
          <w:tcPr>
            <w:tcW w:w="3196" w:type="pct"/>
            <w:gridSpan w:val="7"/>
            <w:vMerge/>
            <w:shd w:val="clear" w:color="auto" w:fill="auto"/>
            <w:vAlign w:val="center"/>
          </w:tcPr>
          <w:p w14:paraId="23EDABC9" w14:textId="77777777" w:rsidR="004B0D51" w:rsidRPr="00487209" w:rsidRDefault="004B0D51" w:rsidP="00BD3C01">
            <w:pPr>
              <w:spacing w:before="120" w:after="120"/>
              <w:jc w:val="center"/>
              <w:rPr>
                <w:rFonts w:ascii="Times New Roman" w:hAnsi="Times New Roman" w:cs="Times New Roman"/>
                <w:sz w:val="18"/>
                <w:szCs w:val="18"/>
              </w:rPr>
            </w:pPr>
          </w:p>
        </w:tc>
      </w:tr>
      <w:tr w:rsidR="004B0D51" w:rsidRPr="00487209" w14:paraId="179367AE" w14:textId="77777777" w:rsidTr="007D5144">
        <w:trPr>
          <w:trHeight w:val="1970"/>
          <w:jc w:val="center"/>
        </w:trPr>
        <w:tc>
          <w:tcPr>
            <w:tcW w:w="435" w:type="pct"/>
            <w:shd w:val="clear" w:color="auto" w:fill="auto"/>
            <w:vAlign w:val="center"/>
          </w:tcPr>
          <w:p w14:paraId="17D0FA02" w14:textId="77777777" w:rsidR="004B0D51" w:rsidRPr="00487209" w:rsidRDefault="004B0D51" w:rsidP="00BD3C01">
            <w:pPr>
              <w:spacing w:before="120" w:after="120"/>
              <w:jc w:val="center"/>
              <w:rPr>
                <w:rFonts w:ascii="Times New Roman" w:eastAsia="Arial Unicode MS" w:hAnsi="Times New Roman" w:cs="Times New Roman"/>
                <w:i/>
                <w:iCs/>
                <w:sz w:val="18"/>
                <w:szCs w:val="18"/>
                <w:shd w:val="clear" w:color="auto" w:fill="FFFFFF"/>
              </w:rPr>
            </w:pPr>
            <w:r w:rsidRPr="00487209">
              <w:rPr>
                <w:rFonts w:ascii="Times New Roman" w:eastAsia="Arial Unicode MS" w:hAnsi="Times New Roman" w:cs="Times New Roman"/>
                <w:sz w:val="18"/>
                <w:szCs w:val="18"/>
                <w:shd w:val="clear" w:color="auto" w:fill="D9D9D9" w:themeFill="background1" w:themeFillShade="D9"/>
              </w:rPr>
              <w:lastRenderedPageBreak/>
              <w:t>Point 2</w:t>
            </w:r>
          </w:p>
        </w:tc>
        <w:tc>
          <w:tcPr>
            <w:tcW w:w="1369" w:type="pct"/>
            <w:gridSpan w:val="2"/>
            <w:shd w:val="clear" w:color="auto" w:fill="auto"/>
            <w:vAlign w:val="center"/>
          </w:tcPr>
          <w:p w14:paraId="4713DFD7"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Indicate the intended use, or list the intended uses, as appropriate, of the construction product as foreseen by the manufacturer, in accordance with the applicable harmonised technical specification.</w:t>
            </w:r>
          </w:p>
        </w:tc>
        <w:tc>
          <w:tcPr>
            <w:tcW w:w="3196" w:type="pct"/>
            <w:gridSpan w:val="7"/>
            <w:vMerge/>
            <w:shd w:val="clear" w:color="auto" w:fill="auto"/>
            <w:vAlign w:val="center"/>
          </w:tcPr>
          <w:p w14:paraId="5D516B6F" w14:textId="77777777" w:rsidR="004B0D51" w:rsidRPr="00487209" w:rsidRDefault="004B0D51" w:rsidP="00BD3C01">
            <w:pPr>
              <w:spacing w:before="120" w:after="120"/>
              <w:jc w:val="center"/>
              <w:rPr>
                <w:rFonts w:ascii="Times New Roman" w:hAnsi="Times New Roman" w:cs="Times New Roman"/>
                <w:sz w:val="18"/>
                <w:szCs w:val="18"/>
              </w:rPr>
            </w:pPr>
          </w:p>
        </w:tc>
      </w:tr>
      <w:tr w:rsidR="004B0D51" w:rsidRPr="00487209" w14:paraId="37E32B94" w14:textId="77777777" w:rsidTr="007D5144">
        <w:trPr>
          <w:trHeight w:val="1970"/>
          <w:jc w:val="center"/>
        </w:trPr>
        <w:tc>
          <w:tcPr>
            <w:tcW w:w="435" w:type="pct"/>
            <w:shd w:val="clear" w:color="auto" w:fill="auto"/>
            <w:vAlign w:val="center"/>
          </w:tcPr>
          <w:p w14:paraId="0CFD3656" w14:textId="77777777" w:rsidR="004B0D51" w:rsidRPr="00487209" w:rsidRDefault="004B0D51" w:rsidP="00BD3C01">
            <w:pPr>
              <w:spacing w:before="120" w:after="120"/>
              <w:jc w:val="center"/>
              <w:rPr>
                <w:rFonts w:ascii="Times New Roman" w:eastAsia="Arial Unicode MS" w:hAnsi="Times New Roman" w:cs="Times New Roman"/>
                <w:i/>
                <w:iCs/>
                <w:sz w:val="18"/>
                <w:szCs w:val="18"/>
                <w:shd w:val="clear" w:color="auto" w:fill="FFFFFF"/>
              </w:rPr>
            </w:pPr>
            <w:r w:rsidRPr="00487209">
              <w:rPr>
                <w:rFonts w:ascii="Times New Roman" w:eastAsia="Arial Unicode MS" w:hAnsi="Times New Roman" w:cs="Times New Roman"/>
                <w:sz w:val="18"/>
                <w:szCs w:val="18"/>
                <w:shd w:val="clear" w:color="auto" w:fill="D9D9D9" w:themeFill="background1" w:themeFillShade="D9"/>
              </w:rPr>
              <w:t>Point 3</w:t>
            </w:r>
          </w:p>
        </w:tc>
        <w:tc>
          <w:tcPr>
            <w:tcW w:w="1369" w:type="pct"/>
            <w:gridSpan w:val="2"/>
            <w:shd w:val="clear" w:color="auto" w:fill="auto"/>
            <w:vAlign w:val="center"/>
          </w:tcPr>
          <w:p w14:paraId="691A3697"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Indicate the name, the registered trade name or registered trade mark and the contact address of the manufacturer, as required pursuant to Article 11(5) of Regulation (EU) No 305/2011.</w:t>
            </w:r>
          </w:p>
        </w:tc>
        <w:tc>
          <w:tcPr>
            <w:tcW w:w="3196" w:type="pct"/>
            <w:gridSpan w:val="7"/>
            <w:vMerge/>
            <w:shd w:val="clear" w:color="auto" w:fill="auto"/>
            <w:vAlign w:val="center"/>
          </w:tcPr>
          <w:p w14:paraId="42D67213" w14:textId="77777777" w:rsidR="004B0D51" w:rsidRPr="00487209" w:rsidRDefault="004B0D51" w:rsidP="00BD3C01">
            <w:pPr>
              <w:spacing w:before="120" w:after="120"/>
              <w:jc w:val="center"/>
              <w:rPr>
                <w:rFonts w:ascii="Times New Roman" w:hAnsi="Times New Roman" w:cs="Times New Roman"/>
                <w:sz w:val="18"/>
                <w:szCs w:val="18"/>
              </w:rPr>
            </w:pPr>
          </w:p>
        </w:tc>
      </w:tr>
      <w:tr w:rsidR="004B0D51" w:rsidRPr="00487209" w14:paraId="74126B4D" w14:textId="77777777" w:rsidTr="007D5144">
        <w:trPr>
          <w:trHeight w:val="1970"/>
          <w:jc w:val="center"/>
        </w:trPr>
        <w:tc>
          <w:tcPr>
            <w:tcW w:w="435" w:type="pct"/>
            <w:shd w:val="clear" w:color="auto" w:fill="auto"/>
            <w:vAlign w:val="center"/>
          </w:tcPr>
          <w:p w14:paraId="210B9D17" w14:textId="77777777" w:rsidR="004B0D51" w:rsidRPr="00487209" w:rsidRDefault="004B0D51" w:rsidP="00BD3C01">
            <w:pPr>
              <w:spacing w:before="120" w:after="120"/>
              <w:jc w:val="center"/>
              <w:rPr>
                <w:rFonts w:ascii="Times New Roman" w:eastAsia="Arial Unicode MS" w:hAnsi="Times New Roman" w:cs="Times New Roman"/>
                <w:i/>
                <w:iCs/>
                <w:sz w:val="18"/>
                <w:szCs w:val="18"/>
                <w:shd w:val="clear" w:color="auto" w:fill="FFFFFF"/>
              </w:rPr>
            </w:pPr>
            <w:r w:rsidRPr="00487209">
              <w:rPr>
                <w:rFonts w:ascii="Times New Roman" w:eastAsia="Arial Unicode MS" w:hAnsi="Times New Roman" w:cs="Times New Roman"/>
                <w:sz w:val="18"/>
                <w:szCs w:val="18"/>
                <w:shd w:val="clear" w:color="auto" w:fill="D9D9D9" w:themeFill="background1" w:themeFillShade="D9"/>
              </w:rPr>
              <w:lastRenderedPageBreak/>
              <w:t>Point 4</w:t>
            </w:r>
          </w:p>
        </w:tc>
        <w:tc>
          <w:tcPr>
            <w:tcW w:w="1369" w:type="pct"/>
            <w:gridSpan w:val="2"/>
            <w:shd w:val="clear" w:color="auto" w:fill="auto"/>
            <w:vAlign w:val="center"/>
          </w:tcPr>
          <w:p w14:paraId="55964A67" w14:textId="77777777" w:rsidR="004B0D51" w:rsidRPr="00487209" w:rsidRDefault="004B0D51" w:rsidP="00BD3C0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This point shall be included and filled in only in case an authorised representative has been designated. In such case, indicate the name and the contact address of the authorised representative whose mandate covers the tasks specified in Article 12(2) of Regulation (EU) No 305/2011.</w:t>
            </w:r>
          </w:p>
        </w:tc>
        <w:tc>
          <w:tcPr>
            <w:tcW w:w="3196" w:type="pct"/>
            <w:gridSpan w:val="7"/>
            <w:vMerge/>
            <w:shd w:val="clear" w:color="auto" w:fill="auto"/>
            <w:vAlign w:val="center"/>
          </w:tcPr>
          <w:p w14:paraId="57A1C514" w14:textId="77777777" w:rsidR="004B0D51" w:rsidRPr="00487209" w:rsidRDefault="004B0D51" w:rsidP="00BD3C01">
            <w:pPr>
              <w:spacing w:before="120" w:after="120"/>
              <w:jc w:val="center"/>
              <w:rPr>
                <w:rFonts w:ascii="Times New Roman" w:hAnsi="Times New Roman" w:cs="Times New Roman"/>
                <w:sz w:val="18"/>
                <w:szCs w:val="18"/>
              </w:rPr>
            </w:pPr>
          </w:p>
        </w:tc>
      </w:tr>
      <w:tr w:rsidR="004B0D51" w:rsidRPr="00487209" w14:paraId="04631365" w14:textId="77777777" w:rsidTr="007D5144">
        <w:trPr>
          <w:trHeight w:val="1970"/>
          <w:jc w:val="center"/>
        </w:trPr>
        <w:tc>
          <w:tcPr>
            <w:tcW w:w="435" w:type="pct"/>
            <w:shd w:val="clear" w:color="auto" w:fill="auto"/>
            <w:vAlign w:val="center"/>
          </w:tcPr>
          <w:p w14:paraId="01AB5D6A" w14:textId="77777777" w:rsidR="004B0D51" w:rsidRPr="00487209" w:rsidRDefault="004B0D51" w:rsidP="006C6323">
            <w:pPr>
              <w:spacing w:before="120" w:after="120"/>
              <w:jc w:val="center"/>
              <w:rPr>
                <w:rFonts w:ascii="Times New Roman" w:eastAsia="Arial Unicode MS" w:hAnsi="Times New Roman" w:cs="Times New Roman"/>
                <w:i/>
                <w:iCs/>
                <w:sz w:val="18"/>
                <w:szCs w:val="18"/>
                <w:shd w:val="clear" w:color="auto" w:fill="FFFFFF"/>
              </w:rPr>
            </w:pPr>
            <w:r w:rsidRPr="00487209">
              <w:rPr>
                <w:rFonts w:ascii="Times New Roman" w:eastAsia="Arial Unicode MS" w:hAnsi="Times New Roman" w:cs="Times New Roman"/>
                <w:sz w:val="18"/>
                <w:szCs w:val="18"/>
                <w:shd w:val="clear" w:color="auto" w:fill="D9D9D9" w:themeFill="background1" w:themeFillShade="D9"/>
              </w:rPr>
              <w:t>Point 5</w:t>
            </w:r>
          </w:p>
        </w:tc>
        <w:tc>
          <w:tcPr>
            <w:tcW w:w="1369" w:type="pct"/>
            <w:gridSpan w:val="2"/>
            <w:shd w:val="clear" w:color="auto" w:fill="auto"/>
            <w:vAlign w:val="center"/>
          </w:tcPr>
          <w:p w14:paraId="262B697A" w14:textId="77777777" w:rsidR="004B0D51" w:rsidRPr="00487209" w:rsidRDefault="004B0D5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Indicate the number of the applicable system or systems of assessment and verification of constancy of performance (AVCP) of the construction product as set out in Annex V to Regulation (EU) No 305/2011. If there are multiple systems, each of them shall be declared.</w:t>
            </w:r>
          </w:p>
        </w:tc>
        <w:tc>
          <w:tcPr>
            <w:tcW w:w="3196" w:type="pct"/>
            <w:gridSpan w:val="7"/>
            <w:vMerge/>
            <w:shd w:val="clear" w:color="auto" w:fill="auto"/>
            <w:vAlign w:val="center"/>
          </w:tcPr>
          <w:p w14:paraId="1A4FD9CB" w14:textId="77777777" w:rsidR="004B0D51" w:rsidRPr="00487209" w:rsidRDefault="004B0D51" w:rsidP="006C6323">
            <w:pPr>
              <w:spacing w:before="120" w:after="120"/>
              <w:jc w:val="center"/>
              <w:rPr>
                <w:rFonts w:ascii="Times New Roman" w:hAnsi="Times New Roman" w:cs="Times New Roman"/>
                <w:sz w:val="18"/>
                <w:szCs w:val="18"/>
              </w:rPr>
            </w:pPr>
          </w:p>
        </w:tc>
      </w:tr>
      <w:tr w:rsidR="004B0D51" w:rsidRPr="00487209" w14:paraId="2F31D700" w14:textId="77777777" w:rsidTr="007D5144">
        <w:trPr>
          <w:trHeight w:val="487"/>
          <w:jc w:val="center"/>
        </w:trPr>
        <w:tc>
          <w:tcPr>
            <w:tcW w:w="435" w:type="pct"/>
            <w:shd w:val="clear" w:color="auto" w:fill="auto"/>
            <w:vAlign w:val="center"/>
          </w:tcPr>
          <w:p w14:paraId="67EBCA94" w14:textId="77777777" w:rsidR="004B0D51" w:rsidRPr="00487209" w:rsidRDefault="004B0D51" w:rsidP="006C6323">
            <w:pPr>
              <w:spacing w:before="120" w:after="120"/>
              <w:jc w:val="center"/>
              <w:rPr>
                <w:rFonts w:ascii="Times New Roman" w:eastAsia="Arial Unicode MS" w:hAnsi="Times New Roman" w:cs="Times New Roman"/>
                <w:sz w:val="18"/>
                <w:szCs w:val="18"/>
                <w:shd w:val="clear" w:color="auto" w:fill="FFFFFF"/>
              </w:rPr>
            </w:pPr>
            <w:r w:rsidRPr="00487209">
              <w:rPr>
                <w:rFonts w:ascii="Times New Roman" w:eastAsia="Arial Unicode MS" w:hAnsi="Times New Roman" w:cs="Times New Roman"/>
                <w:sz w:val="18"/>
                <w:szCs w:val="18"/>
                <w:shd w:val="clear" w:color="auto" w:fill="D9D9D9" w:themeFill="background1" w:themeFillShade="D9"/>
              </w:rPr>
              <w:t>Points 6a</w:t>
            </w:r>
            <w:r w:rsidRPr="00487209">
              <w:rPr>
                <w:rFonts w:ascii="Times New Roman" w:eastAsia="Arial Unicode MS" w:hAnsi="Times New Roman" w:cs="Times New Roman"/>
                <w:sz w:val="18"/>
                <w:szCs w:val="18"/>
                <w:shd w:val="clear" w:color="auto" w:fill="FFFFFF"/>
              </w:rPr>
              <w:t xml:space="preserve"> </w:t>
            </w:r>
            <w:r w:rsidRPr="00487209">
              <w:rPr>
                <w:rFonts w:ascii="Times New Roman" w:eastAsia="Arial Unicode MS" w:hAnsi="Times New Roman" w:cs="Times New Roman"/>
                <w:sz w:val="18"/>
                <w:szCs w:val="18"/>
                <w:shd w:val="clear" w:color="auto" w:fill="D9D9D9" w:themeFill="background1" w:themeFillShade="D9"/>
              </w:rPr>
              <w:t>and</w:t>
            </w:r>
            <w:r w:rsidRPr="00487209">
              <w:rPr>
                <w:rFonts w:ascii="Times New Roman" w:eastAsia="Arial Unicode MS" w:hAnsi="Times New Roman" w:cs="Times New Roman"/>
                <w:sz w:val="18"/>
                <w:szCs w:val="18"/>
                <w:shd w:val="clear" w:color="auto" w:fill="FFFFFF"/>
              </w:rPr>
              <w:t xml:space="preserve"> </w:t>
            </w:r>
          </w:p>
          <w:p w14:paraId="5BC77524" w14:textId="77777777" w:rsidR="004B0D51" w:rsidRPr="00487209" w:rsidRDefault="004B0D51" w:rsidP="006C6323">
            <w:pPr>
              <w:spacing w:before="120" w:after="120"/>
              <w:jc w:val="center"/>
              <w:rPr>
                <w:rFonts w:ascii="Times New Roman" w:eastAsia="Arial Unicode MS" w:hAnsi="Times New Roman" w:cs="Times New Roman"/>
                <w:i/>
                <w:iCs/>
                <w:sz w:val="18"/>
                <w:szCs w:val="18"/>
                <w:shd w:val="clear" w:color="auto" w:fill="FFFFFF"/>
              </w:rPr>
            </w:pPr>
            <w:r w:rsidRPr="00487209">
              <w:rPr>
                <w:rFonts w:ascii="Times New Roman" w:eastAsia="Arial Unicode MS" w:hAnsi="Times New Roman" w:cs="Times New Roman"/>
                <w:sz w:val="18"/>
                <w:szCs w:val="18"/>
                <w:shd w:val="clear" w:color="auto" w:fill="D9D9D9" w:themeFill="background1" w:themeFillShade="D9"/>
              </w:rPr>
              <w:t xml:space="preserve">Points </w:t>
            </w:r>
            <w:r w:rsidRPr="00487209">
              <w:rPr>
                <w:rFonts w:ascii="Times New Roman" w:eastAsia="Arial Unicode MS" w:hAnsi="Times New Roman" w:cs="Times New Roman"/>
                <w:b/>
                <w:sz w:val="18"/>
                <w:szCs w:val="18"/>
                <w:shd w:val="clear" w:color="auto" w:fill="D9D9D9" w:themeFill="background1" w:themeFillShade="D9"/>
              </w:rPr>
              <w:t>6b</w:t>
            </w:r>
          </w:p>
        </w:tc>
        <w:tc>
          <w:tcPr>
            <w:tcW w:w="1369" w:type="pct"/>
            <w:gridSpan w:val="2"/>
            <w:shd w:val="clear" w:color="auto" w:fill="auto"/>
            <w:vAlign w:val="center"/>
          </w:tcPr>
          <w:p w14:paraId="0DE5DD11" w14:textId="77777777" w:rsidR="004B0D51" w:rsidRPr="00487209" w:rsidRDefault="004B0D5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Since a manufacturer can draw up a declaration of performance based on either a harmonised standard or a European Technical Assessment issued for the product, these two different situations presented under points 6a and 6b should be treated as alternative, with only one of them to be applied and filled in in a declaration of performance.</w:t>
            </w:r>
          </w:p>
          <w:p w14:paraId="465E99BC" w14:textId="77777777" w:rsidR="004B0D51" w:rsidRPr="00487209" w:rsidRDefault="004B0D5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In case of point 6a, i.e. when a declaration of performance is based on a harmonised standard, indicate all the following:</w:t>
            </w:r>
          </w:p>
          <w:p w14:paraId="363CA2DB" w14:textId="77777777" w:rsidR="004B0D51" w:rsidRPr="00487209" w:rsidRDefault="004B0D5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the reference number of the harmonised standard and its date of issue (dated reference); and</w:t>
            </w:r>
          </w:p>
          <w:p w14:paraId="4F407211" w14:textId="77777777" w:rsidR="004B0D51" w:rsidRPr="00487209" w:rsidRDefault="004B0D5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(b)  the identification number of the notified body/ies.</w:t>
            </w:r>
          </w:p>
          <w:p w14:paraId="7664CD17" w14:textId="77777777" w:rsidR="004B0D51" w:rsidRPr="00487209" w:rsidRDefault="004B0D5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 xml:space="preserve">When providing the name of the notified </w:t>
            </w:r>
            <w:r w:rsidRPr="00487209">
              <w:rPr>
                <w:rFonts w:ascii="Times New Roman" w:hAnsi="Times New Roman" w:cs="Times New Roman"/>
                <w:sz w:val="18"/>
                <w:szCs w:val="18"/>
              </w:rPr>
              <w:lastRenderedPageBreak/>
              <w:t>body/ies, it is essential that the name is provided in its original language, without translation to other languages.</w:t>
            </w:r>
          </w:p>
          <w:p w14:paraId="141CE02C" w14:textId="77777777" w:rsidR="004B0D51" w:rsidRPr="00487209" w:rsidRDefault="004B0D5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In case of point 6b, i.e. when a declaration of performance is based on a European Technical Assessment issued for the product, indicate all the following:</w:t>
            </w:r>
          </w:p>
          <w:p w14:paraId="32D0B25B" w14:textId="77777777" w:rsidR="004B0D51" w:rsidRPr="00487209" w:rsidRDefault="004B0D5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the number of the European Assessment Document and its date of issue;</w:t>
            </w:r>
          </w:p>
          <w:p w14:paraId="0B5713A5" w14:textId="77777777" w:rsidR="004B0D51" w:rsidRPr="00487209" w:rsidRDefault="004B0D5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(b)  the number of the European Technical Assessment and its date of issue;</w:t>
            </w:r>
          </w:p>
          <w:p w14:paraId="26995877" w14:textId="77777777" w:rsidR="004B0D51" w:rsidRPr="00487209" w:rsidRDefault="004B0D5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(c)  the name of the Technical Assessment Body; and</w:t>
            </w:r>
          </w:p>
          <w:p w14:paraId="63E3978F" w14:textId="77777777" w:rsidR="004B0D51" w:rsidRPr="00487209" w:rsidRDefault="004B0D5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(d)  the identification number of the notified body/ies.</w:t>
            </w:r>
          </w:p>
        </w:tc>
        <w:tc>
          <w:tcPr>
            <w:tcW w:w="3196" w:type="pct"/>
            <w:gridSpan w:val="7"/>
            <w:vMerge/>
            <w:shd w:val="clear" w:color="auto" w:fill="auto"/>
            <w:vAlign w:val="center"/>
          </w:tcPr>
          <w:p w14:paraId="250E4320" w14:textId="77777777" w:rsidR="004B0D51" w:rsidRPr="00487209" w:rsidRDefault="004B0D51" w:rsidP="006C6323">
            <w:pPr>
              <w:spacing w:before="120" w:after="120"/>
              <w:jc w:val="center"/>
              <w:rPr>
                <w:rFonts w:ascii="Times New Roman" w:hAnsi="Times New Roman" w:cs="Times New Roman"/>
                <w:sz w:val="18"/>
                <w:szCs w:val="18"/>
              </w:rPr>
            </w:pPr>
          </w:p>
        </w:tc>
      </w:tr>
      <w:tr w:rsidR="004B0D51" w:rsidRPr="00487209" w14:paraId="2D6D34EB" w14:textId="77777777" w:rsidTr="007D5144">
        <w:trPr>
          <w:trHeight w:val="1970"/>
          <w:jc w:val="center"/>
        </w:trPr>
        <w:tc>
          <w:tcPr>
            <w:tcW w:w="435" w:type="pct"/>
            <w:shd w:val="clear" w:color="auto" w:fill="auto"/>
            <w:vAlign w:val="center"/>
          </w:tcPr>
          <w:p w14:paraId="2611F391" w14:textId="77777777" w:rsidR="004B0D51" w:rsidRPr="00487209" w:rsidRDefault="004B0D51" w:rsidP="006C6323">
            <w:pPr>
              <w:spacing w:before="120" w:after="120"/>
              <w:jc w:val="center"/>
              <w:rPr>
                <w:rFonts w:ascii="Times New Roman" w:eastAsia="Arial Unicode MS" w:hAnsi="Times New Roman" w:cs="Times New Roman"/>
                <w:i/>
                <w:iCs/>
                <w:sz w:val="18"/>
                <w:szCs w:val="18"/>
                <w:shd w:val="clear" w:color="auto" w:fill="FFFFFF"/>
              </w:rPr>
            </w:pPr>
            <w:r w:rsidRPr="00487209">
              <w:rPr>
                <w:rFonts w:ascii="Times New Roman" w:eastAsia="Arial Unicode MS" w:hAnsi="Times New Roman" w:cs="Times New Roman"/>
                <w:sz w:val="18"/>
                <w:szCs w:val="18"/>
                <w:shd w:val="clear" w:color="auto" w:fill="D9D9D9" w:themeFill="background1" w:themeFillShade="D9"/>
              </w:rPr>
              <w:lastRenderedPageBreak/>
              <w:t>Point 7</w:t>
            </w:r>
          </w:p>
        </w:tc>
        <w:tc>
          <w:tcPr>
            <w:tcW w:w="1369" w:type="pct"/>
            <w:gridSpan w:val="2"/>
            <w:shd w:val="clear" w:color="auto" w:fill="auto"/>
            <w:vAlign w:val="center"/>
          </w:tcPr>
          <w:p w14:paraId="19B9CFFA" w14:textId="77777777" w:rsidR="004B0D51" w:rsidRPr="00487209" w:rsidRDefault="004B0D5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Under this point, the declaration of performance shall indicate:</w:t>
            </w:r>
          </w:p>
          <w:p w14:paraId="086C7C8B" w14:textId="77777777" w:rsidR="004B0D51" w:rsidRPr="00487209" w:rsidRDefault="004B0D5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the list of essential characteristics, as determined in the harmonised technical specifications for the intended use or uses indicated under point 2; and</w:t>
            </w:r>
          </w:p>
          <w:p w14:paraId="44F2A85A" w14:textId="77777777" w:rsidR="004B0D51" w:rsidRPr="00487209" w:rsidRDefault="004B0D5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(b)  for each essential characteristic, the declared performance, by level or class, or in a description, in relation to this characteristic or, for characteristics for which no performance is declared, the letters ‘NPD’ (No Performance Determined).</w:t>
            </w:r>
          </w:p>
          <w:p w14:paraId="2C3165F4" w14:textId="77777777" w:rsidR="004B0D51" w:rsidRPr="00487209" w:rsidRDefault="004B0D5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 xml:space="preserve">This point may be filled up with the use of a table which brings forward the links between the harmonised technical specifications and </w:t>
            </w:r>
            <w:r w:rsidRPr="00487209">
              <w:rPr>
                <w:rFonts w:ascii="Times New Roman" w:hAnsi="Times New Roman" w:cs="Times New Roman"/>
                <w:sz w:val="18"/>
                <w:szCs w:val="18"/>
              </w:rPr>
              <w:lastRenderedPageBreak/>
              <w:t>the systems of assessment and verification of constancy of performance applied respectively to each essential characteristic of the product, as well as the performance in relation to each essential characteristic.</w:t>
            </w:r>
          </w:p>
          <w:p w14:paraId="7E2112A2" w14:textId="77777777" w:rsidR="004B0D51" w:rsidRPr="00487209" w:rsidRDefault="004B0D5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performance shall be declared in a clear and explicit manner. Therefore, the performance cannot be described in the declaration of performance solely by inserting a calculation formula to be applied by the recipients. Furthermore, the levels or classes of performance presented in reference documents shall be reproduced in the declaration of performance itself and thus cannot be expressed solely by inserting references to these documents into the declaration of performance.</w:t>
            </w:r>
          </w:p>
          <w:p w14:paraId="55D4DE9D" w14:textId="77777777" w:rsidR="004B0D51" w:rsidRPr="00487209" w:rsidRDefault="004B0D5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However, the performance notably of structural behaviour of a construction product may be expressed by referring to the respective production documentation or structural design calculations. In this case, the relevant documents shall be attached to the declaration of performance.</w:t>
            </w:r>
          </w:p>
        </w:tc>
        <w:tc>
          <w:tcPr>
            <w:tcW w:w="3196" w:type="pct"/>
            <w:gridSpan w:val="7"/>
            <w:vMerge/>
            <w:shd w:val="clear" w:color="auto" w:fill="auto"/>
            <w:vAlign w:val="center"/>
          </w:tcPr>
          <w:p w14:paraId="17E7A9E3" w14:textId="77777777" w:rsidR="004B0D51" w:rsidRPr="00487209" w:rsidRDefault="004B0D51" w:rsidP="006C6323">
            <w:pPr>
              <w:spacing w:before="120" w:after="120"/>
              <w:jc w:val="center"/>
              <w:rPr>
                <w:rFonts w:ascii="Times New Roman" w:hAnsi="Times New Roman" w:cs="Times New Roman"/>
                <w:sz w:val="18"/>
                <w:szCs w:val="18"/>
              </w:rPr>
            </w:pPr>
          </w:p>
        </w:tc>
      </w:tr>
      <w:tr w:rsidR="004B0D51" w:rsidRPr="00487209" w14:paraId="146F267C" w14:textId="77777777" w:rsidTr="007D5144">
        <w:trPr>
          <w:trHeight w:val="1970"/>
          <w:jc w:val="center"/>
        </w:trPr>
        <w:tc>
          <w:tcPr>
            <w:tcW w:w="435" w:type="pct"/>
            <w:shd w:val="clear" w:color="auto" w:fill="auto"/>
            <w:vAlign w:val="center"/>
          </w:tcPr>
          <w:p w14:paraId="5193F1D6" w14:textId="77777777" w:rsidR="004B0D51" w:rsidRPr="00487209" w:rsidRDefault="004B0D51" w:rsidP="006C6323">
            <w:pPr>
              <w:spacing w:before="120" w:after="120"/>
              <w:jc w:val="center"/>
              <w:rPr>
                <w:rFonts w:ascii="Times New Roman" w:eastAsia="Arial Unicode MS" w:hAnsi="Times New Roman" w:cs="Times New Roman"/>
                <w:i/>
                <w:iCs/>
                <w:sz w:val="18"/>
                <w:szCs w:val="18"/>
                <w:shd w:val="clear" w:color="auto" w:fill="FFFFFF"/>
              </w:rPr>
            </w:pPr>
            <w:r w:rsidRPr="00487209">
              <w:rPr>
                <w:rFonts w:ascii="Times New Roman" w:eastAsia="Arial Unicode MS" w:hAnsi="Times New Roman" w:cs="Times New Roman"/>
                <w:i/>
                <w:iCs/>
                <w:sz w:val="18"/>
                <w:szCs w:val="18"/>
                <w:shd w:val="clear" w:color="auto" w:fill="D9D9D9" w:themeFill="background1" w:themeFillShade="D9"/>
              </w:rPr>
              <w:lastRenderedPageBreak/>
              <w:t>Signature</w:t>
            </w:r>
          </w:p>
        </w:tc>
        <w:tc>
          <w:tcPr>
            <w:tcW w:w="1369" w:type="pct"/>
            <w:gridSpan w:val="2"/>
            <w:shd w:val="clear" w:color="auto" w:fill="auto"/>
            <w:vAlign w:val="center"/>
          </w:tcPr>
          <w:p w14:paraId="33B1901C" w14:textId="77777777" w:rsidR="004B0D51" w:rsidRPr="00487209" w:rsidRDefault="004B0D5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Replace the spaces indicated between square brackets by the information indicated and the signature.</w:t>
            </w:r>
          </w:p>
        </w:tc>
        <w:tc>
          <w:tcPr>
            <w:tcW w:w="3196" w:type="pct"/>
            <w:gridSpan w:val="7"/>
            <w:vMerge/>
            <w:shd w:val="clear" w:color="auto" w:fill="auto"/>
            <w:vAlign w:val="center"/>
          </w:tcPr>
          <w:p w14:paraId="42FD8F4C" w14:textId="77777777" w:rsidR="004B0D51" w:rsidRPr="00487209" w:rsidRDefault="004B0D51" w:rsidP="006C6323">
            <w:pPr>
              <w:spacing w:before="120" w:after="120"/>
              <w:jc w:val="center"/>
              <w:rPr>
                <w:rFonts w:ascii="Times New Roman" w:hAnsi="Times New Roman" w:cs="Times New Roman"/>
                <w:sz w:val="18"/>
                <w:szCs w:val="18"/>
              </w:rPr>
            </w:pPr>
          </w:p>
        </w:tc>
      </w:tr>
      <w:tr w:rsidR="00337554" w:rsidRPr="00487209" w14:paraId="64DBD4ED" w14:textId="77777777" w:rsidTr="007D5144">
        <w:trPr>
          <w:trHeight w:val="1970"/>
          <w:jc w:val="center"/>
        </w:trPr>
        <w:tc>
          <w:tcPr>
            <w:tcW w:w="435" w:type="pct"/>
            <w:shd w:val="clear" w:color="auto" w:fill="auto"/>
            <w:vAlign w:val="center"/>
          </w:tcPr>
          <w:p w14:paraId="07242EA7"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IV</w:t>
            </w:r>
          </w:p>
        </w:tc>
        <w:tc>
          <w:tcPr>
            <w:tcW w:w="1369" w:type="pct"/>
            <w:gridSpan w:val="2"/>
            <w:shd w:val="clear" w:color="auto" w:fill="auto"/>
            <w:vAlign w:val="center"/>
          </w:tcPr>
          <w:p w14:paraId="121E7AB6" w14:textId="77777777" w:rsidR="00147811" w:rsidRPr="00487209" w:rsidRDefault="00147811" w:rsidP="006C6323">
            <w:pPr>
              <w:pStyle w:val="norm"/>
              <w:rPr>
                <w:sz w:val="18"/>
                <w:szCs w:val="18"/>
              </w:rPr>
            </w:pPr>
            <w:r w:rsidRPr="00487209">
              <w:rPr>
                <w:sz w:val="18"/>
                <w:szCs w:val="18"/>
              </w:rPr>
              <w:t>PRODUCT AREAS AND REQUIREMENTS FOR TABS</w:t>
            </w:r>
          </w:p>
        </w:tc>
        <w:tc>
          <w:tcPr>
            <w:tcW w:w="429" w:type="pct"/>
            <w:shd w:val="clear" w:color="auto" w:fill="auto"/>
            <w:vAlign w:val="center"/>
          </w:tcPr>
          <w:p w14:paraId="2941FF16" w14:textId="13824A2B" w:rsidR="00147811" w:rsidRDefault="005B1958" w:rsidP="00556FF9">
            <w:pPr>
              <w:spacing w:before="240"/>
              <w:jc w:val="center"/>
              <w:rPr>
                <w:rFonts w:ascii="Times New Roman" w:hAnsi="Times New Roman" w:cs="Times New Roman"/>
                <w:sz w:val="18"/>
                <w:szCs w:val="18"/>
                <w:lang w:val="ru-RU"/>
              </w:rPr>
            </w:pPr>
            <w:r>
              <w:rPr>
                <w:rFonts w:ascii="Times New Roman" w:hAnsi="Times New Roman" w:cs="Times New Roman"/>
                <w:sz w:val="18"/>
                <w:szCs w:val="18"/>
                <w:lang w:val="ru-RU"/>
              </w:rPr>
              <w:t>01</w:t>
            </w:r>
          </w:p>
          <w:p w14:paraId="7F95AA4D" w14:textId="77777777" w:rsidR="005B1958" w:rsidRDefault="005B1958" w:rsidP="00556FF9">
            <w:pPr>
              <w:spacing w:before="240"/>
              <w:jc w:val="center"/>
              <w:rPr>
                <w:rFonts w:ascii="Times New Roman" w:hAnsi="Times New Roman" w:cs="Times New Roman"/>
                <w:sz w:val="18"/>
                <w:szCs w:val="18"/>
                <w:lang w:val="ru-RU"/>
              </w:rPr>
            </w:pPr>
          </w:p>
          <w:p w14:paraId="29E93D83" w14:textId="41E41EE6" w:rsidR="005B1958" w:rsidRPr="00487209" w:rsidRDefault="005B1958" w:rsidP="00556FF9">
            <w:pPr>
              <w:spacing w:before="240"/>
              <w:jc w:val="center"/>
              <w:rPr>
                <w:rFonts w:ascii="Times New Roman" w:hAnsi="Times New Roman" w:cs="Times New Roman"/>
                <w:sz w:val="18"/>
                <w:szCs w:val="18"/>
              </w:rPr>
            </w:pPr>
            <w:r>
              <w:rPr>
                <w:rFonts w:ascii="Times New Roman" w:hAnsi="Times New Roman" w:cs="Times New Roman"/>
                <w:sz w:val="18"/>
                <w:szCs w:val="18"/>
                <w:lang w:val="ru-RU"/>
              </w:rPr>
              <w:t>3.1</w:t>
            </w:r>
          </w:p>
        </w:tc>
        <w:tc>
          <w:tcPr>
            <w:tcW w:w="1231" w:type="pct"/>
            <w:gridSpan w:val="2"/>
            <w:shd w:val="clear" w:color="auto" w:fill="auto"/>
            <w:vAlign w:val="center"/>
          </w:tcPr>
          <w:p w14:paraId="60035EEE" w14:textId="5E4ED2A9" w:rsidR="00147811" w:rsidRPr="00487209" w:rsidRDefault="005B1958" w:rsidP="006C6323">
            <w:pPr>
              <w:pStyle w:val="Style30"/>
              <w:tabs>
                <w:tab w:val="left" w:pos="322"/>
              </w:tabs>
              <w:spacing w:line="240" w:lineRule="auto"/>
              <w:ind w:firstLine="0"/>
              <w:jc w:val="both"/>
              <w:rPr>
                <w:rFonts w:ascii="Times New Roman" w:hAnsi="Times New Roman"/>
                <w:sz w:val="18"/>
                <w:szCs w:val="18"/>
                <w:lang w:val="sr-Cyrl-CS"/>
              </w:rPr>
            </w:pPr>
            <w:bookmarkStart w:id="2" w:name="_Toc431896004"/>
            <w:bookmarkStart w:id="3" w:name="_Toc433287360"/>
            <w:bookmarkStart w:id="4" w:name="_Toc446658685"/>
            <w:bookmarkStart w:id="5" w:name="_Toc449082486"/>
            <w:r w:rsidRPr="005B1958">
              <w:rPr>
                <w:rFonts w:ascii="Times New Roman" w:hAnsi="Times New Roman"/>
                <w:sz w:val="18"/>
                <w:szCs w:val="18"/>
                <w:lang w:val="sr-Cyrl-CS"/>
              </w:rPr>
              <w:t xml:space="preserve">Овај закон примењује се на све грађевинске производе који су разврстани по следећим областима грађевинских производа: </w:t>
            </w:r>
            <w:bookmarkEnd w:id="2"/>
            <w:bookmarkEnd w:id="3"/>
            <w:bookmarkEnd w:id="4"/>
            <w:bookmarkEnd w:id="5"/>
          </w:p>
        </w:tc>
        <w:tc>
          <w:tcPr>
            <w:tcW w:w="458" w:type="pct"/>
            <w:shd w:val="clear" w:color="auto" w:fill="auto"/>
            <w:vAlign w:val="center"/>
          </w:tcPr>
          <w:p w14:paraId="7C5DCD10"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3590E1A3"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122D09C0"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710AFEDD" w14:textId="77777777" w:rsidTr="007D5144">
        <w:trPr>
          <w:trHeight w:val="1970"/>
          <w:jc w:val="center"/>
        </w:trPr>
        <w:tc>
          <w:tcPr>
            <w:tcW w:w="435" w:type="pct"/>
            <w:shd w:val="clear" w:color="auto" w:fill="auto"/>
            <w:vAlign w:val="center"/>
          </w:tcPr>
          <w:p w14:paraId="6084818E" w14:textId="77777777" w:rsidR="00147811" w:rsidRPr="00487209" w:rsidRDefault="003353D6"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ANNEX IV</w:t>
            </w:r>
          </w:p>
        </w:tc>
        <w:tc>
          <w:tcPr>
            <w:tcW w:w="1369" w:type="pct"/>
            <w:gridSpan w:val="2"/>
            <w:shd w:val="clear" w:color="auto" w:fill="auto"/>
            <w:vAlign w:val="center"/>
          </w:tcPr>
          <w:p w14:paraId="566B0F48" w14:textId="77777777" w:rsidR="00147811" w:rsidRPr="00487209" w:rsidRDefault="00147811" w:rsidP="006C6323">
            <w:pPr>
              <w:pStyle w:val="norm"/>
              <w:rPr>
                <w:sz w:val="18"/>
                <w:szCs w:val="18"/>
              </w:rPr>
            </w:pPr>
            <w:r w:rsidRPr="00487209">
              <w:rPr>
                <w:rStyle w:val="boldface"/>
                <w:rFonts w:eastAsia="Calibri"/>
                <w:sz w:val="18"/>
                <w:szCs w:val="18"/>
              </w:rPr>
              <w:t>Table 1 —</w:t>
            </w:r>
            <w:r w:rsidRPr="00487209">
              <w:rPr>
                <w:sz w:val="18"/>
                <w:szCs w:val="18"/>
              </w:rPr>
              <w:t>  </w:t>
            </w:r>
            <w:r w:rsidRPr="00487209">
              <w:rPr>
                <w:rStyle w:val="boldface"/>
                <w:rFonts w:eastAsia="Calibri"/>
                <w:sz w:val="18"/>
                <w:szCs w:val="18"/>
              </w:rPr>
              <w:t>Product areas</w:t>
            </w:r>
            <w:r w:rsidRPr="00487209">
              <w:rPr>
                <w:sz w:val="18"/>
                <w:szCs w:val="18"/>
              </w:rPr>
              <w:t xml:space="preserve"> </w:t>
            </w:r>
          </w:p>
          <w:p w14:paraId="6436302B"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0DE2DADC" w14:textId="77777777" w:rsidR="00E12C08" w:rsidRPr="00487209" w:rsidRDefault="00E12C08" w:rsidP="006C6323">
            <w:pPr>
              <w:spacing w:before="120" w:after="120"/>
              <w:rPr>
                <w:rFonts w:ascii="Times New Roman" w:hAnsi="Times New Roman" w:cs="Times New Roman"/>
                <w:sz w:val="18"/>
                <w:szCs w:val="18"/>
              </w:rPr>
            </w:pPr>
          </w:p>
          <w:p w14:paraId="52F2D95A" w14:textId="41DE39B0" w:rsidR="00147811" w:rsidRPr="00487209" w:rsidRDefault="00E12C08" w:rsidP="005B1958">
            <w:pPr>
              <w:spacing w:before="120" w:after="120"/>
              <w:ind w:firstLine="5"/>
              <w:jc w:val="center"/>
              <w:rPr>
                <w:rFonts w:ascii="Times New Roman" w:hAnsi="Times New Roman" w:cs="Times New Roman"/>
                <w:sz w:val="18"/>
                <w:szCs w:val="18"/>
              </w:rPr>
            </w:pPr>
            <w:r w:rsidRPr="00487209">
              <w:rPr>
                <w:rFonts w:ascii="Times New Roman" w:hAnsi="Times New Roman" w:cs="Times New Roman"/>
                <w:sz w:val="18"/>
                <w:szCs w:val="18"/>
                <w:lang w:val="ru-RU"/>
              </w:rPr>
              <w:t xml:space="preserve"> </w:t>
            </w:r>
          </w:p>
        </w:tc>
        <w:tc>
          <w:tcPr>
            <w:tcW w:w="1231" w:type="pct"/>
            <w:gridSpan w:val="2"/>
            <w:shd w:val="clear" w:color="auto" w:fill="auto"/>
            <w:vAlign w:val="center"/>
          </w:tcPr>
          <w:p w14:paraId="2E3859DE" w14:textId="77777777" w:rsidR="00147811" w:rsidRPr="00487209" w:rsidRDefault="00147811" w:rsidP="007D5144">
            <w:pPr>
              <w:pStyle w:val="Style8"/>
              <w:spacing w:before="240" w:line="360" w:lineRule="auto"/>
              <w:ind w:right="-23"/>
              <w:outlineLvl w:val="3"/>
              <w:rPr>
                <w:rFonts w:ascii="Times New Roman" w:hAnsi="Times New Roman"/>
                <w:sz w:val="18"/>
                <w:szCs w:val="18"/>
                <w:lang w:val="sr-Cyrl-CS"/>
              </w:rPr>
            </w:pPr>
          </w:p>
        </w:tc>
        <w:tc>
          <w:tcPr>
            <w:tcW w:w="458" w:type="pct"/>
            <w:shd w:val="clear" w:color="auto" w:fill="auto"/>
            <w:vAlign w:val="center"/>
          </w:tcPr>
          <w:p w14:paraId="42DC53A5" w14:textId="2A35ABAC" w:rsidR="00147811" w:rsidRPr="00487209" w:rsidRDefault="00147811" w:rsidP="006C6323">
            <w:pPr>
              <w:jc w:val="center"/>
              <w:rPr>
                <w:rFonts w:ascii="Times New Roman" w:hAnsi="Times New Roman" w:cs="Times New Roman"/>
                <w:sz w:val="18"/>
                <w:szCs w:val="18"/>
              </w:rPr>
            </w:pPr>
          </w:p>
        </w:tc>
        <w:tc>
          <w:tcPr>
            <w:tcW w:w="598" w:type="pct"/>
            <w:gridSpan w:val="2"/>
            <w:shd w:val="clear" w:color="auto" w:fill="auto"/>
            <w:vAlign w:val="center"/>
          </w:tcPr>
          <w:p w14:paraId="1981AB0C"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1E8BB77D"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23EF3BE4" w14:textId="77777777" w:rsidTr="007D5144">
        <w:trPr>
          <w:trHeight w:val="770"/>
          <w:jc w:val="center"/>
        </w:trPr>
        <w:tc>
          <w:tcPr>
            <w:tcW w:w="435" w:type="pct"/>
            <w:shd w:val="clear" w:color="auto" w:fill="auto"/>
            <w:vAlign w:val="center"/>
          </w:tcPr>
          <w:p w14:paraId="4DE056ED" w14:textId="77777777" w:rsidR="00147811" w:rsidRPr="00487209" w:rsidRDefault="00147811"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AREA CODE</w:t>
            </w:r>
          </w:p>
        </w:tc>
        <w:tc>
          <w:tcPr>
            <w:tcW w:w="1369" w:type="pct"/>
            <w:gridSpan w:val="2"/>
            <w:shd w:val="clear" w:color="auto" w:fill="auto"/>
            <w:vAlign w:val="center"/>
          </w:tcPr>
          <w:p w14:paraId="327398A4"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PRODUCT AREA</w:t>
            </w:r>
          </w:p>
        </w:tc>
        <w:tc>
          <w:tcPr>
            <w:tcW w:w="429" w:type="pct"/>
            <w:shd w:val="clear" w:color="auto" w:fill="auto"/>
            <w:vAlign w:val="center"/>
          </w:tcPr>
          <w:p w14:paraId="17B39D8D" w14:textId="77777777" w:rsidR="00147811" w:rsidRPr="00487209" w:rsidRDefault="00147811" w:rsidP="006C6323">
            <w:pPr>
              <w:pStyle w:val="Style30"/>
              <w:tabs>
                <w:tab w:val="left" w:pos="322"/>
              </w:tabs>
              <w:spacing w:line="240" w:lineRule="auto"/>
              <w:ind w:firstLine="0"/>
              <w:jc w:val="both"/>
              <w:rPr>
                <w:rFonts w:ascii="Times New Roman" w:hAnsi="Times New Roman"/>
                <w:sz w:val="18"/>
                <w:szCs w:val="18"/>
                <w:lang w:val="sr-Cyrl-CS"/>
              </w:rPr>
            </w:pPr>
            <w:r w:rsidRPr="00487209">
              <w:rPr>
                <w:rFonts w:ascii="Times New Roman" w:hAnsi="Times New Roman"/>
                <w:sz w:val="18"/>
                <w:szCs w:val="18"/>
                <w:lang w:val="sr-Cyrl-CS"/>
              </w:rPr>
              <w:t>ШИФРА ОБЛАСТИ</w:t>
            </w:r>
          </w:p>
        </w:tc>
        <w:tc>
          <w:tcPr>
            <w:tcW w:w="1231" w:type="pct"/>
            <w:gridSpan w:val="2"/>
            <w:shd w:val="clear" w:color="auto" w:fill="auto"/>
            <w:vAlign w:val="center"/>
          </w:tcPr>
          <w:p w14:paraId="60AFF91F" w14:textId="77777777" w:rsidR="00147811" w:rsidRPr="00487209" w:rsidRDefault="00147811" w:rsidP="006C6323">
            <w:pPr>
              <w:pStyle w:val="Style30"/>
              <w:tabs>
                <w:tab w:val="left" w:pos="322"/>
              </w:tabs>
              <w:spacing w:line="240" w:lineRule="auto"/>
              <w:ind w:firstLine="0"/>
              <w:jc w:val="both"/>
              <w:rPr>
                <w:rFonts w:ascii="Times New Roman" w:hAnsi="Times New Roman"/>
                <w:sz w:val="18"/>
                <w:szCs w:val="18"/>
                <w:lang w:val="sr-Cyrl-CS"/>
              </w:rPr>
            </w:pPr>
            <w:r w:rsidRPr="00487209">
              <w:rPr>
                <w:rFonts w:ascii="Times New Roman" w:hAnsi="Times New Roman"/>
                <w:sz w:val="18"/>
                <w:szCs w:val="18"/>
                <w:lang w:val="sr-Cyrl-CS"/>
              </w:rPr>
              <w:t>ОБЛАСТИ ПРОИЗВОДА</w:t>
            </w:r>
          </w:p>
        </w:tc>
        <w:tc>
          <w:tcPr>
            <w:tcW w:w="458" w:type="pct"/>
            <w:shd w:val="clear" w:color="auto" w:fill="auto"/>
            <w:vAlign w:val="center"/>
          </w:tcPr>
          <w:p w14:paraId="59F4FE5D"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26CF2967"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474124E"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07EF206B" w14:textId="77777777" w:rsidTr="007D5144">
        <w:trPr>
          <w:trHeight w:val="1135"/>
          <w:jc w:val="center"/>
        </w:trPr>
        <w:tc>
          <w:tcPr>
            <w:tcW w:w="435" w:type="pct"/>
            <w:shd w:val="clear" w:color="auto" w:fill="auto"/>
            <w:vAlign w:val="center"/>
          </w:tcPr>
          <w:p w14:paraId="2BD94F8E"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sidRPr="00487209">
              <w:rPr>
                <w:rStyle w:val="FontStyle42"/>
                <w:rFonts w:ascii="Times New Roman" w:hAnsi="Times New Roman" w:cs="Times New Roman"/>
                <w:sz w:val="18"/>
                <w:szCs w:val="18"/>
                <w:lang w:val="sr-Cyrl-CS" w:eastAsia="en-GB"/>
              </w:rPr>
              <w:t>1</w:t>
            </w:r>
          </w:p>
        </w:tc>
        <w:tc>
          <w:tcPr>
            <w:tcW w:w="1369" w:type="pct"/>
            <w:gridSpan w:val="2"/>
            <w:shd w:val="clear" w:color="auto" w:fill="auto"/>
            <w:vAlign w:val="center"/>
          </w:tcPr>
          <w:p w14:paraId="4ACDB721"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PRECAST NORMAL/LIGHTWEIGHT/AUTOCLAVED AERATED CONCRETE PRODUCTS.</w:t>
            </w:r>
          </w:p>
        </w:tc>
        <w:tc>
          <w:tcPr>
            <w:tcW w:w="429" w:type="pct"/>
            <w:shd w:val="clear" w:color="auto" w:fill="auto"/>
            <w:vAlign w:val="center"/>
          </w:tcPr>
          <w:p w14:paraId="5210436C" w14:textId="41A4DF52" w:rsidR="00147811" w:rsidRDefault="005B1958"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63D45DFB" w14:textId="77777777" w:rsidR="005B1958" w:rsidRDefault="005B1958"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p>
          <w:p w14:paraId="50F73DD6" w14:textId="7E17BBBF" w:rsidR="005B1958" w:rsidRPr="00487209" w:rsidRDefault="005B195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3.1.1)</w:t>
            </w:r>
          </w:p>
        </w:tc>
        <w:tc>
          <w:tcPr>
            <w:tcW w:w="1231" w:type="pct"/>
            <w:gridSpan w:val="2"/>
            <w:shd w:val="clear" w:color="auto" w:fill="auto"/>
            <w:vAlign w:val="center"/>
          </w:tcPr>
          <w:p w14:paraId="380C1435"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ПРЕФАБРИКОВАНИ ОБИЧНИ/ЛАКИ/АУТОКЛАВИРАНИ ЋЕЛИЈAСТИ БЕТОНСКИ ПРОИЗВОДИ</w:t>
            </w:r>
          </w:p>
          <w:p w14:paraId="42700A73"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5F4DA568"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40CF797F"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274DA7F"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5BD9029C" w14:textId="77777777" w:rsidTr="007D5144">
        <w:trPr>
          <w:trHeight w:val="1111"/>
          <w:jc w:val="center"/>
        </w:trPr>
        <w:tc>
          <w:tcPr>
            <w:tcW w:w="435" w:type="pct"/>
            <w:shd w:val="clear" w:color="auto" w:fill="auto"/>
            <w:vAlign w:val="center"/>
          </w:tcPr>
          <w:p w14:paraId="7BBB5A18"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sidRPr="00487209">
              <w:rPr>
                <w:rStyle w:val="FontStyle42"/>
                <w:rFonts w:ascii="Times New Roman" w:hAnsi="Times New Roman" w:cs="Times New Roman"/>
                <w:sz w:val="18"/>
                <w:szCs w:val="18"/>
                <w:lang w:val="sr-Cyrl-CS" w:eastAsia="en-GB"/>
              </w:rPr>
              <w:t>2</w:t>
            </w:r>
          </w:p>
        </w:tc>
        <w:tc>
          <w:tcPr>
            <w:tcW w:w="1369" w:type="pct"/>
            <w:gridSpan w:val="2"/>
            <w:shd w:val="clear" w:color="auto" w:fill="auto"/>
            <w:vAlign w:val="center"/>
          </w:tcPr>
          <w:p w14:paraId="5D7C57E2"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DOORS, WINDOWS, SHUTTERS, GATES AND RELATED BUILDING HARDWARE.</w:t>
            </w:r>
          </w:p>
        </w:tc>
        <w:tc>
          <w:tcPr>
            <w:tcW w:w="429" w:type="pct"/>
            <w:shd w:val="clear" w:color="auto" w:fill="auto"/>
            <w:vAlign w:val="center"/>
          </w:tcPr>
          <w:p w14:paraId="60A37A40" w14:textId="77777777" w:rsidR="00857E98" w:rsidRDefault="00857E98"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06445B09" w14:textId="7FDC6AC0" w:rsidR="00147811" w:rsidRPr="00487209" w:rsidRDefault="005B1958"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z w:val="18"/>
                <w:szCs w:val="18"/>
                <w:lang w:val="sr-Cyrl-CS" w:eastAsia="en-GB"/>
              </w:rPr>
              <w:t>2</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07652B42"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ВРАТА, ПРОЗОРИ, ПРОЗОРСКИ КАПЦИ, УЛАЗНА ВРАТА И СРОДНИ ПРОИЗВОДИ</w:t>
            </w:r>
          </w:p>
          <w:p w14:paraId="4F39454A"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6323F834"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75F5D84D"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377F403"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07D38EC2" w14:textId="77777777" w:rsidTr="007D5144">
        <w:trPr>
          <w:trHeight w:val="1409"/>
          <w:jc w:val="center"/>
        </w:trPr>
        <w:tc>
          <w:tcPr>
            <w:tcW w:w="435" w:type="pct"/>
            <w:shd w:val="clear" w:color="auto" w:fill="auto"/>
            <w:vAlign w:val="center"/>
          </w:tcPr>
          <w:p w14:paraId="2F460DB0"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sidRPr="00487209">
              <w:rPr>
                <w:rStyle w:val="FontStyle42"/>
                <w:rFonts w:ascii="Times New Roman" w:hAnsi="Times New Roman" w:cs="Times New Roman"/>
                <w:sz w:val="18"/>
                <w:szCs w:val="18"/>
                <w:lang w:val="sr-Cyrl-CS" w:eastAsia="en-GB"/>
              </w:rPr>
              <w:lastRenderedPageBreak/>
              <w:t>3</w:t>
            </w:r>
          </w:p>
        </w:tc>
        <w:tc>
          <w:tcPr>
            <w:tcW w:w="1369" w:type="pct"/>
            <w:gridSpan w:val="2"/>
            <w:shd w:val="clear" w:color="auto" w:fill="auto"/>
            <w:vAlign w:val="center"/>
          </w:tcPr>
          <w:p w14:paraId="2D87EBCF"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MEMBRANES, INCLUDING LIQUID APPLIED AND KITS (FOR WATER AND/OR WATER VAPOUR CONTROL).</w:t>
            </w:r>
          </w:p>
        </w:tc>
        <w:tc>
          <w:tcPr>
            <w:tcW w:w="429" w:type="pct"/>
            <w:shd w:val="clear" w:color="auto" w:fill="auto"/>
            <w:vAlign w:val="center"/>
          </w:tcPr>
          <w:p w14:paraId="1A6DE1ED" w14:textId="77777777" w:rsidR="00857E98" w:rsidRDefault="00857E98"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526E39FE" w14:textId="07C121F1" w:rsidR="00147811" w:rsidRPr="00487209" w:rsidRDefault="005B1958"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z w:val="18"/>
                <w:szCs w:val="18"/>
                <w:lang w:val="sr-Cyrl-CS" w:eastAsia="en-GB"/>
              </w:rPr>
              <w:t>3</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69B39E49"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МЕМБРАНЕ, УКЉУЧУЈУЋИ ОНЕ НАНЕТЕ У ТЕЧНОМ СТАЊУ, И КОМПЛЕТИ (ЗА КОНТРОЛУ ВОДЕ И/ИЛИ ВОДЕНЕ ПАРЕ)</w:t>
            </w:r>
          </w:p>
          <w:p w14:paraId="2ACC4EA2"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7AF156D8"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179D8CF0"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12349F65"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C833D77" w14:textId="77777777" w:rsidTr="007D5144">
        <w:trPr>
          <w:trHeight w:val="1274"/>
          <w:jc w:val="center"/>
        </w:trPr>
        <w:tc>
          <w:tcPr>
            <w:tcW w:w="435" w:type="pct"/>
            <w:shd w:val="clear" w:color="auto" w:fill="auto"/>
            <w:vAlign w:val="center"/>
          </w:tcPr>
          <w:p w14:paraId="5A184A45"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sidRPr="00487209">
              <w:rPr>
                <w:rStyle w:val="FontStyle42"/>
                <w:rFonts w:ascii="Times New Roman" w:hAnsi="Times New Roman" w:cs="Times New Roman"/>
                <w:sz w:val="18"/>
                <w:szCs w:val="18"/>
                <w:lang w:val="sr-Cyrl-CS" w:eastAsia="en-GB"/>
              </w:rPr>
              <w:t>4</w:t>
            </w:r>
          </w:p>
        </w:tc>
        <w:tc>
          <w:tcPr>
            <w:tcW w:w="1369" w:type="pct"/>
            <w:gridSpan w:val="2"/>
            <w:shd w:val="clear" w:color="auto" w:fill="auto"/>
            <w:vAlign w:val="center"/>
          </w:tcPr>
          <w:p w14:paraId="70E60FD5" w14:textId="77777777" w:rsidR="00147811" w:rsidRPr="00487209" w:rsidRDefault="00147811" w:rsidP="006C6323">
            <w:pPr>
              <w:pStyle w:val="tbl-norm"/>
              <w:jc w:val="both"/>
              <w:rPr>
                <w:sz w:val="18"/>
                <w:szCs w:val="18"/>
              </w:rPr>
            </w:pPr>
            <w:r w:rsidRPr="00487209">
              <w:rPr>
                <w:sz w:val="18"/>
                <w:szCs w:val="18"/>
              </w:rPr>
              <w:t>THERMAL INSULATION PRODUCTS.</w:t>
            </w:r>
          </w:p>
          <w:p w14:paraId="44FA4541" w14:textId="77777777" w:rsidR="00147811" w:rsidRPr="00487209" w:rsidRDefault="00147811" w:rsidP="006C6323">
            <w:pPr>
              <w:pStyle w:val="tbl-norm"/>
              <w:jc w:val="both"/>
              <w:rPr>
                <w:sz w:val="18"/>
                <w:szCs w:val="18"/>
              </w:rPr>
            </w:pPr>
            <w:r w:rsidRPr="00487209">
              <w:rPr>
                <w:sz w:val="18"/>
                <w:szCs w:val="18"/>
              </w:rPr>
              <w:t>COMPOSITE INSULATING KITS/SYSTEMS.</w:t>
            </w:r>
          </w:p>
          <w:p w14:paraId="503FB796" w14:textId="77777777" w:rsidR="00147811" w:rsidRPr="00487209" w:rsidRDefault="00147811" w:rsidP="006C6323">
            <w:pPr>
              <w:spacing w:before="100" w:beforeAutospacing="1" w:after="100" w:afterAutospacing="1"/>
              <w:jc w:val="both"/>
              <w:rPr>
                <w:rFonts w:ascii="Times New Roman" w:hAnsi="Times New Roman" w:cs="Times New Roman"/>
                <w:sz w:val="18"/>
                <w:szCs w:val="18"/>
                <w:lang w:val="sr-Cyrl-CS"/>
              </w:rPr>
            </w:pPr>
          </w:p>
        </w:tc>
        <w:tc>
          <w:tcPr>
            <w:tcW w:w="429" w:type="pct"/>
            <w:shd w:val="clear" w:color="auto" w:fill="auto"/>
            <w:vAlign w:val="center"/>
          </w:tcPr>
          <w:p w14:paraId="3059D5F9" w14:textId="77777777" w:rsidR="00857E98" w:rsidRDefault="00857E98"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3772E1B1" w14:textId="2A31DA40" w:rsidR="00147811" w:rsidRPr="00487209" w:rsidRDefault="005B1958"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z w:val="18"/>
                <w:szCs w:val="18"/>
                <w:lang w:val="sr-Cyrl-CS" w:eastAsia="en-GB"/>
              </w:rPr>
              <w:t>4</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4D4901DE" w14:textId="77777777" w:rsidR="00147811" w:rsidRPr="00487209" w:rsidRDefault="00147811" w:rsidP="006C6323">
            <w:pPr>
              <w:pStyle w:val="Style9"/>
              <w:spacing w:before="240" w:line="240" w:lineRule="auto"/>
              <w:ind w:right="-23"/>
              <w:outlineLvl w:val="3"/>
              <w:rPr>
                <w:rStyle w:val="FontStyle42"/>
                <w:rFonts w:ascii="Times New Roman" w:hAnsi="Times New Roman" w:cs="Times New Roman"/>
                <w:sz w:val="18"/>
                <w:szCs w:val="18"/>
                <w:lang w:val="sr-Cyrl-CS"/>
              </w:rPr>
            </w:pPr>
            <w:r w:rsidRPr="00487209">
              <w:rPr>
                <w:rFonts w:ascii="Times New Roman" w:hAnsi="Times New Roman"/>
                <w:sz w:val="18"/>
                <w:szCs w:val="18"/>
                <w:lang w:val="sr-Cyrl-CS"/>
              </w:rPr>
              <w:t>ПРОИЗВОДИ ЗА ТОПЛОТНУ ИЗОЛАЦИЈУ</w:t>
            </w:r>
          </w:p>
          <w:p w14:paraId="04D96ED4" w14:textId="77777777" w:rsidR="0041385A" w:rsidRPr="00487209" w:rsidRDefault="00147811" w:rsidP="006C6323">
            <w:pPr>
              <w:pStyle w:val="Style9"/>
              <w:spacing w:before="240" w:line="240" w:lineRule="auto"/>
              <w:ind w:right="-23"/>
              <w:outlineLvl w:val="3"/>
              <w:rPr>
                <w:rStyle w:val="FontStyle42"/>
                <w:rFonts w:ascii="Times New Roman" w:hAnsi="Times New Roman" w:cs="Times New Roman"/>
                <w:sz w:val="18"/>
                <w:szCs w:val="18"/>
                <w:lang w:val="sr-Cyrl-CS"/>
              </w:rPr>
            </w:pPr>
            <w:r w:rsidRPr="00487209">
              <w:rPr>
                <w:rFonts w:ascii="Times New Roman" w:hAnsi="Times New Roman"/>
                <w:sz w:val="18"/>
                <w:szCs w:val="18"/>
                <w:lang w:val="sr-Cyrl-CS"/>
              </w:rPr>
              <w:t>ИЗОЛАЦИОНИ КОМПОЗИТНИ КОМПЛЕТИ/СИСТЕМИ</w:t>
            </w:r>
          </w:p>
        </w:tc>
        <w:tc>
          <w:tcPr>
            <w:tcW w:w="458" w:type="pct"/>
            <w:shd w:val="clear" w:color="auto" w:fill="auto"/>
            <w:vAlign w:val="center"/>
          </w:tcPr>
          <w:p w14:paraId="247D71F1"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7B88E37E"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4D8C5AC6"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070F1097" w14:textId="77777777" w:rsidTr="007D5144">
        <w:trPr>
          <w:trHeight w:val="1338"/>
          <w:jc w:val="center"/>
        </w:trPr>
        <w:tc>
          <w:tcPr>
            <w:tcW w:w="435" w:type="pct"/>
            <w:shd w:val="clear" w:color="auto" w:fill="auto"/>
            <w:vAlign w:val="center"/>
          </w:tcPr>
          <w:p w14:paraId="71D9C868"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sidRPr="00487209">
              <w:rPr>
                <w:rStyle w:val="FontStyle42"/>
                <w:rFonts w:ascii="Times New Roman" w:hAnsi="Times New Roman" w:cs="Times New Roman"/>
                <w:sz w:val="18"/>
                <w:szCs w:val="18"/>
                <w:lang w:val="sr-Cyrl-CS" w:eastAsia="en-GB"/>
              </w:rPr>
              <w:t>5</w:t>
            </w:r>
          </w:p>
        </w:tc>
        <w:tc>
          <w:tcPr>
            <w:tcW w:w="1369" w:type="pct"/>
            <w:gridSpan w:val="2"/>
            <w:shd w:val="clear" w:color="auto" w:fill="auto"/>
            <w:vAlign w:val="center"/>
          </w:tcPr>
          <w:p w14:paraId="4AEA373D" w14:textId="77777777" w:rsidR="00147811" w:rsidRPr="00487209" w:rsidRDefault="00147811" w:rsidP="006C6323">
            <w:pPr>
              <w:pStyle w:val="tbl-norm"/>
              <w:jc w:val="both"/>
              <w:rPr>
                <w:sz w:val="18"/>
                <w:szCs w:val="18"/>
              </w:rPr>
            </w:pPr>
            <w:r w:rsidRPr="00487209">
              <w:rPr>
                <w:sz w:val="18"/>
                <w:szCs w:val="18"/>
              </w:rPr>
              <w:t>STRUCTURAL BEARINGS.</w:t>
            </w:r>
          </w:p>
          <w:p w14:paraId="165609F0" w14:textId="77777777" w:rsidR="00147811" w:rsidRPr="00487209" w:rsidRDefault="00147811" w:rsidP="006C6323">
            <w:pPr>
              <w:pStyle w:val="tbl-norm"/>
              <w:jc w:val="both"/>
              <w:rPr>
                <w:sz w:val="18"/>
                <w:szCs w:val="18"/>
              </w:rPr>
            </w:pPr>
            <w:r w:rsidRPr="00487209">
              <w:rPr>
                <w:sz w:val="18"/>
                <w:szCs w:val="18"/>
              </w:rPr>
              <w:t>PINS FOR STRUCTURAL JOINTS.</w:t>
            </w:r>
          </w:p>
          <w:p w14:paraId="7DC7E971" w14:textId="77777777" w:rsidR="00147811" w:rsidRPr="00487209" w:rsidRDefault="00147811" w:rsidP="006C6323">
            <w:pPr>
              <w:spacing w:before="100" w:beforeAutospacing="1" w:after="100" w:afterAutospacing="1"/>
              <w:jc w:val="both"/>
              <w:rPr>
                <w:rFonts w:ascii="Times New Roman" w:hAnsi="Times New Roman" w:cs="Times New Roman"/>
                <w:sz w:val="18"/>
                <w:szCs w:val="18"/>
                <w:lang w:val="sr-Cyrl-CS"/>
              </w:rPr>
            </w:pPr>
          </w:p>
        </w:tc>
        <w:tc>
          <w:tcPr>
            <w:tcW w:w="429" w:type="pct"/>
            <w:shd w:val="clear" w:color="auto" w:fill="auto"/>
            <w:vAlign w:val="center"/>
          </w:tcPr>
          <w:p w14:paraId="03FCE9DE" w14:textId="77777777" w:rsidR="00857E98" w:rsidRDefault="00857E98"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79538929" w14:textId="4973D9FE" w:rsidR="00147811" w:rsidRPr="00487209" w:rsidRDefault="005B1958"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z w:val="18"/>
                <w:szCs w:val="18"/>
                <w:lang w:val="sr-Cyrl-CS" w:eastAsia="en-GB"/>
              </w:rPr>
              <w:t>5</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14C1E681" w14:textId="77777777" w:rsidR="00147811" w:rsidRPr="00487209" w:rsidRDefault="00147811" w:rsidP="006C6323">
            <w:pPr>
              <w:pStyle w:val="Style9"/>
              <w:spacing w:before="240" w:line="240" w:lineRule="auto"/>
              <w:ind w:right="-23"/>
              <w:outlineLvl w:val="3"/>
              <w:rPr>
                <w:rStyle w:val="FontStyle42"/>
                <w:rFonts w:ascii="Times New Roman" w:hAnsi="Times New Roman" w:cs="Times New Roman"/>
                <w:sz w:val="18"/>
                <w:szCs w:val="18"/>
                <w:lang w:val="sr-Cyrl-CS"/>
              </w:rPr>
            </w:pPr>
            <w:r w:rsidRPr="00487209">
              <w:rPr>
                <w:rFonts w:ascii="Times New Roman" w:hAnsi="Times New Roman"/>
                <w:sz w:val="18"/>
                <w:szCs w:val="18"/>
                <w:lang w:val="sr-Cyrl-CS"/>
              </w:rPr>
              <w:t>ЛЕЖИШТА ЗА КОНСТРУКЦИЈЕ</w:t>
            </w:r>
          </w:p>
          <w:p w14:paraId="6DB49909"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МОЖДАНИЦИ ЗА КОНСТРУКЦИЈСКЕ СПОЈЕВЕ</w:t>
            </w:r>
          </w:p>
          <w:p w14:paraId="445FD49F"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2B6CB666"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049E2A58"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42CB29CA"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0E5FF1BD" w14:textId="77777777" w:rsidTr="007D5144">
        <w:trPr>
          <w:trHeight w:val="846"/>
          <w:jc w:val="center"/>
        </w:trPr>
        <w:tc>
          <w:tcPr>
            <w:tcW w:w="435" w:type="pct"/>
            <w:shd w:val="clear" w:color="auto" w:fill="auto"/>
            <w:vAlign w:val="center"/>
          </w:tcPr>
          <w:p w14:paraId="67FC1B0A"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sidRPr="00487209">
              <w:rPr>
                <w:rStyle w:val="FontStyle42"/>
                <w:rFonts w:ascii="Times New Roman" w:hAnsi="Times New Roman" w:cs="Times New Roman"/>
                <w:sz w:val="18"/>
                <w:szCs w:val="18"/>
                <w:lang w:val="sr-Cyrl-CS" w:eastAsia="en-GB"/>
              </w:rPr>
              <w:t>6</w:t>
            </w:r>
          </w:p>
        </w:tc>
        <w:tc>
          <w:tcPr>
            <w:tcW w:w="1369" w:type="pct"/>
            <w:gridSpan w:val="2"/>
            <w:shd w:val="clear" w:color="auto" w:fill="auto"/>
            <w:vAlign w:val="center"/>
          </w:tcPr>
          <w:p w14:paraId="4DA63296" w14:textId="77777777" w:rsidR="00147811" w:rsidRPr="00487209" w:rsidRDefault="00147811" w:rsidP="006C6323">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rPr>
              <w:t>CHIMNEYS, FLUES AND SPECIFIC PRODUCTS.</w:t>
            </w:r>
          </w:p>
        </w:tc>
        <w:tc>
          <w:tcPr>
            <w:tcW w:w="429" w:type="pct"/>
            <w:shd w:val="clear" w:color="auto" w:fill="auto"/>
            <w:vAlign w:val="center"/>
          </w:tcPr>
          <w:p w14:paraId="0E9B5C2D"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7BEF8A2B" w14:textId="0E3E7DDA" w:rsidR="00147811" w:rsidRPr="00487209" w:rsidRDefault="005B1958"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z w:val="18"/>
                <w:szCs w:val="18"/>
                <w:lang w:val="sr-Cyrl-CS" w:eastAsia="en-GB"/>
              </w:rPr>
              <w:t>6</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2F94801E"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 xml:space="preserve">ДИМЊАЦИ, ДИМЊАЧКИ </w:t>
            </w:r>
            <w:r w:rsidRPr="00487209">
              <w:rPr>
                <w:rStyle w:val="FontStyle42"/>
                <w:rFonts w:ascii="Times New Roman" w:hAnsi="Times New Roman" w:cs="Times New Roman"/>
                <w:sz w:val="18"/>
                <w:szCs w:val="18"/>
              </w:rPr>
              <w:t>КАНАЛИ</w:t>
            </w:r>
            <w:r w:rsidRPr="00487209">
              <w:rPr>
                <w:rFonts w:ascii="Times New Roman" w:hAnsi="Times New Roman"/>
                <w:sz w:val="18"/>
                <w:szCs w:val="18"/>
                <w:lang w:val="sr-Cyrl-CS"/>
              </w:rPr>
              <w:t xml:space="preserve"> И СПЕЦИФИЧНИ ПРОИЗВОДИ</w:t>
            </w:r>
          </w:p>
          <w:p w14:paraId="6F03D956"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01B59B4D"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2F13918B"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1CC360A9"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75C08B67" w14:textId="77777777" w:rsidTr="007D5144">
        <w:trPr>
          <w:trHeight w:val="703"/>
          <w:jc w:val="center"/>
        </w:trPr>
        <w:tc>
          <w:tcPr>
            <w:tcW w:w="435" w:type="pct"/>
            <w:shd w:val="clear" w:color="auto" w:fill="auto"/>
            <w:vAlign w:val="center"/>
          </w:tcPr>
          <w:p w14:paraId="11C997EF"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sidRPr="00487209">
              <w:rPr>
                <w:rStyle w:val="FontStyle42"/>
                <w:rFonts w:ascii="Times New Roman" w:hAnsi="Times New Roman" w:cs="Times New Roman"/>
                <w:sz w:val="18"/>
                <w:szCs w:val="18"/>
                <w:lang w:val="sr-Cyrl-CS" w:eastAsia="en-GB"/>
              </w:rPr>
              <w:t>7</w:t>
            </w:r>
          </w:p>
        </w:tc>
        <w:tc>
          <w:tcPr>
            <w:tcW w:w="1369" w:type="pct"/>
            <w:gridSpan w:val="2"/>
            <w:shd w:val="clear" w:color="auto" w:fill="auto"/>
            <w:vAlign w:val="center"/>
          </w:tcPr>
          <w:p w14:paraId="7DD66F1B" w14:textId="77777777" w:rsidR="00147811" w:rsidRPr="00487209" w:rsidRDefault="00147811" w:rsidP="006C6323">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rPr>
              <w:t>GYPSUM PRODUCTS.</w:t>
            </w:r>
          </w:p>
        </w:tc>
        <w:tc>
          <w:tcPr>
            <w:tcW w:w="429" w:type="pct"/>
            <w:shd w:val="clear" w:color="auto" w:fill="auto"/>
            <w:vAlign w:val="center"/>
          </w:tcPr>
          <w:p w14:paraId="47C4DDE3"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2671635C" w14:textId="317CB4D5" w:rsidR="00147811" w:rsidRPr="00487209" w:rsidRDefault="005B1958"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z w:val="18"/>
                <w:szCs w:val="18"/>
                <w:lang w:val="sr-Cyrl-CS" w:eastAsia="en-GB"/>
              </w:rPr>
              <w:t>7</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66FD8055"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ПРОИЗВОДИ ОД ГИПСА</w:t>
            </w:r>
          </w:p>
          <w:p w14:paraId="26313AC3"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49A8044F"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4DBA30C0"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AED1EB9"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0402C75E" w14:textId="77777777" w:rsidTr="007D5144">
        <w:trPr>
          <w:trHeight w:val="841"/>
          <w:jc w:val="center"/>
        </w:trPr>
        <w:tc>
          <w:tcPr>
            <w:tcW w:w="435" w:type="pct"/>
            <w:shd w:val="clear" w:color="auto" w:fill="auto"/>
            <w:vAlign w:val="center"/>
          </w:tcPr>
          <w:p w14:paraId="76B0D358"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sidRPr="00487209">
              <w:rPr>
                <w:rStyle w:val="FontStyle42"/>
                <w:rFonts w:ascii="Times New Roman" w:hAnsi="Times New Roman" w:cs="Times New Roman"/>
                <w:sz w:val="18"/>
                <w:szCs w:val="18"/>
                <w:lang w:val="sr-Cyrl-CS" w:eastAsia="en-GB"/>
              </w:rPr>
              <w:t>8</w:t>
            </w:r>
          </w:p>
        </w:tc>
        <w:tc>
          <w:tcPr>
            <w:tcW w:w="1369" w:type="pct"/>
            <w:gridSpan w:val="2"/>
            <w:shd w:val="clear" w:color="auto" w:fill="auto"/>
            <w:vAlign w:val="center"/>
          </w:tcPr>
          <w:p w14:paraId="78A8CA94"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GEOTEXTILES, GEOMEMBRANES, AND RELATED PRODUCTS.</w:t>
            </w:r>
          </w:p>
        </w:tc>
        <w:tc>
          <w:tcPr>
            <w:tcW w:w="429" w:type="pct"/>
            <w:shd w:val="clear" w:color="auto" w:fill="auto"/>
            <w:vAlign w:val="center"/>
          </w:tcPr>
          <w:p w14:paraId="36440693"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7E709A74" w14:textId="1C1C1875" w:rsidR="00147811" w:rsidRPr="00487209" w:rsidRDefault="005B1958"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z w:val="18"/>
                <w:szCs w:val="18"/>
                <w:lang w:val="sr-Cyrl-CS" w:eastAsia="en-GB"/>
              </w:rPr>
              <w:t>8</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40E25CBC"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ГЕОТЕКСТИЛ, ГЕОМЕМБРАНЕ И СРОДНИ ПРОИЗВОДИ</w:t>
            </w:r>
          </w:p>
          <w:p w14:paraId="470C773B"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4446F198"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70AF21EB"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09B51C13"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2B7CA479" w14:textId="77777777" w:rsidTr="007D5144">
        <w:trPr>
          <w:trHeight w:val="1122"/>
          <w:jc w:val="center"/>
        </w:trPr>
        <w:tc>
          <w:tcPr>
            <w:tcW w:w="435" w:type="pct"/>
            <w:shd w:val="clear" w:color="auto" w:fill="auto"/>
            <w:vAlign w:val="center"/>
          </w:tcPr>
          <w:p w14:paraId="79A7190B"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sidRPr="00487209">
              <w:rPr>
                <w:rStyle w:val="FontStyle42"/>
                <w:rFonts w:ascii="Times New Roman" w:hAnsi="Times New Roman" w:cs="Times New Roman"/>
                <w:sz w:val="18"/>
                <w:szCs w:val="18"/>
                <w:lang w:val="sr-Cyrl-CS" w:eastAsia="en-GB"/>
              </w:rPr>
              <w:lastRenderedPageBreak/>
              <w:t>9</w:t>
            </w:r>
          </w:p>
        </w:tc>
        <w:tc>
          <w:tcPr>
            <w:tcW w:w="1369" w:type="pct"/>
            <w:gridSpan w:val="2"/>
            <w:shd w:val="clear" w:color="auto" w:fill="auto"/>
            <w:vAlign w:val="center"/>
          </w:tcPr>
          <w:p w14:paraId="1A78A82B"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CURTAIN WALLING/CLADDING/STRUCTURAL SEALANT GLAZING.</w:t>
            </w:r>
          </w:p>
        </w:tc>
        <w:tc>
          <w:tcPr>
            <w:tcW w:w="429" w:type="pct"/>
            <w:shd w:val="clear" w:color="auto" w:fill="auto"/>
            <w:vAlign w:val="center"/>
          </w:tcPr>
          <w:p w14:paraId="11FB4B59"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21D84620" w14:textId="0A251151" w:rsidR="00147811" w:rsidRPr="00487209" w:rsidRDefault="005B1958"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z w:val="18"/>
                <w:szCs w:val="18"/>
                <w:lang w:val="sr-Cyrl-CS" w:eastAsia="en-GB"/>
              </w:rPr>
              <w:t>9</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0106FE90"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 xml:space="preserve">ЗИД-ЗАВЕСЕ/ОБЛАГАЊЕ ЗИДОВА/ ЗАПТИВЕНЕ </w:t>
            </w:r>
            <w:r w:rsidRPr="00487209">
              <w:rPr>
                <w:rStyle w:val="FontStyle42"/>
                <w:rFonts w:ascii="Times New Roman" w:hAnsi="Times New Roman" w:cs="Times New Roman"/>
                <w:sz w:val="18"/>
                <w:szCs w:val="18"/>
              </w:rPr>
              <w:t>СТАКЛЕНЕ</w:t>
            </w:r>
          </w:p>
          <w:p w14:paraId="046091FD"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КОНСТРУКЦИЈЕ</w:t>
            </w:r>
          </w:p>
          <w:p w14:paraId="07CD48D1"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696F37D9"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6ABE6A0F"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25F7B8E3"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46466FC" w14:textId="77777777" w:rsidTr="007D5144">
        <w:trPr>
          <w:trHeight w:val="1970"/>
          <w:jc w:val="center"/>
        </w:trPr>
        <w:tc>
          <w:tcPr>
            <w:tcW w:w="435" w:type="pct"/>
            <w:shd w:val="clear" w:color="auto" w:fill="auto"/>
            <w:vAlign w:val="center"/>
          </w:tcPr>
          <w:p w14:paraId="67BE7EC9"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sidRPr="00487209">
              <w:rPr>
                <w:rStyle w:val="FontStyle42"/>
                <w:rFonts w:ascii="Times New Roman" w:hAnsi="Times New Roman" w:cs="Times New Roman"/>
                <w:sz w:val="18"/>
                <w:szCs w:val="18"/>
                <w:lang w:val="sr-Cyrl-CS" w:eastAsia="en-GB"/>
              </w:rPr>
              <w:t>10</w:t>
            </w:r>
          </w:p>
        </w:tc>
        <w:tc>
          <w:tcPr>
            <w:tcW w:w="1369" w:type="pct"/>
            <w:gridSpan w:val="2"/>
            <w:shd w:val="clear" w:color="auto" w:fill="auto"/>
            <w:vAlign w:val="center"/>
          </w:tcPr>
          <w:p w14:paraId="1212D424"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FIXED FIRE FIGHTING EQUIPMENT (FIRE ALARM/DETECTION, FIXED FIREFIGHTING, FIRE AND SMOKE CONTROL AND EXPLOSION SUPPRESSION PRODUCT).</w:t>
            </w:r>
          </w:p>
        </w:tc>
        <w:tc>
          <w:tcPr>
            <w:tcW w:w="429" w:type="pct"/>
            <w:shd w:val="clear" w:color="auto" w:fill="auto"/>
            <w:vAlign w:val="center"/>
          </w:tcPr>
          <w:p w14:paraId="13933935"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77612ADD" w14:textId="00D0FB20" w:rsidR="00147811" w:rsidRPr="00487209" w:rsidRDefault="005B1958" w:rsidP="006C6323">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z w:val="18"/>
                <w:szCs w:val="18"/>
                <w:lang w:val="sr-Cyrl-CS" w:eastAsia="en-GB"/>
              </w:rPr>
              <w:t>10</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65B64C8E"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СТАБИЛНА ОПРЕМА ЗА ГАШЕЊЕ ПОЖАРА (ПРОИЗВОДИ ЗА ДЕТЕКЦИЈУ ПОЖАРА/ПОЖАРНИ АЛАРМ, ИНСТАЛАЦИЈЕ ЗА ГАШЕЊЕ ПОЖАРА, ПРОИЗВОДИ ЗА КОНТРОЛУ ПОЖАРА И ДИМА И ЗА ПРИГУШИВАЊЕ ЕКСПЛОЗИЈЕ)</w:t>
            </w:r>
          </w:p>
          <w:p w14:paraId="1DA3CF8F"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305E70F9"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3220D9FF"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157E7CD"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3EA4774C" w14:textId="77777777" w:rsidTr="007D5144">
        <w:trPr>
          <w:trHeight w:val="699"/>
          <w:jc w:val="center"/>
        </w:trPr>
        <w:tc>
          <w:tcPr>
            <w:tcW w:w="435" w:type="pct"/>
            <w:shd w:val="clear" w:color="auto" w:fill="auto"/>
            <w:vAlign w:val="center"/>
          </w:tcPr>
          <w:p w14:paraId="6ACF9E45"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11</w:t>
            </w:r>
          </w:p>
        </w:tc>
        <w:tc>
          <w:tcPr>
            <w:tcW w:w="1369" w:type="pct"/>
            <w:gridSpan w:val="2"/>
            <w:shd w:val="clear" w:color="auto" w:fill="auto"/>
            <w:vAlign w:val="center"/>
          </w:tcPr>
          <w:p w14:paraId="39F7BD45"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SANITARY APPLIANCES.</w:t>
            </w:r>
          </w:p>
        </w:tc>
        <w:tc>
          <w:tcPr>
            <w:tcW w:w="429" w:type="pct"/>
            <w:shd w:val="clear" w:color="auto" w:fill="auto"/>
            <w:vAlign w:val="center"/>
          </w:tcPr>
          <w:p w14:paraId="010533B0"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7024D1D0" w14:textId="1F77B342" w:rsidR="00147811" w:rsidRPr="00487209" w:rsidRDefault="005B1958" w:rsidP="005B1958">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Pr>
                <w:rStyle w:val="FontStyle42"/>
                <w:rFonts w:ascii="Times New Roman" w:hAnsi="Times New Roman" w:cs="Times New Roman"/>
                <w:spacing w:val="20"/>
                <w:sz w:val="18"/>
                <w:szCs w:val="18"/>
                <w:lang w:val="sr-Cyrl-CS" w:eastAsia="en-GB"/>
              </w:rPr>
              <w:t>11</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4F91F8EB" w14:textId="77777777" w:rsidR="00147811" w:rsidRPr="00487209" w:rsidRDefault="00147811" w:rsidP="006C6323">
            <w:pPr>
              <w:pStyle w:val="Style9"/>
              <w:spacing w:before="240" w:line="240" w:lineRule="auto"/>
              <w:ind w:right="-23"/>
              <w:outlineLvl w:val="3"/>
              <w:rPr>
                <w:rStyle w:val="FontStyle42"/>
                <w:rFonts w:ascii="Times New Roman" w:hAnsi="Times New Roman" w:cs="Times New Roman"/>
                <w:sz w:val="18"/>
                <w:szCs w:val="18"/>
                <w:lang w:val="sr-Cyrl-CS"/>
              </w:rPr>
            </w:pPr>
            <w:r w:rsidRPr="00487209">
              <w:rPr>
                <w:rFonts w:ascii="Times New Roman" w:hAnsi="Times New Roman"/>
                <w:sz w:val="18"/>
                <w:szCs w:val="18"/>
                <w:lang w:val="sr-Cyrl-CS"/>
              </w:rPr>
              <w:t>САНИТАРНА ОПРЕМА</w:t>
            </w:r>
          </w:p>
        </w:tc>
        <w:tc>
          <w:tcPr>
            <w:tcW w:w="458" w:type="pct"/>
            <w:shd w:val="clear" w:color="auto" w:fill="auto"/>
            <w:vAlign w:val="center"/>
          </w:tcPr>
          <w:p w14:paraId="2E073FFD"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672EA6F9"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03C8850A"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45AC23F5" w14:textId="77777777" w:rsidTr="007D5144">
        <w:trPr>
          <w:trHeight w:val="487"/>
          <w:jc w:val="center"/>
        </w:trPr>
        <w:tc>
          <w:tcPr>
            <w:tcW w:w="435" w:type="pct"/>
            <w:shd w:val="clear" w:color="auto" w:fill="auto"/>
            <w:vAlign w:val="center"/>
          </w:tcPr>
          <w:p w14:paraId="46816DF5"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12</w:t>
            </w:r>
          </w:p>
        </w:tc>
        <w:tc>
          <w:tcPr>
            <w:tcW w:w="1369" w:type="pct"/>
            <w:gridSpan w:val="2"/>
            <w:shd w:val="clear" w:color="auto" w:fill="auto"/>
            <w:vAlign w:val="center"/>
          </w:tcPr>
          <w:p w14:paraId="6E64378D"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CIRCULATION FIXTURES: ROAD EQUIPMENT.</w:t>
            </w:r>
          </w:p>
        </w:tc>
        <w:tc>
          <w:tcPr>
            <w:tcW w:w="429" w:type="pct"/>
            <w:shd w:val="clear" w:color="auto" w:fill="auto"/>
            <w:vAlign w:val="center"/>
          </w:tcPr>
          <w:p w14:paraId="07CD558C"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15B41D7A" w14:textId="6D24D3BE"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12</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39DB9189"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САОБРАЋАЈНА СИГНАЛИЗАЦИЈА:</w:t>
            </w:r>
            <w:r w:rsidRPr="00487209">
              <w:rPr>
                <w:rStyle w:val="FontStyle42"/>
                <w:rFonts w:ascii="Times New Roman" w:hAnsi="Times New Roman" w:cs="Times New Roman"/>
                <w:vanish/>
                <w:sz w:val="18"/>
                <w:szCs w:val="18"/>
                <w:lang w:val="sr-Cyrl-CS"/>
              </w:rPr>
              <w:t xml:space="preserve"> </w:t>
            </w:r>
            <w:r w:rsidRPr="00487209">
              <w:rPr>
                <w:rFonts w:ascii="Times New Roman" w:hAnsi="Times New Roman"/>
                <w:sz w:val="18"/>
                <w:szCs w:val="18"/>
                <w:lang w:val="sr-Cyrl-CS"/>
              </w:rPr>
              <w:t>ОПРЕМА ПУТА</w:t>
            </w:r>
          </w:p>
          <w:p w14:paraId="376B01CC"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1F30BE76"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2C07760E"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548D1FA"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68825170" w14:textId="77777777" w:rsidTr="007D5144">
        <w:trPr>
          <w:trHeight w:val="1054"/>
          <w:jc w:val="center"/>
        </w:trPr>
        <w:tc>
          <w:tcPr>
            <w:tcW w:w="435" w:type="pct"/>
            <w:shd w:val="clear" w:color="auto" w:fill="auto"/>
            <w:vAlign w:val="center"/>
          </w:tcPr>
          <w:p w14:paraId="77EC5A6C"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13</w:t>
            </w:r>
          </w:p>
        </w:tc>
        <w:tc>
          <w:tcPr>
            <w:tcW w:w="1369" w:type="pct"/>
            <w:gridSpan w:val="2"/>
            <w:shd w:val="clear" w:color="auto" w:fill="auto"/>
            <w:vAlign w:val="center"/>
          </w:tcPr>
          <w:p w14:paraId="4155DB11"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STRUCTURAL TIMBER PRODUCTS/ELEMENTS AND ANCILLARIES.</w:t>
            </w:r>
          </w:p>
        </w:tc>
        <w:tc>
          <w:tcPr>
            <w:tcW w:w="429" w:type="pct"/>
            <w:shd w:val="clear" w:color="auto" w:fill="auto"/>
            <w:vAlign w:val="center"/>
          </w:tcPr>
          <w:p w14:paraId="6DB67AC3"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15C20281" w14:textId="5C734875"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13</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4EE6D4D9"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ПРОИЗВОДИ/ЕЛЕМЕНТИ И ПОМОЋНА ОПРЕМА ОД КОНСТРУКЦИЈСКОГ ДРВЕТА</w:t>
            </w:r>
          </w:p>
          <w:p w14:paraId="08805556"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3E56892D"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18D96163"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679C4DD"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5EDA64CC" w14:textId="77777777" w:rsidTr="007D5144">
        <w:trPr>
          <w:trHeight w:val="843"/>
          <w:jc w:val="center"/>
        </w:trPr>
        <w:tc>
          <w:tcPr>
            <w:tcW w:w="435" w:type="pct"/>
            <w:shd w:val="clear" w:color="auto" w:fill="auto"/>
            <w:vAlign w:val="center"/>
          </w:tcPr>
          <w:p w14:paraId="6A7B18E4"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14</w:t>
            </w:r>
          </w:p>
        </w:tc>
        <w:tc>
          <w:tcPr>
            <w:tcW w:w="1369" w:type="pct"/>
            <w:gridSpan w:val="2"/>
            <w:shd w:val="clear" w:color="auto" w:fill="auto"/>
            <w:vAlign w:val="center"/>
          </w:tcPr>
          <w:p w14:paraId="0F76CF8D"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WOOD BASED PANELS AND ELEMENTS.</w:t>
            </w:r>
          </w:p>
        </w:tc>
        <w:tc>
          <w:tcPr>
            <w:tcW w:w="429" w:type="pct"/>
            <w:shd w:val="clear" w:color="auto" w:fill="auto"/>
            <w:vAlign w:val="center"/>
          </w:tcPr>
          <w:p w14:paraId="23A0161D"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5C051D34" w14:textId="22F7B434"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14</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4B3E2A95"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ПЛОЧЕ И И ЕЛЕМЕНТИ НА БАЗИ ДРВЕТА</w:t>
            </w:r>
          </w:p>
          <w:p w14:paraId="2AF4760A"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7F612449"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4CBA0FBC"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18FA8C05"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2CBCF476" w14:textId="77777777" w:rsidTr="007D5144">
        <w:trPr>
          <w:trHeight w:val="840"/>
          <w:jc w:val="center"/>
        </w:trPr>
        <w:tc>
          <w:tcPr>
            <w:tcW w:w="435" w:type="pct"/>
            <w:shd w:val="clear" w:color="auto" w:fill="auto"/>
            <w:vAlign w:val="center"/>
          </w:tcPr>
          <w:p w14:paraId="7B59BCCC"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lastRenderedPageBreak/>
              <w:t>15</w:t>
            </w:r>
          </w:p>
        </w:tc>
        <w:tc>
          <w:tcPr>
            <w:tcW w:w="1369" w:type="pct"/>
            <w:gridSpan w:val="2"/>
            <w:shd w:val="clear" w:color="auto" w:fill="auto"/>
            <w:vAlign w:val="center"/>
          </w:tcPr>
          <w:p w14:paraId="3CACE462"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CEMENT, BUILDING LIMES AND OTHER HYDRAULIC BINDERS.</w:t>
            </w:r>
          </w:p>
        </w:tc>
        <w:tc>
          <w:tcPr>
            <w:tcW w:w="429" w:type="pct"/>
            <w:shd w:val="clear" w:color="auto" w:fill="auto"/>
            <w:vAlign w:val="center"/>
          </w:tcPr>
          <w:p w14:paraId="18FC2252"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4FC24A42" w14:textId="5DF05169"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15</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6BA7AAD4" w14:textId="77777777" w:rsidR="00147811" w:rsidRPr="00487209" w:rsidRDefault="00147811" w:rsidP="006C6323">
            <w:pPr>
              <w:pStyle w:val="Style9"/>
              <w:spacing w:before="240" w:line="240" w:lineRule="auto"/>
              <w:ind w:right="-23"/>
              <w:outlineLvl w:val="3"/>
              <w:rPr>
                <w:rStyle w:val="FontStyle42"/>
                <w:rFonts w:ascii="Times New Roman" w:hAnsi="Times New Roman" w:cs="Times New Roman"/>
                <w:sz w:val="18"/>
                <w:szCs w:val="18"/>
                <w:lang w:val="sr-Cyrl-CS"/>
              </w:rPr>
            </w:pPr>
            <w:r w:rsidRPr="00487209">
              <w:rPr>
                <w:rFonts w:ascii="Times New Roman" w:hAnsi="Times New Roman"/>
                <w:sz w:val="18"/>
                <w:szCs w:val="18"/>
                <w:lang w:val="sr-Cyrl-CS"/>
              </w:rPr>
              <w:t>ЦЕМЕНТ, ГРАЂЕВИНСКИ КРЕЧ И ДРУГА ХИДРАУЛИЧНА ВЕЗИВА</w:t>
            </w:r>
          </w:p>
        </w:tc>
        <w:tc>
          <w:tcPr>
            <w:tcW w:w="458" w:type="pct"/>
            <w:shd w:val="clear" w:color="auto" w:fill="auto"/>
            <w:vAlign w:val="center"/>
          </w:tcPr>
          <w:p w14:paraId="1A517397"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41CC22F9"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4F66905C"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00AC8C9C" w14:textId="77777777" w:rsidTr="007D5144">
        <w:trPr>
          <w:trHeight w:val="1561"/>
          <w:jc w:val="center"/>
        </w:trPr>
        <w:tc>
          <w:tcPr>
            <w:tcW w:w="435" w:type="pct"/>
            <w:shd w:val="clear" w:color="auto" w:fill="auto"/>
            <w:vAlign w:val="center"/>
          </w:tcPr>
          <w:p w14:paraId="67FB20F1"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16</w:t>
            </w:r>
          </w:p>
        </w:tc>
        <w:tc>
          <w:tcPr>
            <w:tcW w:w="1369" w:type="pct"/>
            <w:gridSpan w:val="2"/>
            <w:shd w:val="clear" w:color="auto" w:fill="auto"/>
            <w:vAlign w:val="center"/>
          </w:tcPr>
          <w:p w14:paraId="282BA1BB" w14:textId="77777777" w:rsidR="00147811" w:rsidRPr="00487209" w:rsidRDefault="00147811" w:rsidP="006C6323">
            <w:pPr>
              <w:pStyle w:val="tbl-norm"/>
              <w:jc w:val="both"/>
              <w:rPr>
                <w:sz w:val="18"/>
                <w:szCs w:val="18"/>
              </w:rPr>
            </w:pPr>
            <w:r w:rsidRPr="00487209">
              <w:rPr>
                <w:sz w:val="18"/>
                <w:szCs w:val="18"/>
              </w:rPr>
              <w:t>REINFORCING AND PRESTRESSING STEEL FOR CONCRETE (AND ANCILLARIES).</w:t>
            </w:r>
          </w:p>
          <w:p w14:paraId="6864534C" w14:textId="0B8068AA" w:rsidR="00147811" w:rsidRPr="00487209" w:rsidRDefault="00147811" w:rsidP="007D5144">
            <w:pPr>
              <w:pStyle w:val="tbl-norm"/>
              <w:jc w:val="both"/>
            </w:pPr>
            <w:r w:rsidRPr="00487209">
              <w:rPr>
                <w:sz w:val="18"/>
                <w:szCs w:val="18"/>
              </w:rPr>
              <w:t>POST TENSIONING KITS.</w:t>
            </w:r>
          </w:p>
        </w:tc>
        <w:tc>
          <w:tcPr>
            <w:tcW w:w="429" w:type="pct"/>
            <w:shd w:val="clear" w:color="auto" w:fill="auto"/>
            <w:vAlign w:val="center"/>
          </w:tcPr>
          <w:p w14:paraId="353BD8FC"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6BDC8C88" w14:textId="6E8B7E84"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16</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07083C43" w14:textId="77777777" w:rsidR="00147811" w:rsidRPr="00487209" w:rsidRDefault="00147811" w:rsidP="006C6323">
            <w:pPr>
              <w:pStyle w:val="Style9"/>
              <w:spacing w:before="240" w:line="240" w:lineRule="auto"/>
              <w:ind w:right="-23"/>
              <w:outlineLvl w:val="3"/>
              <w:rPr>
                <w:rStyle w:val="FontStyle42"/>
                <w:rFonts w:ascii="Times New Roman" w:hAnsi="Times New Roman" w:cs="Times New Roman"/>
                <w:sz w:val="18"/>
                <w:szCs w:val="18"/>
                <w:lang w:val="sr-Cyrl-CS"/>
              </w:rPr>
            </w:pPr>
            <w:r w:rsidRPr="00487209">
              <w:rPr>
                <w:rFonts w:ascii="Times New Roman" w:hAnsi="Times New Roman"/>
                <w:sz w:val="18"/>
                <w:szCs w:val="18"/>
                <w:lang w:val="sr-Cyrl-CS"/>
              </w:rPr>
              <w:t>ЧЕЛИК ЗА АРМИРАЊЕ И ЧЕЛИК ЗА ПРЕДНАПРЕЗАЊЕ БЕТОНА (И ПОМОЋНА ОПРЕМА)</w:t>
            </w:r>
          </w:p>
          <w:p w14:paraId="333C8633" w14:textId="5B5FCA36" w:rsidR="0041385A" w:rsidRPr="00487209" w:rsidRDefault="00147811" w:rsidP="006C6323">
            <w:pPr>
              <w:pStyle w:val="Style9"/>
              <w:spacing w:before="240" w:line="240" w:lineRule="auto"/>
              <w:ind w:right="-23"/>
              <w:outlineLvl w:val="3"/>
              <w:rPr>
                <w:rStyle w:val="FontStyle42"/>
                <w:rFonts w:ascii="Times New Roman" w:hAnsi="Times New Roman" w:cs="Times New Roman"/>
                <w:sz w:val="18"/>
                <w:szCs w:val="18"/>
                <w:lang w:val="sr-Cyrl-CS"/>
              </w:rPr>
            </w:pPr>
            <w:r w:rsidRPr="00487209">
              <w:rPr>
                <w:rFonts w:ascii="Times New Roman" w:hAnsi="Times New Roman"/>
                <w:sz w:val="18"/>
                <w:szCs w:val="18"/>
                <w:lang w:val="sr-Cyrl-CS"/>
              </w:rPr>
              <w:t>ОПРЕМАЗА НАКНАДНО ПРЕДНАПРЕЗАЊЕ</w:t>
            </w:r>
          </w:p>
        </w:tc>
        <w:tc>
          <w:tcPr>
            <w:tcW w:w="458" w:type="pct"/>
            <w:shd w:val="clear" w:color="auto" w:fill="auto"/>
            <w:vAlign w:val="center"/>
          </w:tcPr>
          <w:p w14:paraId="33F515E4"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5C558A9E"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8B3B17A"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52C9859C" w14:textId="77777777" w:rsidTr="007D5144">
        <w:trPr>
          <w:trHeight w:val="1229"/>
          <w:jc w:val="center"/>
        </w:trPr>
        <w:tc>
          <w:tcPr>
            <w:tcW w:w="435" w:type="pct"/>
            <w:shd w:val="clear" w:color="auto" w:fill="auto"/>
            <w:vAlign w:val="center"/>
          </w:tcPr>
          <w:p w14:paraId="769AF6BD"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17</w:t>
            </w:r>
          </w:p>
        </w:tc>
        <w:tc>
          <w:tcPr>
            <w:tcW w:w="1369" w:type="pct"/>
            <w:gridSpan w:val="2"/>
            <w:shd w:val="clear" w:color="auto" w:fill="auto"/>
            <w:vAlign w:val="center"/>
          </w:tcPr>
          <w:p w14:paraId="31F8A819" w14:textId="77777777" w:rsidR="00147811" w:rsidRPr="00487209" w:rsidRDefault="00147811" w:rsidP="006C6323">
            <w:pPr>
              <w:pStyle w:val="tbl-norm"/>
              <w:jc w:val="both"/>
              <w:rPr>
                <w:sz w:val="18"/>
                <w:szCs w:val="18"/>
              </w:rPr>
            </w:pPr>
            <w:r w:rsidRPr="00487209">
              <w:rPr>
                <w:sz w:val="18"/>
                <w:szCs w:val="18"/>
              </w:rPr>
              <w:t>MASONRY AND RELATED PRODUCTS.</w:t>
            </w:r>
          </w:p>
          <w:p w14:paraId="2B559AA1" w14:textId="77777777" w:rsidR="00147811" w:rsidRPr="00487209" w:rsidRDefault="00147811" w:rsidP="006C6323">
            <w:pPr>
              <w:pStyle w:val="tbl-norm"/>
              <w:jc w:val="both"/>
              <w:rPr>
                <w:sz w:val="18"/>
                <w:szCs w:val="18"/>
              </w:rPr>
            </w:pPr>
            <w:r w:rsidRPr="00487209">
              <w:rPr>
                <w:sz w:val="18"/>
                <w:szCs w:val="18"/>
              </w:rPr>
              <w:t>MASONRY UNITS, MORTARS, AND ANCILLARIES.</w:t>
            </w:r>
          </w:p>
          <w:p w14:paraId="0E19DA46" w14:textId="77777777" w:rsidR="00147811" w:rsidRPr="00487209" w:rsidRDefault="00147811" w:rsidP="006C6323">
            <w:pPr>
              <w:spacing w:before="100" w:beforeAutospacing="1" w:after="100" w:afterAutospacing="1"/>
              <w:jc w:val="both"/>
              <w:rPr>
                <w:rFonts w:ascii="Times New Roman" w:hAnsi="Times New Roman" w:cs="Times New Roman"/>
                <w:sz w:val="18"/>
                <w:szCs w:val="18"/>
                <w:lang w:val="sr-Cyrl-CS"/>
              </w:rPr>
            </w:pPr>
          </w:p>
        </w:tc>
        <w:tc>
          <w:tcPr>
            <w:tcW w:w="429" w:type="pct"/>
            <w:shd w:val="clear" w:color="auto" w:fill="auto"/>
            <w:vAlign w:val="center"/>
          </w:tcPr>
          <w:p w14:paraId="175BB9C3"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10D7635C" w14:textId="57B6D73E"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17</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320B6F2E" w14:textId="77777777" w:rsidR="00147811" w:rsidRPr="00487209" w:rsidRDefault="00147811" w:rsidP="006C6323">
            <w:pPr>
              <w:pStyle w:val="Style9"/>
              <w:spacing w:before="240" w:line="240" w:lineRule="auto"/>
              <w:ind w:right="-23"/>
              <w:outlineLvl w:val="3"/>
              <w:rPr>
                <w:rStyle w:val="FontStyle42"/>
                <w:rFonts w:ascii="Times New Roman" w:hAnsi="Times New Roman" w:cs="Times New Roman"/>
                <w:sz w:val="18"/>
                <w:szCs w:val="18"/>
                <w:lang w:val="sr-Cyrl-CS"/>
              </w:rPr>
            </w:pPr>
            <w:r w:rsidRPr="00487209">
              <w:rPr>
                <w:rFonts w:ascii="Times New Roman" w:hAnsi="Times New Roman"/>
                <w:sz w:val="18"/>
                <w:szCs w:val="18"/>
                <w:lang w:val="sr-Cyrl-CS"/>
              </w:rPr>
              <w:t>ПРОИЗВОДИ ЗА ЗИДАЊЕ И СРОДНИ ПРОИЗВОДИ</w:t>
            </w:r>
          </w:p>
          <w:p w14:paraId="7BB4F85F" w14:textId="77777777" w:rsidR="00147811" w:rsidRPr="00487209" w:rsidRDefault="00147811" w:rsidP="006C6323">
            <w:pPr>
              <w:pStyle w:val="Style9"/>
              <w:spacing w:before="240" w:line="240" w:lineRule="auto"/>
              <w:ind w:right="-23"/>
              <w:outlineLvl w:val="3"/>
              <w:rPr>
                <w:rStyle w:val="FontStyle42"/>
                <w:rFonts w:ascii="Times New Roman" w:hAnsi="Times New Roman" w:cs="Times New Roman"/>
                <w:sz w:val="18"/>
                <w:szCs w:val="18"/>
                <w:lang w:val="sr-Cyrl-CS"/>
              </w:rPr>
            </w:pPr>
            <w:r w:rsidRPr="00487209">
              <w:rPr>
                <w:rFonts w:ascii="Times New Roman" w:hAnsi="Times New Roman"/>
                <w:sz w:val="18"/>
                <w:szCs w:val="18"/>
                <w:lang w:val="sr-Cyrl-CS"/>
              </w:rPr>
              <w:t>ЕЛЕМЕНТИ ЗА ЗИДАЊЕ, МАЛТЕРИ И ПОМОЋНА СРЕДСТВА</w:t>
            </w:r>
          </w:p>
        </w:tc>
        <w:tc>
          <w:tcPr>
            <w:tcW w:w="458" w:type="pct"/>
            <w:shd w:val="clear" w:color="auto" w:fill="auto"/>
            <w:vAlign w:val="center"/>
          </w:tcPr>
          <w:p w14:paraId="68A94B59"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41BC7278"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58036F7"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80E4878" w14:textId="77777777" w:rsidTr="007D5144">
        <w:trPr>
          <w:trHeight w:val="811"/>
          <w:jc w:val="center"/>
        </w:trPr>
        <w:tc>
          <w:tcPr>
            <w:tcW w:w="435" w:type="pct"/>
            <w:shd w:val="clear" w:color="auto" w:fill="auto"/>
            <w:vAlign w:val="center"/>
          </w:tcPr>
          <w:p w14:paraId="18179075"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18</w:t>
            </w:r>
          </w:p>
        </w:tc>
        <w:tc>
          <w:tcPr>
            <w:tcW w:w="1369" w:type="pct"/>
            <w:gridSpan w:val="2"/>
            <w:shd w:val="clear" w:color="auto" w:fill="auto"/>
            <w:vAlign w:val="center"/>
          </w:tcPr>
          <w:p w14:paraId="5B0DA9BA"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WASTE WATER ENGINEERING PRODUCTS.</w:t>
            </w:r>
          </w:p>
        </w:tc>
        <w:tc>
          <w:tcPr>
            <w:tcW w:w="429" w:type="pct"/>
            <w:shd w:val="clear" w:color="auto" w:fill="auto"/>
            <w:vAlign w:val="center"/>
          </w:tcPr>
          <w:p w14:paraId="18B8016F"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36351A84" w14:textId="5234B2E9"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18</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2E46FA8B"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ГРАЂЕВИНСКИ ПРОИЗВОДИ ЗА СИСТЕМЕ ЗА ОТПАДНЕ ВОДЕ</w:t>
            </w:r>
          </w:p>
          <w:p w14:paraId="74066FFF"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3603911C"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41E2A23C"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2E76A114"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39365572" w14:textId="77777777" w:rsidTr="007D5144">
        <w:trPr>
          <w:trHeight w:val="708"/>
          <w:jc w:val="center"/>
        </w:trPr>
        <w:tc>
          <w:tcPr>
            <w:tcW w:w="435" w:type="pct"/>
            <w:shd w:val="clear" w:color="auto" w:fill="auto"/>
            <w:vAlign w:val="center"/>
          </w:tcPr>
          <w:p w14:paraId="76FEF304"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19</w:t>
            </w:r>
          </w:p>
        </w:tc>
        <w:tc>
          <w:tcPr>
            <w:tcW w:w="1369" w:type="pct"/>
            <w:gridSpan w:val="2"/>
            <w:shd w:val="clear" w:color="auto" w:fill="auto"/>
            <w:vAlign w:val="center"/>
          </w:tcPr>
          <w:p w14:paraId="2DBDCEF9"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FLOORINGS.</w:t>
            </w:r>
          </w:p>
        </w:tc>
        <w:tc>
          <w:tcPr>
            <w:tcW w:w="429" w:type="pct"/>
            <w:shd w:val="clear" w:color="auto" w:fill="auto"/>
            <w:vAlign w:val="center"/>
          </w:tcPr>
          <w:p w14:paraId="074C919D"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65B9FD4C" w14:textId="36D2ED75"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19</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2B373A75"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ПОДНЕ ОБЛОГЕ</w:t>
            </w:r>
          </w:p>
          <w:p w14:paraId="00CA58EC"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6DC214F9"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49AB79FC"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273A2B8"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69A99A3D" w14:textId="77777777" w:rsidTr="007D5144">
        <w:trPr>
          <w:trHeight w:val="913"/>
          <w:jc w:val="center"/>
        </w:trPr>
        <w:tc>
          <w:tcPr>
            <w:tcW w:w="435" w:type="pct"/>
            <w:shd w:val="clear" w:color="auto" w:fill="auto"/>
            <w:vAlign w:val="center"/>
          </w:tcPr>
          <w:p w14:paraId="7478BFC4"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20</w:t>
            </w:r>
          </w:p>
        </w:tc>
        <w:tc>
          <w:tcPr>
            <w:tcW w:w="1369" w:type="pct"/>
            <w:gridSpan w:val="2"/>
            <w:shd w:val="clear" w:color="auto" w:fill="auto"/>
            <w:vAlign w:val="center"/>
          </w:tcPr>
          <w:p w14:paraId="5761BBBC"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STRUCTURAL METALLIC PRODUCTS AND ANCILLARIES.</w:t>
            </w:r>
          </w:p>
        </w:tc>
        <w:tc>
          <w:tcPr>
            <w:tcW w:w="429" w:type="pct"/>
            <w:shd w:val="clear" w:color="auto" w:fill="auto"/>
            <w:vAlign w:val="center"/>
          </w:tcPr>
          <w:p w14:paraId="69F6B30F"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5B6C0D1D" w14:textId="18ACC515"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20</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5B3FE800"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КОНСТРУКЦИОНИ ПРОИЗВОДИ ОД МЕТАЛА И ПОМОЋНА ОПРЕМА</w:t>
            </w:r>
          </w:p>
          <w:p w14:paraId="3DB4395E"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46099E2B"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7A05BB59"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48F13C78"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4F57498C" w14:textId="77777777" w:rsidTr="007D5144">
        <w:trPr>
          <w:trHeight w:val="1055"/>
          <w:jc w:val="center"/>
        </w:trPr>
        <w:tc>
          <w:tcPr>
            <w:tcW w:w="435" w:type="pct"/>
            <w:shd w:val="clear" w:color="auto" w:fill="auto"/>
            <w:vAlign w:val="center"/>
          </w:tcPr>
          <w:p w14:paraId="2A8EFD6A"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21</w:t>
            </w:r>
          </w:p>
        </w:tc>
        <w:tc>
          <w:tcPr>
            <w:tcW w:w="1369" w:type="pct"/>
            <w:gridSpan w:val="2"/>
            <w:shd w:val="clear" w:color="auto" w:fill="auto"/>
            <w:vAlign w:val="center"/>
          </w:tcPr>
          <w:p w14:paraId="4A9C8A86"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INTERNAL &amp; EXTERNAL WALL AND CEILING FINISHES. INTERNAL PARTITION KITS.</w:t>
            </w:r>
          </w:p>
        </w:tc>
        <w:tc>
          <w:tcPr>
            <w:tcW w:w="429" w:type="pct"/>
            <w:shd w:val="clear" w:color="auto" w:fill="auto"/>
            <w:vAlign w:val="center"/>
          </w:tcPr>
          <w:p w14:paraId="329651C3"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727B074D" w14:textId="3179E75A"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21</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74D3FFE4"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ПРОИЗВОДИ ЗА УНУТРАШЊУ И СПОЉАШЊУ ЗАВРШНУ ОБРАДУ ЗИДА И ПЛАФОНА, СКЛОПОВИ УНУТРАШЊИХ ПРЕГРАДА</w:t>
            </w:r>
          </w:p>
          <w:p w14:paraId="040CD5D4"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7B73CD33"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lastRenderedPageBreak/>
              <w:t>ПУ</w:t>
            </w:r>
          </w:p>
        </w:tc>
        <w:tc>
          <w:tcPr>
            <w:tcW w:w="598" w:type="pct"/>
            <w:gridSpan w:val="2"/>
            <w:shd w:val="clear" w:color="auto" w:fill="auto"/>
            <w:vAlign w:val="center"/>
          </w:tcPr>
          <w:p w14:paraId="24941DA8"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14280E2"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48E505BD" w14:textId="77777777" w:rsidTr="007D5144">
        <w:trPr>
          <w:trHeight w:val="1396"/>
          <w:jc w:val="center"/>
        </w:trPr>
        <w:tc>
          <w:tcPr>
            <w:tcW w:w="435" w:type="pct"/>
            <w:shd w:val="clear" w:color="auto" w:fill="auto"/>
            <w:vAlign w:val="center"/>
          </w:tcPr>
          <w:p w14:paraId="62AD6BD4"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lastRenderedPageBreak/>
              <w:t>22</w:t>
            </w:r>
          </w:p>
        </w:tc>
        <w:tc>
          <w:tcPr>
            <w:tcW w:w="1369" w:type="pct"/>
            <w:gridSpan w:val="2"/>
            <w:shd w:val="clear" w:color="auto" w:fill="auto"/>
            <w:vAlign w:val="center"/>
          </w:tcPr>
          <w:p w14:paraId="320E9A67" w14:textId="77777777" w:rsidR="00147811" w:rsidRPr="00487209" w:rsidRDefault="00147811" w:rsidP="006C6323">
            <w:pPr>
              <w:pStyle w:val="tbl-norm"/>
              <w:jc w:val="both"/>
              <w:rPr>
                <w:sz w:val="18"/>
                <w:szCs w:val="18"/>
              </w:rPr>
            </w:pPr>
            <w:r w:rsidRPr="00487209">
              <w:rPr>
                <w:sz w:val="18"/>
                <w:szCs w:val="18"/>
              </w:rPr>
              <w:t>ROOF COVERINGS, ROOF LIGHTS, ROOF WINDOWS, AND ANCILLARY PRODUCTS.</w:t>
            </w:r>
          </w:p>
          <w:p w14:paraId="75463AF4" w14:textId="77777777" w:rsidR="00147811" w:rsidRPr="00487209" w:rsidRDefault="00147811" w:rsidP="006C6323">
            <w:pPr>
              <w:pStyle w:val="tbl-norm"/>
              <w:jc w:val="both"/>
              <w:rPr>
                <w:sz w:val="18"/>
                <w:szCs w:val="18"/>
              </w:rPr>
            </w:pPr>
            <w:r w:rsidRPr="00487209">
              <w:rPr>
                <w:sz w:val="18"/>
                <w:szCs w:val="18"/>
              </w:rPr>
              <w:t>ROOF KITS.</w:t>
            </w:r>
          </w:p>
          <w:p w14:paraId="2250A52B"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129067E9"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0ADD2649" w14:textId="1F632B31"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22</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611272D1" w14:textId="77777777" w:rsidR="00147811" w:rsidRPr="00487209" w:rsidRDefault="00147811" w:rsidP="006C6323">
            <w:pPr>
              <w:pStyle w:val="Style9"/>
              <w:spacing w:before="240" w:line="240" w:lineRule="auto"/>
              <w:ind w:right="-23"/>
              <w:outlineLvl w:val="3"/>
              <w:rPr>
                <w:rStyle w:val="FontStyle42"/>
                <w:rFonts w:ascii="Times New Roman" w:hAnsi="Times New Roman" w:cs="Times New Roman"/>
                <w:sz w:val="18"/>
                <w:szCs w:val="18"/>
                <w:lang w:val="sr-Cyrl-CS"/>
              </w:rPr>
            </w:pPr>
            <w:r w:rsidRPr="00487209">
              <w:rPr>
                <w:rFonts w:ascii="Times New Roman" w:hAnsi="Times New Roman"/>
                <w:sz w:val="18"/>
                <w:szCs w:val="18"/>
                <w:lang w:val="sr-Cyrl-CS"/>
              </w:rPr>
              <w:t>КРОВНИ ПОКРИВАЧИ, СВЕТЛОСНЕ КУПОЛЕ, КРОВНИ ПРОЗОРИ И ПОМОЋНИ ПРОИЗВОДИ</w:t>
            </w:r>
          </w:p>
          <w:p w14:paraId="1BCBB3E3"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КРОВНИ СКЛОПОВИ</w:t>
            </w:r>
          </w:p>
          <w:p w14:paraId="70C0DDE2"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320D1FD0"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3C8A3A04"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1DE081EC"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2BBA00E8" w14:textId="77777777" w:rsidTr="007D5144">
        <w:trPr>
          <w:trHeight w:val="913"/>
          <w:jc w:val="center"/>
        </w:trPr>
        <w:tc>
          <w:tcPr>
            <w:tcW w:w="435" w:type="pct"/>
            <w:shd w:val="clear" w:color="auto" w:fill="auto"/>
            <w:vAlign w:val="center"/>
          </w:tcPr>
          <w:p w14:paraId="1519F6AF"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23</w:t>
            </w:r>
          </w:p>
        </w:tc>
        <w:tc>
          <w:tcPr>
            <w:tcW w:w="1369" w:type="pct"/>
            <w:gridSpan w:val="2"/>
            <w:shd w:val="clear" w:color="auto" w:fill="auto"/>
            <w:vAlign w:val="center"/>
          </w:tcPr>
          <w:p w14:paraId="201954F1"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ROAD CONSTRUCTION PRODUCTS.</w:t>
            </w:r>
          </w:p>
        </w:tc>
        <w:tc>
          <w:tcPr>
            <w:tcW w:w="429" w:type="pct"/>
            <w:shd w:val="clear" w:color="auto" w:fill="auto"/>
            <w:vAlign w:val="center"/>
          </w:tcPr>
          <w:p w14:paraId="748345E2"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06DC7254" w14:textId="34F2301D"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23</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521AACA6" w14:textId="77777777" w:rsidR="00147811" w:rsidRPr="00487209" w:rsidRDefault="00147811" w:rsidP="006C6323">
            <w:pPr>
              <w:pStyle w:val="Style3"/>
              <w:spacing w:before="240" w:line="360" w:lineRule="auto"/>
              <w:ind w:right="-23"/>
              <w:rPr>
                <w:rStyle w:val="FontStyle42"/>
                <w:rFonts w:ascii="Times New Roman" w:hAnsi="Times New Roman" w:cs="Times New Roman"/>
                <w:sz w:val="18"/>
                <w:szCs w:val="18"/>
                <w:lang w:val="sr-Cyrl-CS"/>
              </w:rPr>
            </w:pPr>
            <w:r w:rsidRPr="00487209">
              <w:rPr>
                <w:rFonts w:ascii="Times New Roman" w:hAnsi="Times New Roman"/>
                <w:sz w:val="18"/>
                <w:szCs w:val="18"/>
                <w:lang w:val="sr-Cyrl-CS"/>
              </w:rPr>
              <w:t>ПРОИЗВОДИ ЗА ИЗГРАДЊУ ПУТЕВА</w:t>
            </w:r>
          </w:p>
        </w:tc>
        <w:tc>
          <w:tcPr>
            <w:tcW w:w="458" w:type="pct"/>
            <w:shd w:val="clear" w:color="auto" w:fill="auto"/>
            <w:vAlign w:val="center"/>
          </w:tcPr>
          <w:p w14:paraId="645E359E"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0D3BDC06"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4C747BB1"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75661C79" w14:textId="77777777" w:rsidTr="007D5144">
        <w:trPr>
          <w:trHeight w:val="487"/>
          <w:jc w:val="center"/>
        </w:trPr>
        <w:tc>
          <w:tcPr>
            <w:tcW w:w="435" w:type="pct"/>
            <w:shd w:val="clear" w:color="auto" w:fill="auto"/>
            <w:vAlign w:val="center"/>
          </w:tcPr>
          <w:p w14:paraId="19C18253"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24</w:t>
            </w:r>
          </w:p>
        </w:tc>
        <w:tc>
          <w:tcPr>
            <w:tcW w:w="1369" w:type="pct"/>
            <w:gridSpan w:val="2"/>
            <w:shd w:val="clear" w:color="auto" w:fill="auto"/>
            <w:vAlign w:val="center"/>
          </w:tcPr>
          <w:p w14:paraId="2FB16CEA"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AGGREGATES.</w:t>
            </w:r>
          </w:p>
        </w:tc>
        <w:tc>
          <w:tcPr>
            <w:tcW w:w="429" w:type="pct"/>
            <w:shd w:val="clear" w:color="auto" w:fill="auto"/>
            <w:vAlign w:val="center"/>
          </w:tcPr>
          <w:p w14:paraId="41C5B93F"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44AC20C7" w14:textId="1AE68A58"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24</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1A724EFB" w14:textId="77777777" w:rsidR="00147811" w:rsidRPr="00487209" w:rsidRDefault="00147811" w:rsidP="006C6323">
            <w:pPr>
              <w:pStyle w:val="Style3"/>
              <w:tabs>
                <w:tab w:val="left" w:pos="1994"/>
              </w:tabs>
              <w:spacing w:before="240" w:line="360" w:lineRule="auto"/>
              <w:ind w:right="-23"/>
              <w:rPr>
                <w:rStyle w:val="FontStyle42"/>
                <w:rFonts w:ascii="Times New Roman" w:hAnsi="Times New Roman" w:cs="Times New Roman"/>
                <w:sz w:val="18"/>
                <w:szCs w:val="18"/>
                <w:lang w:val="sr-Cyrl-CS"/>
              </w:rPr>
            </w:pPr>
            <w:r w:rsidRPr="00487209">
              <w:rPr>
                <w:rFonts w:ascii="Times New Roman" w:hAnsi="Times New Roman"/>
                <w:sz w:val="18"/>
                <w:szCs w:val="18"/>
                <w:lang w:val="sr-Cyrl-CS"/>
              </w:rPr>
              <w:t>АГРЕГАТИ</w:t>
            </w:r>
          </w:p>
        </w:tc>
        <w:tc>
          <w:tcPr>
            <w:tcW w:w="458" w:type="pct"/>
            <w:shd w:val="clear" w:color="auto" w:fill="auto"/>
            <w:vAlign w:val="center"/>
          </w:tcPr>
          <w:p w14:paraId="2E4CC11C"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5199256A"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B3D2FF7"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46101D47" w14:textId="77777777" w:rsidTr="007D5144">
        <w:trPr>
          <w:trHeight w:val="565"/>
          <w:jc w:val="center"/>
        </w:trPr>
        <w:tc>
          <w:tcPr>
            <w:tcW w:w="435" w:type="pct"/>
            <w:shd w:val="clear" w:color="auto" w:fill="auto"/>
            <w:vAlign w:val="center"/>
          </w:tcPr>
          <w:p w14:paraId="695F5700"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25</w:t>
            </w:r>
          </w:p>
        </w:tc>
        <w:tc>
          <w:tcPr>
            <w:tcW w:w="1369" w:type="pct"/>
            <w:gridSpan w:val="2"/>
            <w:shd w:val="clear" w:color="auto" w:fill="auto"/>
            <w:vAlign w:val="center"/>
          </w:tcPr>
          <w:p w14:paraId="09997D62"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CONSTRUCTION ADHESIVES.</w:t>
            </w:r>
          </w:p>
        </w:tc>
        <w:tc>
          <w:tcPr>
            <w:tcW w:w="429" w:type="pct"/>
            <w:shd w:val="clear" w:color="auto" w:fill="auto"/>
            <w:vAlign w:val="center"/>
          </w:tcPr>
          <w:p w14:paraId="4587C15C"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606BDF08" w14:textId="4A727DBE"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25</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25582C38"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ГРАЂЕВИНСКИ ЛЕПКОВИ</w:t>
            </w:r>
          </w:p>
          <w:p w14:paraId="42A532EA"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569F1B4A"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30E6CF62"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21AEB2DA"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6CECC1E0" w14:textId="77777777" w:rsidTr="007D5144">
        <w:trPr>
          <w:trHeight w:val="994"/>
          <w:jc w:val="center"/>
        </w:trPr>
        <w:tc>
          <w:tcPr>
            <w:tcW w:w="435" w:type="pct"/>
            <w:shd w:val="clear" w:color="auto" w:fill="auto"/>
            <w:vAlign w:val="center"/>
          </w:tcPr>
          <w:p w14:paraId="733FFC97"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26</w:t>
            </w:r>
          </w:p>
        </w:tc>
        <w:tc>
          <w:tcPr>
            <w:tcW w:w="1369" w:type="pct"/>
            <w:gridSpan w:val="2"/>
            <w:shd w:val="clear" w:color="auto" w:fill="auto"/>
            <w:vAlign w:val="center"/>
          </w:tcPr>
          <w:p w14:paraId="78CA17DA"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PRODUCTS RELATED TO CONCRETE, MORTAR AND GROUT.</w:t>
            </w:r>
          </w:p>
        </w:tc>
        <w:tc>
          <w:tcPr>
            <w:tcW w:w="429" w:type="pct"/>
            <w:shd w:val="clear" w:color="auto" w:fill="auto"/>
            <w:vAlign w:val="center"/>
          </w:tcPr>
          <w:p w14:paraId="59485DD0"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7C01EEB8" w14:textId="629384EB"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26</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712FF1AA"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ПРОИЗВОДИ СРОДНИ СА БЕТОНОМ, МАЛТЕРОМ И ИНЈЕКЦИОНОМ СМЕШОМ</w:t>
            </w:r>
          </w:p>
          <w:p w14:paraId="57570B74"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415F555B"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015A5356"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013BC477"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0C97266A" w14:textId="77777777" w:rsidTr="007D5144">
        <w:trPr>
          <w:trHeight w:val="346"/>
          <w:jc w:val="center"/>
        </w:trPr>
        <w:tc>
          <w:tcPr>
            <w:tcW w:w="435" w:type="pct"/>
            <w:shd w:val="clear" w:color="auto" w:fill="auto"/>
            <w:vAlign w:val="center"/>
          </w:tcPr>
          <w:p w14:paraId="51D6A000"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27</w:t>
            </w:r>
          </w:p>
        </w:tc>
        <w:tc>
          <w:tcPr>
            <w:tcW w:w="1369" w:type="pct"/>
            <w:gridSpan w:val="2"/>
            <w:shd w:val="clear" w:color="auto" w:fill="auto"/>
            <w:vAlign w:val="center"/>
          </w:tcPr>
          <w:p w14:paraId="31C507A1"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SPACE HEATING APPLIANCES.</w:t>
            </w:r>
          </w:p>
        </w:tc>
        <w:tc>
          <w:tcPr>
            <w:tcW w:w="429" w:type="pct"/>
            <w:shd w:val="clear" w:color="auto" w:fill="auto"/>
            <w:vAlign w:val="center"/>
          </w:tcPr>
          <w:p w14:paraId="2DDE3F88"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6EC266FB" w14:textId="73386F1D"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27</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32F58D91"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УРЕЂАЈИ ЗА ГРЕЈАЊЕ ПРОСТОРА</w:t>
            </w:r>
          </w:p>
          <w:p w14:paraId="1144BA30"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14A773FE"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7719A5B8"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2DF78ADE"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5B981444" w14:textId="77777777" w:rsidTr="007D5144">
        <w:trPr>
          <w:trHeight w:val="1196"/>
          <w:jc w:val="center"/>
        </w:trPr>
        <w:tc>
          <w:tcPr>
            <w:tcW w:w="435" w:type="pct"/>
            <w:shd w:val="clear" w:color="auto" w:fill="auto"/>
            <w:vAlign w:val="center"/>
          </w:tcPr>
          <w:p w14:paraId="1DA97A17"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lastRenderedPageBreak/>
              <w:t>28</w:t>
            </w:r>
          </w:p>
        </w:tc>
        <w:tc>
          <w:tcPr>
            <w:tcW w:w="1369" w:type="pct"/>
            <w:gridSpan w:val="2"/>
            <w:shd w:val="clear" w:color="auto" w:fill="auto"/>
            <w:vAlign w:val="center"/>
          </w:tcPr>
          <w:p w14:paraId="09BD8612"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PIPES-TANKS AND ANCILLARIES NOT IN CONTACT WITH WATER INTENDED FOR HUMAN CONSUMPTION.</w:t>
            </w:r>
          </w:p>
        </w:tc>
        <w:tc>
          <w:tcPr>
            <w:tcW w:w="429" w:type="pct"/>
            <w:shd w:val="clear" w:color="auto" w:fill="auto"/>
            <w:vAlign w:val="center"/>
          </w:tcPr>
          <w:p w14:paraId="533F7F99"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46CD1F7B" w14:textId="5A2A4C48"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28</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463D7B57"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ЦЕВИ, ЦИСТЕРНЕ И ПОМОЋНА ОПРЕМА КОЈА НИЈЕ У КОНТАКТУ СА ВОДОМ НАМЕЊЕНОМ ЗА ЉУДСКУ УПОТРЕБУ</w:t>
            </w:r>
          </w:p>
          <w:p w14:paraId="3FB18149"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17B9AEB4"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496FF96B"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7C06964"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179556EB" w14:textId="77777777" w:rsidTr="007D5144">
        <w:trPr>
          <w:trHeight w:val="1196"/>
          <w:jc w:val="center"/>
        </w:trPr>
        <w:tc>
          <w:tcPr>
            <w:tcW w:w="435" w:type="pct"/>
            <w:shd w:val="clear" w:color="auto" w:fill="auto"/>
            <w:vAlign w:val="center"/>
          </w:tcPr>
          <w:p w14:paraId="744E66F7"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29</w:t>
            </w:r>
          </w:p>
        </w:tc>
        <w:tc>
          <w:tcPr>
            <w:tcW w:w="1369" w:type="pct"/>
            <w:gridSpan w:val="2"/>
            <w:shd w:val="clear" w:color="auto" w:fill="auto"/>
            <w:vAlign w:val="center"/>
          </w:tcPr>
          <w:p w14:paraId="7ED11201"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CONSTRUCTION PRODUCTS IN CONTACT WITH WATER INTENDED FOR HUMAN CONSUMPTION.</w:t>
            </w:r>
          </w:p>
        </w:tc>
        <w:tc>
          <w:tcPr>
            <w:tcW w:w="429" w:type="pct"/>
            <w:shd w:val="clear" w:color="auto" w:fill="auto"/>
            <w:vAlign w:val="center"/>
          </w:tcPr>
          <w:p w14:paraId="4269870C"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35ACAF5E" w14:textId="03615625"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29</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3CD07E7E"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ГРАЂЕВИНСКИ ПРОИЗВОДИ У КОНТАКТУ СА ВОДОМ НАМЕЊЕНИ ЗА ЉУДСКУ УПОТРЕБУ</w:t>
            </w:r>
          </w:p>
          <w:p w14:paraId="25917D58"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59825D14"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7939A65F"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3B0901C"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404ED704" w14:textId="77777777" w:rsidTr="007D5144">
        <w:trPr>
          <w:trHeight w:val="1128"/>
          <w:jc w:val="center"/>
        </w:trPr>
        <w:tc>
          <w:tcPr>
            <w:tcW w:w="435" w:type="pct"/>
            <w:shd w:val="clear" w:color="auto" w:fill="auto"/>
            <w:vAlign w:val="center"/>
          </w:tcPr>
          <w:p w14:paraId="5734398E"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30</w:t>
            </w:r>
          </w:p>
        </w:tc>
        <w:tc>
          <w:tcPr>
            <w:tcW w:w="1369" w:type="pct"/>
            <w:gridSpan w:val="2"/>
            <w:shd w:val="clear" w:color="auto" w:fill="auto"/>
            <w:vAlign w:val="center"/>
          </w:tcPr>
          <w:p w14:paraId="0990E1AB"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FLAT GLASS, PROFILED GLASS AND GLASS BLOCK PRODUCTS.</w:t>
            </w:r>
          </w:p>
        </w:tc>
        <w:tc>
          <w:tcPr>
            <w:tcW w:w="429" w:type="pct"/>
            <w:shd w:val="clear" w:color="auto" w:fill="auto"/>
            <w:vAlign w:val="center"/>
          </w:tcPr>
          <w:p w14:paraId="366B9E32"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162E11E0" w14:textId="152F7D69"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30</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00706D0F"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ПРОИЗВОДИ ОД РАВНОГ СТАКЛА, ПРОФИЛИСАНОГ СТАКЛА И СТАКЛЕНИХ БЛОКОВА</w:t>
            </w:r>
          </w:p>
          <w:p w14:paraId="74149224"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54376A09"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6CEBC37E"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2BB7AC04"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6A1993F7" w14:textId="77777777" w:rsidTr="007D5144">
        <w:trPr>
          <w:trHeight w:val="847"/>
          <w:jc w:val="center"/>
        </w:trPr>
        <w:tc>
          <w:tcPr>
            <w:tcW w:w="435" w:type="pct"/>
            <w:shd w:val="clear" w:color="auto" w:fill="auto"/>
            <w:vAlign w:val="center"/>
          </w:tcPr>
          <w:p w14:paraId="2B9B8BD2"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31</w:t>
            </w:r>
          </w:p>
        </w:tc>
        <w:tc>
          <w:tcPr>
            <w:tcW w:w="1369" w:type="pct"/>
            <w:gridSpan w:val="2"/>
            <w:shd w:val="clear" w:color="auto" w:fill="auto"/>
            <w:vAlign w:val="center"/>
          </w:tcPr>
          <w:p w14:paraId="094FC930"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POWER, CONTROL AND COMMUNICATION CABLES.</w:t>
            </w:r>
          </w:p>
        </w:tc>
        <w:tc>
          <w:tcPr>
            <w:tcW w:w="429" w:type="pct"/>
            <w:shd w:val="clear" w:color="auto" w:fill="auto"/>
            <w:vAlign w:val="center"/>
          </w:tcPr>
          <w:p w14:paraId="72BF1012"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54E5FE5E" w14:textId="3C6CF3F5"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31</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165C4460" w14:textId="77777777" w:rsidR="00147811" w:rsidRPr="00487209" w:rsidRDefault="00147811" w:rsidP="006C6323">
            <w:pPr>
              <w:pStyle w:val="Style9"/>
              <w:spacing w:before="240" w:line="240" w:lineRule="auto"/>
              <w:ind w:right="-23"/>
              <w:outlineLvl w:val="3"/>
              <w:rPr>
                <w:rStyle w:val="FontStyle42"/>
                <w:rFonts w:ascii="Times New Roman" w:hAnsi="Times New Roman" w:cs="Times New Roman"/>
                <w:sz w:val="18"/>
                <w:szCs w:val="18"/>
                <w:lang w:val="sr-Cyrl-CS"/>
              </w:rPr>
            </w:pPr>
            <w:r w:rsidRPr="00487209">
              <w:rPr>
                <w:rFonts w:ascii="Times New Roman" w:hAnsi="Times New Roman"/>
                <w:sz w:val="18"/>
                <w:szCs w:val="18"/>
                <w:lang w:val="sr-Cyrl-CS"/>
              </w:rPr>
              <w:t>ЕНЕРГЕТСКИ, КОМАНДНИ И КОМУНИКАЦИОНИ КАБЛОВИ</w:t>
            </w:r>
          </w:p>
        </w:tc>
        <w:tc>
          <w:tcPr>
            <w:tcW w:w="458" w:type="pct"/>
            <w:shd w:val="clear" w:color="auto" w:fill="auto"/>
            <w:vAlign w:val="center"/>
          </w:tcPr>
          <w:p w14:paraId="6CB7E3C0"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65A92486"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24EB188D"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2EC6F93E" w14:textId="77777777" w:rsidTr="007D5144">
        <w:trPr>
          <w:trHeight w:val="771"/>
          <w:jc w:val="center"/>
        </w:trPr>
        <w:tc>
          <w:tcPr>
            <w:tcW w:w="435" w:type="pct"/>
            <w:shd w:val="clear" w:color="auto" w:fill="auto"/>
            <w:vAlign w:val="center"/>
          </w:tcPr>
          <w:p w14:paraId="724E5427"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32</w:t>
            </w:r>
          </w:p>
        </w:tc>
        <w:tc>
          <w:tcPr>
            <w:tcW w:w="1369" w:type="pct"/>
            <w:gridSpan w:val="2"/>
            <w:shd w:val="clear" w:color="auto" w:fill="auto"/>
            <w:vAlign w:val="center"/>
          </w:tcPr>
          <w:p w14:paraId="41FF4BD0"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SEALANTS FOR JOINTS.</w:t>
            </w:r>
          </w:p>
        </w:tc>
        <w:tc>
          <w:tcPr>
            <w:tcW w:w="429" w:type="pct"/>
            <w:shd w:val="clear" w:color="auto" w:fill="auto"/>
            <w:vAlign w:val="center"/>
          </w:tcPr>
          <w:p w14:paraId="59CD8AAA"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7A0C36E9" w14:textId="5D1A3986"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32</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41A38C5E"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СРЕДСТВА ЗА ЗАПТИВАЊЕ СПОЈНИЦА</w:t>
            </w:r>
          </w:p>
          <w:p w14:paraId="3A4CD893"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311D64DB"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4FB2FD26"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20A6819C"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7AE587FA" w14:textId="77777777" w:rsidTr="007D5144">
        <w:trPr>
          <w:trHeight w:val="785"/>
          <w:jc w:val="center"/>
        </w:trPr>
        <w:tc>
          <w:tcPr>
            <w:tcW w:w="435" w:type="pct"/>
            <w:shd w:val="clear" w:color="auto" w:fill="auto"/>
            <w:vAlign w:val="center"/>
          </w:tcPr>
          <w:p w14:paraId="22548283"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33</w:t>
            </w:r>
          </w:p>
        </w:tc>
        <w:tc>
          <w:tcPr>
            <w:tcW w:w="1369" w:type="pct"/>
            <w:gridSpan w:val="2"/>
            <w:shd w:val="clear" w:color="auto" w:fill="auto"/>
            <w:vAlign w:val="center"/>
          </w:tcPr>
          <w:p w14:paraId="1F1F9DE7"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FIXINGS.</w:t>
            </w:r>
          </w:p>
        </w:tc>
        <w:tc>
          <w:tcPr>
            <w:tcW w:w="429" w:type="pct"/>
            <w:shd w:val="clear" w:color="auto" w:fill="auto"/>
            <w:vAlign w:val="center"/>
          </w:tcPr>
          <w:p w14:paraId="2C2FB518"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1AF9773E" w14:textId="50191BB8"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33</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6F605492" w14:textId="77777777" w:rsidR="00147811" w:rsidRPr="00487209" w:rsidRDefault="00147811" w:rsidP="006C6323">
            <w:pPr>
              <w:pStyle w:val="Style3"/>
              <w:spacing w:before="240" w:line="360" w:lineRule="auto"/>
              <w:ind w:right="-23"/>
              <w:rPr>
                <w:rFonts w:ascii="Times New Roman" w:hAnsi="Times New Roman"/>
                <w:sz w:val="18"/>
                <w:szCs w:val="18"/>
                <w:lang w:val="sr-Cyrl-CS"/>
              </w:rPr>
            </w:pPr>
            <w:r w:rsidRPr="00487209">
              <w:rPr>
                <w:rFonts w:ascii="Times New Roman" w:hAnsi="Times New Roman"/>
                <w:sz w:val="18"/>
                <w:szCs w:val="18"/>
                <w:lang w:val="sr-Cyrl-CS"/>
              </w:rPr>
              <w:t>ПРОИЗВОДИ ЗА ПРИЧВРШЋИВАЊЕ</w:t>
            </w:r>
          </w:p>
          <w:p w14:paraId="5D995714" w14:textId="77777777" w:rsidR="0041385A" w:rsidRPr="00487209" w:rsidRDefault="0041385A" w:rsidP="006C6323">
            <w:pPr>
              <w:pStyle w:val="Style3"/>
              <w:spacing w:before="240" w:line="360" w:lineRule="auto"/>
              <w:ind w:right="-23"/>
              <w:rPr>
                <w:rStyle w:val="FontStyle42"/>
                <w:rFonts w:ascii="Times New Roman" w:hAnsi="Times New Roman" w:cs="Times New Roman"/>
                <w:sz w:val="18"/>
                <w:szCs w:val="18"/>
                <w:lang w:val="sr-Cyrl-CS"/>
              </w:rPr>
            </w:pPr>
          </w:p>
        </w:tc>
        <w:tc>
          <w:tcPr>
            <w:tcW w:w="458" w:type="pct"/>
            <w:shd w:val="clear" w:color="auto" w:fill="auto"/>
            <w:vAlign w:val="center"/>
          </w:tcPr>
          <w:p w14:paraId="5EAE85C9"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684F62F5"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48944345"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3FBD5D60" w14:textId="77777777" w:rsidTr="007D5144">
        <w:trPr>
          <w:trHeight w:val="1366"/>
          <w:jc w:val="center"/>
        </w:trPr>
        <w:tc>
          <w:tcPr>
            <w:tcW w:w="435" w:type="pct"/>
            <w:shd w:val="clear" w:color="auto" w:fill="auto"/>
            <w:vAlign w:val="center"/>
          </w:tcPr>
          <w:p w14:paraId="529E80D3"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lastRenderedPageBreak/>
              <w:t>34</w:t>
            </w:r>
          </w:p>
        </w:tc>
        <w:tc>
          <w:tcPr>
            <w:tcW w:w="1369" w:type="pct"/>
            <w:gridSpan w:val="2"/>
            <w:shd w:val="clear" w:color="auto" w:fill="auto"/>
            <w:vAlign w:val="center"/>
          </w:tcPr>
          <w:p w14:paraId="25C0F3FF"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BUILDING KITS, UNITS, AND PREFABRICATED ELEMENTS.</w:t>
            </w:r>
          </w:p>
        </w:tc>
        <w:tc>
          <w:tcPr>
            <w:tcW w:w="429" w:type="pct"/>
            <w:shd w:val="clear" w:color="auto" w:fill="auto"/>
            <w:vAlign w:val="center"/>
          </w:tcPr>
          <w:p w14:paraId="03528219"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765D5334" w14:textId="2863C2EF"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34</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754DDC5C" w14:textId="77777777" w:rsidR="00147811" w:rsidRPr="00487209" w:rsidRDefault="00147811" w:rsidP="006C6323">
            <w:pPr>
              <w:pStyle w:val="Style9"/>
              <w:spacing w:before="240" w:line="240" w:lineRule="auto"/>
              <w:ind w:right="-23"/>
              <w:outlineLvl w:val="3"/>
              <w:rPr>
                <w:rStyle w:val="FontStyle42"/>
                <w:rFonts w:ascii="Times New Roman" w:hAnsi="Times New Roman" w:cs="Times New Roman"/>
                <w:sz w:val="18"/>
                <w:szCs w:val="18"/>
                <w:lang w:val="sr-Cyrl-CS"/>
              </w:rPr>
            </w:pPr>
            <w:r w:rsidRPr="00487209">
              <w:rPr>
                <w:rFonts w:ascii="Times New Roman" w:hAnsi="Times New Roman"/>
                <w:sz w:val="18"/>
                <w:szCs w:val="18"/>
                <w:lang w:val="sr-Cyrl-CS"/>
              </w:rPr>
              <w:t>СКЛОПОВИ И ЕЛЕМЕНТИ ЗА ИЗГРАДЊУ И ПРЕФАБРИКОВАНИ ЕЛЕМЕНТИ</w:t>
            </w:r>
          </w:p>
        </w:tc>
        <w:tc>
          <w:tcPr>
            <w:tcW w:w="458" w:type="pct"/>
            <w:shd w:val="clear" w:color="auto" w:fill="auto"/>
            <w:vAlign w:val="center"/>
          </w:tcPr>
          <w:p w14:paraId="470BB9F8" w14:textId="77777777" w:rsidR="00147811" w:rsidRPr="00487209" w:rsidRDefault="00147811" w:rsidP="006C6323">
            <w:pPr>
              <w:jc w:val="center"/>
              <w:rPr>
                <w:rFonts w:ascii="Times New Roman" w:hAnsi="Times New Roman" w:cs="Times New Roman"/>
                <w:sz w:val="18"/>
                <w:szCs w:val="18"/>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27EA455F"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1742507"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4FE25284" w14:textId="77777777" w:rsidTr="007D5144">
        <w:trPr>
          <w:trHeight w:val="629"/>
          <w:jc w:val="center"/>
        </w:trPr>
        <w:tc>
          <w:tcPr>
            <w:tcW w:w="435" w:type="pct"/>
            <w:shd w:val="clear" w:color="auto" w:fill="auto"/>
            <w:vAlign w:val="center"/>
          </w:tcPr>
          <w:p w14:paraId="5EB411ED" w14:textId="77777777" w:rsidR="00147811" w:rsidRPr="00487209" w:rsidRDefault="00147811"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sidRPr="00487209">
              <w:rPr>
                <w:rStyle w:val="FontStyle42"/>
                <w:rFonts w:ascii="Times New Roman" w:hAnsi="Times New Roman" w:cs="Times New Roman"/>
                <w:spacing w:val="20"/>
                <w:sz w:val="18"/>
                <w:szCs w:val="18"/>
                <w:lang w:val="sr-Cyrl-CS" w:eastAsia="en-GB"/>
              </w:rPr>
              <w:t>35</w:t>
            </w:r>
          </w:p>
        </w:tc>
        <w:tc>
          <w:tcPr>
            <w:tcW w:w="1369" w:type="pct"/>
            <w:gridSpan w:val="2"/>
            <w:shd w:val="clear" w:color="auto" w:fill="auto"/>
            <w:vAlign w:val="center"/>
          </w:tcPr>
          <w:p w14:paraId="3D209A13" w14:textId="77777777" w:rsidR="00147811" w:rsidRPr="00487209" w:rsidRDefault="00147811" w:rsidP="006C6323">
            <w:pPr>
              <w:pStyle w:val="tbl-norm"/>
              <w:jc w:val="both"/>
              <w:rPr>
                <w:sz w:val="18"/>
                <w:szCs w:val="18"/>
              </w:rPr>
            </w:pPr>
            <w:r w:rsidRPr="00487209">
              <w:rPr>
                <w:sz w:val="18"/>
                <w:szCs w:val="18"/>
              </w:rPr>
              <w:t>FIRE STOPPING, FIRE SEALING AND FIRE PROTECTIVE PRODUCTS.</w:t>
            </w:r>
          </w:p>
          <w:p w14:paraId="26C390BD" w14:textId="77777777" w:rsidR="00147811" w:rsidRPr="00487209" w:rsidRDefault="00147811" w:rsidP="006C6323">
            <w:pPr>
              <w:pStyle w:val="tbl-norm"/>
              <w:jc w:val="both"/>
              <w:rPr>
                <w:sz w:val="18"/>
                <w:szCs w:val="18"/>
              </w:rPr>
            </w:pPr>
            <w:r w:rsidRPr="00487209">
              <w:rPr>
                <w:sz w:val="18"/>
                <w:szCs w:val="18"/>
              </w:rPr>
              <w:t>FIRE RETARDANT PRODUCTS.</w:t>
            </w:r>
          </w:p>
          <w:p w14:paraId="3794613A" w14:textId="77777777" w:rsidR="00147811" w:rsidRPr="00487209" w:rsidRDefault="00147811" w:rsidP="006C6323">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6587B518" w14:textId="77777777" w:rsidR="00857E98" w:rsidRDefault="00857E98" w:rsidP="00857E98">
            <w:pPr>
              <w:pStyle w:val="Style3"/>
              <w:spacing w:before="240" w:line="360" w:lineRule="auto"/>
              <w:ind w:right="-23"/>
              <w:jc w:val="center"/>
              <w:rPr>
                <w:rStyle w:val="FontStyle42"/>
                <w:rFonts w:ascii="Times New Roman" w:hAnsi="Times New Roman" w:cs="Times New Roman"/>
                <w:sz w:val="18"/>
                <w:szCs w:val="18"/>
                <w:lang w:val="sr-Cyrl-CS" w:eastAsia="en-GB"/>
              </w:rPr>
            </w:pPr>
            <w:r>
              <w:rPr>
                <w:rStyle w:val="FontStyle42"/>
                <w:rFonts w:ascii="Times New Roman" w:hAnsi="Times New Roman" w:cs="Times New Roman"/>
                <w:sz w:val="18"/>
                <w:szCs w:val="18"/>
                <w:lang w:val="sr-Cyrl-CS" w:eastAsia="en-GB"/>
              </w:rPr>
              <w:t>01</w:t>
            </w:r>
          </w:p>
          <w:p w14:paraId="5262BB3F" w14:textId="3F66D1D2" w:rsidR="00147811" w:rsidRPr="00487209" w:rsidRDefault="005B1958" w:rsidP="006C6323">
            <w:pPr>
              <w:pStyle w:val="Style3"/>
              <w:spacing w:before="240" w:line="360" w:lineRule="auto"/>
              <w:ind w:right="-23"/>
              <w:jc w:val="center"/>
              <w:rPr>
                <w:rStyle w:val="FontStyle42"/>
                <w:rFonts w:ascii="Times New Roman" w:hAnsi="Times New Roman" w:cs="Times New Roman"/>
                <w:spacing w:val="20"/>
                <w:sz w:val="18"/>
                <w:szCs w:val="18"/>
                <w:lang w:val="sr-Cyrl-CS" w:eastAsia="en-GB"/>
              </w:rPr>
            </w:pPr>
            <w:r>
              <w:rPr>
                <w:rStyle w:val="FontStyle42"/>
                <w:rFonts w:ascii="Times New Roman" w:hAnsi="Times New Roman" w:cs="Times New Roman"/>
                <w:sz w:val="18"/>
                <w:szCs w:val="18"/>
                <w:lang w:val="sr-Cyrl-CS" w:eastAsia="en-GB"/>
              </w:rPr>
              <w:t>3.1.</w:t>
            </w:r>
            <w:r w:rsidR="00147811" w:rsidRPr="00487209">
              <w:rPr>
                <w:rStyle w:val="FontStyle42"/>
                <w:rFonts w:ascii="Times New Roman" w:hAnsi="Times New Roman" w:cs="Times New Roman"/>
                <w:spacing w:val="20"/>
                <w:sz w:val="18"/>
                <w:szCs w:val="18"/>
                <w:lang w:val="sr-Cyrl-CS" w:eastAsia="en-GB"/>
              </w:rPr>
              <w:t>35</w:t>
            </w:r>
            <w:r w:rsidR="00CE5512">
              <w:rPr>
                <w:rStyle w:val="FontStyle42"/>
                <w:rFonts w:ascii="Times New Roman" w:hAnsi="Times New Roman" w:cs="Times New Roman"/>
                <w:sz w:val="18"/>
                <w:szCs w:val="18"/>
                <w:lang w:val="sr-Cyrl-CS" w:eastAsia="en-GB"/>
              </w:rPr>
              <w:t>)</w:t>
            </w:r>
          </w:p>
        </w:tc>
        <w:tc>
          <w:tcPr>
            <w:tcW w:w="1231" w:type="pct"/>
            <w:gridSpan w:val="2"/>
            <w:shd w:val="clear" w:color="auto" w:fill="auto"/>
            <w:vAlign w:val="center"/>
          </w:tcPr>
          <w:p w14:paraId="30B63D2C" w14:textId="77777777" w:rsidR="00147811" w:rsidRPr="00487209" w:rsidRDefault="00147811" w:rsidP="006C6323">
            <w:pPr>
              <w:pStyle w:val="Style9"/>
              <w:spacing w:before="240" w:line="240" w:lineRule="auto"/>
              <w:ind w:right="-23"/>
              <w:outlineLvl w:val="3"/>
              <w:rPr>
                <w:rStyle w:val="FontStyle42"/>
                <w:rFonts w:ascii="Times New Roman" w:hAnsi="Times New Roman" w:cs="Times New Roman"/>
                <w:sz w:val="18"/>
                <w:szCs w:val="18"/>
                <w:lang w:val="sr-Cyrl-CS"/>
              </w:rPr>
            </w:pPr>
            <w:r w:rsidRPr="00487209">
              <w:rPr>
                <w:rFonts w:ascii="Times New Roman" w:hAnsi="Times New Roman"/>
                <w:sz w:val="18"/>
                <w:szCs w:val="18"/>
                <w:lang w:val="sr-Cyrl-CS"/>
              </w:rPr>
              <w:t>ПРОИЗВОДИ ЗА ЗАУСТАВЉАЊЕ ПОЖАРА, СПРЕЧАВАЊЕ ШИРЕЊА ПОЖАРА И ЗАШТИТУ ОД ПОЖАРА</w:t>
            </w:r>
          </w:p>
          <w:p w14:paraId="5A55A04B" w14:textId="77777777" w:rsidR="00147811" w:rsidRPr="00487209" w:rsidRDefault="00147811" w:rsidP="006C6323">
            <w:pPr>
              <w:pStyle w:val="Style9"/>
              <w:spacing w:before="240" w:line="240" w:lineRule="auto"/>
              <w:ind w:right="-23"/>
              <w:outlineLvl w:val="3"/>
              <w:rPr>
                <w:rFonts w:ascii="Times New Roman" w:hAnsi="Times New Roman"/>
                <w:sz w:val="18"/>
                <w:szCs w:val="18"/>
                <w:lang w:val="sr-Cyrl-CS"/>
              </w:rPr>
            </w:pPr>
            <w:r w:rsidRPr="00487209">
              <w:rPr>
                <w:rFonts w:ascii="Times New Roman" w:hAnsi="Times New Roman"/>
                <w:sz w:val="18"/>
                <w:szCs w:val="18"/>
                <w:lang w:val="sr-Cyrl-CS"/>
              </w:rPr>
              <w:t>ПРОИЗВОДИ ЗА УСПОРАВАЊЕ ПОЖАРА</w:t>
            </w:r>
          </w:p>
          <w:p w14:paraId="21F338E3" w14:textId="77777777" w:rsidR="0041385A" w:rsidRPr="00487209" w:rsidRDefault="0041385A" w:rsidP="006C6323">
            <w:pPr>
              <w:pStyle w:val="Style9"/>
              <w:spacing w:before="240" w:line="240" w:lineRule="auto"/>
              <w:ind w:right="-23"/>
              <w:outlineLvl w:val="3"/>
              <w:rPr>
                <w:rStyle w:val="FontStyle42"/>
                <w:rFonts w:ascii="Times New Roman" w:hAnsi="Times New Roman" w:cs="Times New Roman"/>
                <w:sz w:val="18"/>
                <w:szCs w:val="18"/>
                <w:lang w:val="sr-Cyrl-CS"/>
              </w:rPr>
            </w:pPr>
          </w:p>
        </w:tc>
        <w:tc>
          <w:tcPr>
            <w:tcW w:w="458" w:type="pct"/>
            <w:shd w:val="clear" w:color="auto" w:fill="auto"/>
            <w:vAlign w:val="center"/>
          </w:tcPr>
          <w:p w14:paraId="0ADA1590" w14:textId="77777777" w:rsidR="00147811" w:rsidRPr="00487209" w:rsidRDefault="00147811" w:rsidP="006C6323">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6B79F885"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414003E5"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01FE759F" w14:textId="77777777" w:rsidTr="007D5144">
        <w:trPr>
          <w:trHeight w:val="823"/>
          <w:jc w:val="center"/>
        </w:trPr>
        <w:tc>
          <w:tcPr>
            <w:tcW w:w="435" w:type="pct"/>
            <w:shd w:val="clear" w:color="auto" w:fill="auto"/>
            <w:vAlign w:val="center"/>
          </w:tcPr>
          <w:p w14:paraId="38846221" w14:textId="77777777" w:rsidR="00147811" w:rsidRPr="00487209" w:rsidRDefault="003353D6"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 xml:space="preserve">ANNEX IV </w:t>
            </w:r>
            <w:r w:rsidR="00E43110" w:rsidRPr="00487209">
              <w:rPr>
                <w:rFonts w:ascii="Times New Roman" w:hAnsi="Times New Roman" w:cs="Times New Roman"/>
                <w:sz w:val="18"/>
                <w:szCs w:val="18"/>
              </w:rPr>
              <w:t>Table 2</w:t>
            </w:r>
          </w:p>
        </w:tc>
        <w:tc>
          <w:tcPr>
            <w:tcW w:w="1369" w:type="pct"/>
            <w:gridSpan w:val="2"/>
            <w:shd w:val="clear" w:color="auto" w:fill="auto"/>
            <w:vAlign w:val="center"/>
          </w:tcPr>
          <w:p w14:paraId="49B54D1A" w14:textId="77777777" w:rsidR="00147811" w:rsidRPr="00487209" w:rsidRDefault="00631C0E" w:rsidP="006C6323">
            <w:pPr>
              <w:pStyle w:val="tbl-norm"/>
              <w:jc w:val="both"/>
              <w:rPr>
                <w:sz w:val="18"/>
                <w:szCs w:val="18"/>
                <w:lang w:val="es-ES"/>
              </w:rPr>
            </w:pPr>
            <w:r w:rsidRPr="00487209">
              <w:rPr>
                <w:sz w:val="18"/>
                <w:szCs w:val="18"/>
              </w:rPr>
              <w:t xml:space="preserve">Requirements for TABs </w:t>
            </w:r>
          </w:p>
        </w:tc>
        <w:tc>
          <w:tcPr>
            <w:tcW w:w="429" w:type="pct"/>
            <w:shd w:val="clear" w:color="auto" w:fill="auto"/>
            <w:vAlign w:val="center"/>
          </w:tcPr>
          <w:p w14:paraId="1BA275D5" w14:textId="77777777" w:rsidR="008530BD" w:rsidRPr="00487209" w:rsidRDefault="008530BD" w:rsidP="006C6323">
            <w:pPr>
              <w:spacing w:before="120" w:after="120"/>
              <w:ind w:firstLine="5"/>
              <w:jc w:val="center"/>
              <w:rPr>
                <w:rFonts w:ascii="Times New Roman" w:hAnsi="Times New Roman" w:cs="Times New Roman"/>
                <w:sz w:val="18"/>
                <w:szCs w:val="18"/>
              </w:rPr>
            </w:pPr>
          </w:p>
        </w:tc>
        <w:tc>
          <w:tcPr>
            <w:tcW w:w="1231" w:type="pct"/>
            <w:gridSpan w:val="2"/>
            <w:shd w:val="clear" w:color="auto" w:fill="auto"/>
            <w:vAlign w:val="center"/>
          </w:tcPr>
          <w:p w14:paraId="428F1D02" w14:textId="12660AE6" w:rsidR="00147811" w:rsidRPr="00487209" w:rsidRDefault="00147811" w:rsidP="006C6323">
            <w:pPr>
              <w:pStyle w:val="tbl-norm"/>
              <w:jc w:val="both"/>
              <w:rPr>
                <w:sz w:val="18"/>
                <w:szCs w:val="18"/>
              </w:rPr>
            </w:pPr>
          </w:p>
        </w:tc>
        <w:tc>
          <w:tcPr>
            <w:tcW w:w="458" w:type="pct"/>
            <w:shd w:val="clear" w:color="auto" w:fill="auto"/>
            <w:vAlign w:val="center"/>
          </w:tcPr>
          <w:p w14:paraId="0758AB26" w14:textId="39EF3B45" w:rsidR="00147811" w:rsidRPr="00487209" w:rsidRDefault="00147811" w:rsidP="006C6323">
            <w:pPr>
              <w:spacing w:before="120" w:after="120"/>
              <w:jc w:val="center"/>
              <w:rPr>
                <w:rFonts w:ascii="Times New Roman" w:hAnsi="Times New Roman" w:cs="Times New Roman"/>
                <w:sz w:val="18"/>
                <w:szCs w:val="18"/>
                <w:lang w:val="sr-Cyrl-CS"/>
              </w:rPr>
            </w:pPr>
          </w:p>
        </w:tc>
        <w:tc>
          <w:tcPr>
            <w:tcW w:w="598" w:type="pct"/>
            <w:gridSpan w:val="2"/>
            <w:shd w:val="clear" w:color="auto" w:fill="auto"/>
            <w:vAlign w:val="center"/>
          </w:tcPr>
          <w:p w14:paraId="6FAA86FA" w14:textId="77777777" w:rsidR="00147811" w:rsidRPr="00487209" w:rsidRDefault="00147811"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C090B2B" w14:textId="77777777" w:rsidR="00147811" w:rsidRPr="00487209" w:rsidRDefault="00147811" w:rsidP="006C6323">
            <w:pPr>
              <w:spacing w:before="120" w:after="120"/>
              <w:jc w:val="center"/>
              <w:rPr>
                <w:rFonts w:ascii="Times New Roman" w:hAnsi="Times New Roman" w:cs="Times New Roman"/>
                <w:sz w:val="18"/>
                <w:szCs w:val="18"/>
              </w:rPr>
            </w:pPr>
          </w:p>
        </w:tc>
      </w:tr>
      <w:tr w:rsidR="00337554" w:rsidRPr="00487209" w14:paraId="22F94325" w14:textId="77777777" w:rsidTr="007D5144">
        <w:trPr>
          <w:trHeight w:val="823"/>
          <w:jc w:val="center"/>
        </w:trPr>
        <w:tc>
          <w:tcPr>
            <w:tcW w:w="435" w:type="pct"/>
            <w:shd w:val="clear" w:color="auto" w:fill="auto"/>
            <w:vAlign w:val="center"/>
          </w:tcPr>
          <w:p w14:paraId="19F31820" w14:textId="77777777" w:rsidR="00B9345F" w:rsidRPr="00487209" w:rsidRDefault="00B9345F" w:rsidP="006C6323">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ANNEX IV Competence</w:t>
            </w:r>
          </w:p>
        </w:tc>
        <w:tc>
          <w:tcPr>
            <w:tcW w:w="756" w:type="pct"/>
            <w:shd w:val="clear" w:color="auto" w:fill="auto"/>
            <w:vAlign w:val="center"/>
          </w:tcPr>
          <w:p w14:paraId="1DF1426B" w14:textId="77777777" w:rsidR="00B9345F" w:rsidRPr="00487209" w:rsidRDefault="00B9345F"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Description of competence</w:t>
            </w:r>
          </w:p>
        </w:tc>
        <w:tc>
          <w:tcPr>
            <w:tcW w:w="613" w:type="pct"/>
            <w:shd w:val="clear" w:color="auto" w:fill="auto"/>
            <w:vAlign w:val="center"/>
          </w:tcPr>
          <w:p w14:paraId="4B8DD597" w14:textId="77777777" w:rsidR="00B9345F" w:rsidRPr="00487209" w:rsidRDefault="00B9345F" w:rsidP="006C6323">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Requirement</w:t>
            </w:r>
          </w:p>
        </w:tc>
        <w:tc>
          <w:tcPr>
            <w:tcW w:w="429" w:type="pct"/>
            <w:shd w:val="clear" w:color="auto" w:fill="auto"/>
            <w:vAlign w:val="center"/>
          </w:tcPr>
          <w:p w14:paraId="5D10F7E4" w14:textId="77777777" w:rsidR="00B9345F" w:rsidRPr="00487209" w:rsidRDefault="00B9345F" w:rsidP="006C6323">
            <w:pPr>
              <w:spacing w:before="120" w:after="120"/>
              <w:ind w:firstLine="5"/>
              <w:jc w:val="center"/>
              <w:rPr>
                <w:rFonts w:ascii="Times New Roman" w:hAnsi="Times New Roman" w:cs="Times New Roman"/>
                <w:sz w:val="18"/>
                <w:szCs w:val="18"/>
              </w:rPr>
            </w:pPr>
          </w:p>
        </w:tc>
        <w:tc>
          <w:tcPr>
            <w:tcW w:w="1231" w:type="pct"/>
            <w:gridSpan w:val="2"/>
            <w:shd w:val="clear" w:color="auto" w:fill="auto"/>
            <w:vAlign w:val="center"/>
          </w:tcPr>
          <w:p w14:paraId="55DC276B" w14:textId="6FBCC310" w:rsidR="00B9345F" w:rsidRPr="00487209" w:rsidRDefault="00B9345F" w:rsidP="006C6323">
            <w:pPr>
              <w:pStyle w:val="Style30"/>
              <w:tabs>
                <w:tab w:val="left" w:pos="322"/>
              </w:tabs>
              <w:spacing w:line="240" w:lineRule="auto"/>
              <w:ind w:firstLine="0"/>
              <w:jc w:val="both"/>
              <w:rPr>
                <w:rFonts w:ascii="Times New Roman" w:hAnsi="Times New Roman"/>
                <w:sz w:val="18"/>
                <w:szCs w:val="18"/>
                <w:lang w:val="sr-Cyrl-CS"/>
              </w:rPr>
            </w:pPr>
          </w:p>
        </w:tc>
        <w:tc>
          <w:tcPr>
            <w:tcW w:w="458" w:type="pct"/>
            <w:shd w:val="clear" w:color="auto" w:fill="auto"/>
            <w:vAlign w:val="center"/>
          </w:tcPr>
          <w:p w14:paraId="79E12682" w14:textId="18082170" w:rsidR="00B9345F" w:rsidRPr="00487209" w:rsidRDefault="00B9345F" w:rsidP="006C6323">
            <w:pPr>
              <w:spacing w:before="120" w:after="120"/>
              <w:jc w:val="center"/>
              <w:rPr>
                <w:rFonts w:ascii="Times New Roman" w:hAnsi="Times New Roman" w:cs="Times New Roman"/>
                <w:sz w:val="18"/>
                <w:szCs w:val="18"/>
                <w:lang w:val="sr-Cyrl-CS"/>
              </w:rPr>
            </w:pPr>
          </w:p>
        </w:tc>
        <w:tc>
          <w:tcPr>
            <w:tcW w:w="598" w:type="pct"/>
            <w:gridSpan w:val="2"/>
            <w:shd w:val="clear" w:color="auto" w:fill="auto"/>
            <w:vAlign w:val="center"/>
          </w:tcPr>
          <w:p w14:paraId="4D8F45FB" w14:textId="77777777" w:rsidR="00B9345F" w:rsidRPr="00487209" w:rsidRDefault="00B9345F" w:rsidP="006C6323">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0C7C98A9" w14:textId="77777777" w:rsidR="00B9345F" w:rsidRPr="00487209" w:rsidRDefault="00B9345F" w:rsidP="006C6323">
            <w:pPr>
              <w:spacing w:before="120" w:after="120"/>
              <w:jc w:val="center"/>
              <w:rPr>
                <w:rFonts w:ascii="Times New Roman" w:hAnsi="Times New Roman" w:cs="Times New Roman"/>
                <w:sz w:val="18"/>
                <w:szCs w:val="18"/>
              </w:rPr>
            </w:pPr>
          </w:p>
        </w:tc>
      </w:tr>
      <w:tr w:rsidR="00337554" w:rsidRPr="00487209" w14:paraId="3BD3D5A3" w14:textId="77777777" w:rsidTr="007D5144">
        <w:trPr>
          <w:trHeight w:val="1970"/>
          <w:jc w:val="center"/>
        </w:trPr>
        <w:tc>
          <w:tcPr>
            <w:tcW w:w="435" w:type="pct"/>
            <w:shd w:val="clear" w:color="auto" w:fill="auto"/>
            <w:vAlign w:val="center"/>
          </w:tcPr>
          <w:p w14:paraId="4F919B50"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w:t>
            </w:r>
          </w:p>
          <w:p w14:paraId="200020BC"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Analysing</w:t>
            </w:r>
          </w:p>
          <w:p w14:paraId="3FF48983"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risks</w:t>
            </w:r>
          </w:p>
        </w:tc>
        <w:tc>
          <w:tcPr>
            <w:tcW w:w="756" w:type="pct"/>
            <w:shd w:val="clear" w:color="auto" w:fill="auto"/>
            <w:vAlign w:val="center"/>
          </w:tcPr>
          <w:p w14:paraId="234C4FCB"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Identify the possible risks and benefits for the use of innovative construction products in the absence of established/consolidated technical information regarding their performance when installed in construction works</w:t>
            </w:r>
          </w:p>
        </w:tc>
        <w:tc>
          <w:tcPr>
            <w:tcW w:w="613" w:type="pct"/>
            <w:vMerge w:val="restart"/>
            <w:shd w:val="clear" w:color="auto" w:fill="auto"/>
            <w:vAlign w:val="center"/>
          </w:tcPr>
          <w:p w14:paraId="419DD31F" w14:textId="77777777" w:rsidR="005B77AE" w:rsidRPr="00487209" w:rsidRDefault="005B77AE" w:rsidP="005B77AE">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TAB shall be established under national law and have legal personality. It shall be independent from the stakeholders and from any particular interests.</w:t>
            </w:r>
          </w:p>
          <w:p w14:paraId="5EB924D3" w14:textId="77777777" w:rsidR="005B77AE" w:rsidRPr="00487209" w:rsidRDefault="005B77AE" w:rsidP="005B77AE">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In addition, a TAB shall have staff with:</w:t>
            </w:r>
          </w:p>
          <w:p w14:paraId="7FC6A750" w14:textId="77777777" w:rsidR="005B77AE" w:rsidRPr="00487209" w:rsidRDefault="005B77AE" w:rsidP="005B77AE">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(a)  objectivity and </w:t>
            </w:r>
            <w:r w:rsidRPr="00487209">
              <w:rPr>
                <w:rFonts w:ascii="Times New Roman" w:hAnsi="Times New Roman" w:cs="Times New Roman"/>
                <w:sz w:val="18"/>
                <w:szCs w:val="18"/>
                <w:lang w:val="sr-Cyrl-CS"/>
              </w:rPr>
              <w:lastRenderedPageBreak/>
              <w:t>sound technical judgement;</w:t>
            </w:r>
          </w:p>
          <w:p w14:paraId="030DA127" w14:textId="77777777" w:rsidR="005B77AE" w:rsidRPr="00487209" w:rsidRDefault="005B77AE" w:rsidP="005B77AE">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(b)  detailed knowledge of the regulatory provisions and other requirements in force in the Member States where it is designated, concerning product areas for which it is to be designated;</w:t>
            </w:r>
          </w:p>
          <w:p w14:paraId="3CEBF6A9" w14:textId="77777777" w:rsidR="005B77AE" w:rsidRPr="00487209" w:rsidRDefault="005B77AE" w:rsidP="005B77AE">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(c)  general understanding of construction practice and detailed technical knowledge, concerning product areas for which it is to be designated;</w:t>
            </w:r>
          </w:p>
          <w:p w14:paraId="436292A7" w14:textId="77777777" w:rsidR="005B77AE" w:rsidRPr="00487209" w:rsidRDefault="005B77AE" w:rsidP="005B77AE">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(d)  detailed knowledge of specific risks involved and the technical aspects of the construction process;</w:t>
            </w:r>
          </w:p>
          <w:p w14:paraId="37A0F8AB" w14:textId="77777777" w:rsidR="005B77AE" w:rsidRPr="00487209" w:rsidRDefault="005B77AE" w:rsidP="005B77AE">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(e)  detailed knowledge of the existing harmonised standards and test methods within the </w:t>
            </w:r>
            <w:r w:rsidRPr="00487209">
              <w:rPr>
                <w:rFonts w:ascii="Times New Roman" w:hAnsi="Times New Roman" w:cs="Times New Roman"/>
                <w:sz w:val="18"/>
                <w:szCs w:val="18"/>
                <w:lang w:val="sr-Cyrl-CS"/>
              </w:rPr>
              <w:lastRenderedPageBreak/>
              <w:t>product areas for which it is to be designated;</w:t>
            </w:r>
          </w:p>
          <w:p w14:paraId="35709675" w14:textId="77777777" w:rsidR="005B77AE" w:rsidRPr="00487209" w:rsidRDefault="005B77AE" w:rsidP="005B77AE">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(f)  appropriate linguistic skills.</w:t>
            </w:r>
          </w:p>
          <w:p w14:paraId="3B48D448" w14:textId="77777777" w:rsidR="005B77AE" w:rsidRPr="00487209" w:rsidRDefault="005B77AE" w:rsidP="005B77AE">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The remuneration of the TAB personnel shall not depend on the number of the assessments carried out or on the results of such assessments.</w:t>
            </w:r>
          </w:p>
        </w:tc>
        <w:tc>
          <w:tcPr>
            <w:tcW w:w="429" w:type="pct"/>
            <w:shd w:val="clear" w:color="auto" w:fill="auto"/>
            <w:vAlign w:val="center"/>
          </w:tcPr>
          <w:p w14:paraId="1F24E3F4" w14:textId="37D3AE7A" w:rsidR="005B77AE" w:rsidRPr="00487209" w:rsidRDefault="00F122D1"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01</w:t>
            </w:r>
          </w:p>
          <w:p w14:paraId="6367ECAC" w14:textId="76CAA194" w:rsidR="00F122D1" w:rsidRPr="00487209" w:rsidRDefault="00F122D1"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34.3.</w:t>
            </w:r>
          </w:p>
        </w:tc>
        <w:tc>
          <w:tcPr>
            <w:tcW w:w="776" w:type="pct"/>
            <w:shd w:val="clear" w:color="auto" w:fill="auto"/>
            <w:vAlign w:val="center"/>
          </w:tcPr>
          <w:p w14:paraId="49DA29B0" w14:textId="780E540E" w:rsidR="00F122D1" w:rsidRPr="00487209" w:rsidRDefault="00F122D1" w:rsidP="00F122D1">
            <w:pPr>
              <w:spacing w:before="120"/>
              <w:ind w:right="-23"/>
              <w:rPr>
                <w:rFonts w:ascii="Times New Roman" w:hAnsi="Times New Roman" w:cs="Times New Roman"/>
                <w:sz w:val="18"/>
                <w:szCs w:val="18"/>
              </w:rPr>
            </w:pPr>
            <w:r w:rsidRPr="00487209">
              <w:rPr>
                <w:rFonts w:ascii="Times New Roman" w:hAnsi="Times New Roman" w:cs="Times New Roman"/>
                <w:sz w:val="18"/>
                <w:szCs w:val="18"/>
              </w:rPr>
              <w:t>Захтеве за именовање тела за техничко оцењивање утврђује министар надлеж</w:t>
            </w:r>
            <w:r w:rsidR="002C03A2">
              <w:rPr>
                <w:rFonts w:ascii="Times New Roman" w:hAnsi="Times New Roman" w:cs="Times New Roman"/>
                <w:sz w:val="18"/>
                <w:szCs w:val="18"/>
                <w:lang w:val="sr-Cyrl-CS"/>
              </w:rPr>
              <w:t>а</w:t>
            </w:r>
            <w:r w:rsidRPr="00487209">
              <w:rPr>
                <w:rFonts w:ascii="Times New Roman" w:hAnsi="Times New Roman" w:cs="Times New Roman"/>
                <w:sz w:val="18"/>
                <w:szCs w:val="18"/>
              </w:rPr>
              <w:t>н за послове грађевинарства.</w:t>
            </w:r>
          </w:p>
          <w:p w14:paraId="24EF6C36" w14:textId="2C00B1A9" w:rsidR="005B77AE" w:rsidRPr="00487209" w:rsidRDefault="005B77AE" w:rsidP="005B77AE">
            <w:pPr>
              <w:pStyle w:val="Style30"/>
              <w:tabs>
                <w:tab w:val="left" w:pos="322"/>
              </w:tabs>
              <w:spacing w:line="240" w:lineRule="auto"/>
              <w:ind w:firstLine="0"/>
              <w:jc w:val="both"/>
              <w:rPr>
                <w:rFonts w:ascii="Times New Roman" w:hAnsi="Times New Roman"/>
                <w:sz w:val="18"/>
                <w:szCs w:val="18"/>
                <w:lang w:val="sr-Cyrl-CS"/>
              </w:rPr>
            </w:pPr>
          </w:p>
        </w:tc>
        <w:tc>
          <w:tcPr>
            <w:tcW w:w="454" w:type="pct"/>
            <w:vMerge w:val="restart"/>
            <w:shd w:val="clear" w:color="auto" w:fill="auto"/>
            <w:vAlign w:val="center"/>
          </w:tcPr>
          <w:p w14:paraId="38A605FE" w14:textId="4AD36CC5" w:rsidR="005B77AE" w:rsidRPr="00487209" w:rsidRDefault="005B77AE" w:rsidP="005B77AE">
            <w:pPr>
              <w:pStyle w:val="Style30"/>
              <w:tabs>
                <w:tab w:val="left" w:pos="322"/>
              </w:tabs>
              <w:spacing w:line="240" w:lineRule="auto"/>
              <w:ind w:firstLine="0"/>
              <w:jc w:val="both"/>
              <w:rPr>
                <w:rFonts w:ascii="Times New Roman" w:hAnsi="Times New Roman"/>
                <w:sz w:val="18"/>
                <w:szCs w:val="18"/>
                <w:lang w:val="sr-Cyrl-CS"/>
              </w:rPr>
            </w:pPr>
          </w:p>
        </w:tc>
        <w:tc>
          <w:tcPr>
            <w:tcW w:w="458" w:type="pct"/>
            <w:shd w:val="clear" w:color="auto" w:fill="auto"/>
            <w:vAlign w:val="center"/>
          </w:tcPr>
          <w:p w14:paraId="5440A755" w14:textId="4F53CD9D"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627A3EE4" w14:textId="7BBA2913" w:rsidR="005B77AE" w:rsidRPr="00C713FE" w:rsidRDefault="005B77AE" w:rsidP="005B77AE">
            <w:pPr>
              <w:spacing w:before="120" w:after="120"/>
              <w:ind w:firstLine="21"/>
              <w:jc w:val="both"/>
              <w:rPr>
                <w:rFonts w:ascii="Times New Roman" w:hAnsi="Times New Roman" w:cs="Times New Roman"/>
                <w:sz w:val="18"/>
                <w:szCs w:val="18"/>
                <w:lang w:val="sr-Cyrl-RS"/>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а закона о грађевинским производима која се може упоредити са Т</w:t>
            </w:r>
            <w:r w:rsidR="001625B5">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IV</w:t>
            </w:r>
            <w:r w:rsidRPr="00487209">
              <w:rPr>
                <w:rFonts w:ascii="Times New Roman" w:hAnsi="Times New Roman" w:cs="Times New Roman"/>
                <w:sz w:val="18"/>
                <w:szCs w:val="18"/>
                <w:lang w:val="ru-RU"/>
              </w:rPr>
              <w:t xml:space="preserve">  Уредбе 305/2011 (ЕУ). Одредба ће бити пренета подзаконским актом предвиђеним</w:t>
            </w:r>
            <w:r w:rsidRPr="00487209">
              <w:rPr>
                <w:rFonts w:ascii="Times New Roman" w:hAnsi="Times New Roman" w:cs="Times New Roman"/>
                <w:sz w:val="18"/>
                <w:szCs w:val="18"/>
              </w:rPr>
              <w:t xml:space="preserve"> </w:t>
            </w:r>
            <w:r w:rsidR="00C713FE">
              <w:rPr>
                <w:rFonts w:ascii="Times New Roman" w:hAnsi="Times New Roman" w:cs="Times New Roman"/>
                <w:sz w:val="18"/>
                <w:szCs w:val="18"/>
                <w:lang w:val="sr-Cyrl-RS"/>
              </w:rPr>
              <w:t xml:space="preserve">овим </w:t>
            </w:r>
            <w:r w:rsidR="00CB620D">
              <w:rPr>
                <w:rFonts w:ascii="Times New Roman" w:hAnsi="Times New Roman" w:cs="Times New Roman"/>
                <w:sz w:val="18"/>
                <w:szCs w:val="18"/>
                <w:lang w:val="ru-RU"/>
              </w:rPr>
              <w:t>з</w:t>
            </w:r>
            <w:r w:rsidR="00C713FE">
              <w:rPr>
                <w:rFonts w:ascii="Times New Roman" w:hAnsi="Times New Roman" w:cs="Times New Roman"/>
                <w:sz w:val="18"/>
                <w:szCs w:val="18"/>
                <w:lang w:val="ru-RU"/>
              </w:rPr>
              <w:t>аконом.</w:t>
            </w:r>
          </w:p>
          <w:p w14:paraId="4F603B59"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9D1AC82"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712F8F98" w14:textId="77777777" w:rsidTr="007D5144">
        <w:trPr>
          <w:trHeight w:val="1970"/>
          <w:jc w:val="center"/>
        </w:trPr>
        <w:tc>
          <w:tcPr>
            <w:tcW w:w="435" w:type="pct"/>
            <w:shd w:val="clear" w:color="auto" w:fill="auto"/>
            <w:vAlign w:val="center"/>
          </w:tcPr>
          <w:p w14:paraId="48B7A2F5"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2.</w:t>
            </w:r>
          </w:p>
          <w:p w14:paraId="47F37B8D"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Setting</w:t>
            </w:r>
          </w:p>
          <w:p w14:paraId="62D7B54D"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Technical</w:t>
            </w:r>
          </w:p>
          <w:p w14:paraId="08532617"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Criteria</w:t>
            </w:r>
          </w:p>
          <w:p w14:paraId="78E8EF08" w14:textId="77777777" w:rsidR="00F122D1" w:rsidRPr="00487209" w:rsidRDefault="00F122D1" w:rsidP="00F122D1">
            <w:pPr>
              <w:spacing w:before="120" w:after="120"/>
              <w:jc w:val="center"/>
              <w:rPr>
                <w:rFonts w:ascii="Times New Roman" w:hAnsi="Times New Roman" w:cs="Times New Roman"/>
                <w:sz w:val="18"/>
                <w:szCs w:val="18"/>
              </w:rPr>
            </w:pPr>
          </w:p>
        </w:tc>
        <w:tc>
          <w:tcPr>
            <w:tcW w:w="756" w:type="pct"/>
            <w:shd w:val="clear" w:color="auto" w:fill="auto"/>
            <w:vAlign w:val="center"/>
          </w:tcPr>
          <w:p w14:paraId="1B270C55" w14:textId="77777777" w:rsidR="00F122D1" w:rsidRPr="00487209" w:rsidRDefault="00F122D1" w:rsidP="00F122D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Transform the outcome of the risk analysis into technical criteria for evaluating behaviour and performance of the construction products regarding the fulfilment of applicable national requirements;</w:t>
            </w:r>
          </w:p>
          <w:p w14:paraId="4410C742" w14:textId="77777777" w:rsidR="00F122D1" w:rsidRPr="00487209" w:rsidRDefault="00F122D1" w:rsidP="00F122D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provide the technical information needed by those participating in the building process as potential users of the construction products (manufacturers, designers, contractors, installers).</w:t>
            </w:r>
          </w:p>
        </w:tc>
        <w:tc>
          <w:tcPr>
            <w:tcW w:w="613" w:type="pct"/>
            <w:vMerge/>
            <w:shd w:val="clear" w:color="auto" w:fill="auto"/>
            <w:vAlign w:val="center"/>
          </w:tcPr>
          <w:p w14:paraId="52B91986" w14:textId="77777777" w:rsidR="00F122D1" w:rsidRPr="00487209" w:rsidRDefault="00F122D1" w:rsidP="00F122D1">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090984BE" w14:textId="10ADC6D3" w:rsidR="00F122D1" w:rsidRPr="00487209" w:rsidRDefault="00F122D1" w:rsidP="00F122D1">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6EBCD6EA" w14:textId="4D3610C4" w:rsidR="00F122D1" w:rsidRPr="00487209" w:rsidRDefault="00F122D1" w:rsidP="00F122D1">
            <w:pPr>
              <w:spacing w:before="120" w:after="120"/>
              <w:ind w:firstLine="5"/>
              <w:jc w:val="center"/>
              <w:rPr>
                <w:rFonts w:ascii="Times New Roman" w:hAnsi="Times New Roman" w:cs="Times New Roman"/>
                <w:sz w:val="18"/>
                <w:szCs w:val="18"/>
              </w:rPr>
            </w:pPr>
            <w:r w:rsidRPr="00487209">
              <w:rPr>
                <w:rFonts w:ascii="Times New Roman" w:hAnsi="Times New Roman" w:cs="Times New Roman"/>
                <w:sz w:val="18"/>
                <w:szCs w:val="18"/>
                <w:lang w:val="sr-Cyrl-CS"/>
              </w:rPr>
              <w:t>34.3.</w:t>
            </w:r>
          </w:p>
        </w:tc>
        <w:tc>
          <w:tcPr>
            <w:tcW w:w="776" w:type="pct"/>
            <w:shd w:val="clear" w:color="auto" w:fill="auto"/>
            <w:vAlign w:val="center"/>
          </w:tcPr>
          <w:p w14:paraId="31BD2172" w14:textId="5088792D" w:rsidR="00F122D1" w:rsidRPr="00487209" w:rsidRDefault="002C03A2" w:rsidP="00F122D1">
            <w:pPr>
              <w:pStyle w:val="Style30"/>
              <w:tabs>
                <w:tab w:val="left" w:pos="322"/>
              </w:tabs>
              <w:spacing w:line="240" w:lineRule="auto"/>
              <w:ind w:firstLine="0"/>
              <w:jc w:val="both"/>
              <w:rPr>
                <w:rFonts w:ascii="Times New Roman" w:hAnsi="Times New Roman"/>
                <w:sz w:val="18"/>
                <w:szCs w:val="18"/>
                <w:lang w:val="sr-Cyrl-CS"/>
              </w:rPr>
            </w:pPr>
            <w:r w:rsidRPr="002C03A2">
              <w:rPr>
                <w:rFonts w:ascii="Times New Roman" w:eastAsia="Calibri" w:hAnsi="Times New Roman"/>
                <w:sz w:val="18"/>
                <w:szCs w:val="18"/>
                <w:lang w:val="en-US" w:eastAsia="en-US"/>
              </w:rPr>
              <w:t>Захтеве за именовање тела за техничко оцењивање утврђује министар надлежан за послове грађевинарства.</w:t>
            </w:r>
          </w:p>
        </w:tc>
        <w:tc>
          <w:tcPr>
            <w:tcW w:w="454" w:type="pct"/>
            <w:vMerge/>
            <w:shd w:val="clear" w:color="auto" w:fill="auto"/>
            <w:vAlign w:val="center"/>
          </w:tcPr>
          <w:p w14:paraId="3FB8EB34" w14:textId="77777777" w:rsidR="00F122D1" w:rsidRPr="00487209" w:rsidRDefault="00F122D1" w:rsidP="00F122D1">
            <w:pPr>
              <w:pStyle w:val="Style30"/>
              <w:tabs>
                <w:tab w:val="left" w:pos="322"/>
              </w:tabs>
              <w:spacing w:line="240" w:lineRule="auto"/>
              <w:ind w:firstLine="0"/>
              <w:jc w:val="both"/>
              <w:rPr>
                <w:rFonts w:ascii="Times New Roman" w:hAnsi="Times New Roman"/>
                <w:sz w:val="18"/>
                <w:szCs w:val="18"/>
                <w:lang w:val="sr-Cyrl-CS"/>
              </w:rPr>
            </w:pPr>
          </w:p>
        </w:tc>
        <w:tc>
          <w:tcPr>
            <w:tcW w:w="458" w:type="pct"/>
            <w:shd w:val="clear" w:color="auto" w:fill="auto"/>
            <w:vAlign w:val="center"/>
          </w:tcPr>
          <w:p w14:paraId="34240D19" w14:textId="69BCE564" w:rsidR="00F122D1" w:rsidRPr="00487209" w:rsidRDefault="00F122D1" w:rsidP="00F122D1">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79763222" w14:textId="31890582" w:rsidR="00F122D1" w:rsidRPr="00C713FE" w:rsidRDefault="00F122D1" w:rsidP="00F122D1">
            <w:pPr>
              <w:spacing w:before="120" w:after="120"/>
              <w:ind w:firstLine="21"/>
              <w:jc w:val="both"/>
              <w:rPr>
                <w:rFonts w:ascii="Times New Roman" w:hAnsi="Times New Roman" w:cs="Times New Roman"/>
                <w:sz w:val="18"/>
                <w:szCs w:val="18"/>
                <w:lang w:val="sr-Cyrl-RS"/>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1625B5" w:rsidRPr="00487209">
              <w:rPr>
                <w:rFonts w:ascii="Times New Roman" w:hAnsi="Times New Roman" w:cs="Times New Roman"/>
                <w:sz w:val="18"/>
                <w:szCs w:val="18"/>
                <w:lang w:val="ru-RU"/>
              </w:rPr>
              <w:t>Т</w:t>
            </w:r>
            <w:r w:rsidR="001625B5">
              <w:rPr>
                <w:rFonts w:ascii="Times New Roman" w:hAnsi="Times New Roman" w:cs="Times New Roman"/>
                <w:sz w:val="18"/>
                <w:szCs w:val="18"/>
                <w:lang w:val="ru-RU"/>
              </w:rPr>
              <w:t>ачком</w:t>
            </w:r>
            <w:r w:rsidRPr="00487209">
              <w:rPr>
                <w:rFonts w:ascii="Times New Roman" w:hAnsi="Times New Roman" w:cs="Times New Roman"/>
                <w:sz w:val="18"/>
                <w:szCs w:val="18"/>
                <w:lang w:val="ru-RU"/>
              </w:rPr>
              <w:t xml:space="preserve"> 2</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IV</w:t>
            </w:r>
            <w:r w:rsidRPr="00487209">
              <w:rPr>
                <w:rFonts w:ascii="Times New Roman" w:hAnsi="Times New Roman" w:cs="Times New Roman"/>
                <w:sz w:val="18"/>
                <w:szCs w:val="18"/>
                <w:lang w:val="ru-RU"/>
              </w:rPr>
              <w:t xml:space="preserve">  Уредбе 305/2011 (ЕУ). Одредба ће бити пренета подзаконским актом предвиђеним</w:t>
            </w:r>
            <w:r w:rsidRPr="00487209">
              <w:rPr>
                <w:rFonts w:ascii="Times New Roman" w:hAnsi="Times New Roman" w:cs="Times New Roman"/>
                <w:sz w:val="18"/>
                <w:szCs w:val="18"/>
              </w:rPr>
              <w:t xml:space="preserve"> </w:t>
            </w:r>
            <w:r w:rsidR="00C713FE">
              <w:rPr>
                <w:rFonts w:ascii="Times New Roman" w:hAnsi="Times New Roman" w:cs="Times New Roman"/>
                <w:sz w:val="18"/>
                <w:szCs w:val="18"/>
                <w:lang w:val="sr-Cyrl-RS"/>
              </w:rPr>
              <w:t xml:space="preserve">овим </w:t>
            </w:r>
            <w:r w:rsidR="00CB620D">
              <w:rPr>
                <w:rFonts w:ascii="Times New Roman" w:hAnsi="Times New Roman" w:cs="Times New Roman"/>
                <w:sz w:val="18"/>
                <w:szCs w:val="18"/>
                <w:lang w:val="ru-RU"/>
              </w:rPr>
              <w:t>з</w:t>
            </w:r>
            <w:r w:rsidRPr="00487209">
              <w:rPr>
                <w:rFonts w:ascii="Times New Roman" w:hAnsi="Times New Roman" w:cs="Times New Roman"/>
                <w:sz w:val="18"/>
                <w:szCs w:val="18"/>
                <w:lang w:val="ru-RU"/>
              </w:rPr>
              <w:t>аконом</w:t>
            </w:r>
            <w:r w:rsidR="00C713FE">
              <w:rPr>
                <w:rFonts w:ascii="Times New Roman" w:hAnsi="Times New Roman" w:cs="Times New Roman"/>
                <w:sz w:val="18"/>
                <w:szCs w:val="18"/>
                <w:lang w:val="sr-Cyrl-RS"/>
              </w:rPr>
              <w:t>.</w:t>
            </w:r>
          </w:p>
          <w:p w14:paraId="66173E70" w14:textId="77777777" w:rsidR="00F122D1" w:rsidRPr="00487209" w:rsidRDefault="00F122D1" w:rsidP="00F122D1">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24C33E08" w14:textId="77777777" w:rsidR="00F122D1" w:rsidRPr="00487209" w:rsidRDefault="00F122D1" w:rsidP="00F122D1">
            <w:pPr>
              <w:spacing w:before="120" w:after="120"/>
              <w:jc w:val="center"/>
              <w:rPr>
                <w:rFonts w:ascii="Times New Roman" w:hAnsi="Times New Roman" w:cs="Times New Roman"/>
                <w:sz w:val="18"/>
                <w:szCs w:val="18"/>
                <w:lang w:val="sr-Cyrl-CS"/>
              </w:rPr>
            </w:pPr>
          </w:p>
        </w:tc>
      </w:tr>
      <w:tr w:rsidR="00337554" w:rsidRPr="00487209" w14:paraId="5E1EBD59" w14:textId="77777777" w:rsidTr="007D5144">
        <w:trPr>
          <w:trHeight w:val="1970"/>
          <w:jc w:val="center"/>
        </w:trPr>
        <w:tc>
          <w:tcPr>
            <w:tcW w:w="435" w:type="pct"/>
            <w:shd w:val="clear" w:color="auto" w:fill="auto"/>
            <w:vAlign w:val="center"/>
          </w:tcPr>
          <w:p w14:paraId="48A4C07D"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shd w:val="clear" w:color="auto" w:fill="D9D9D9" w:themeFill="background1" w:themeFillShade="D9"/>
              </w:rPr>
              <w:t>3.</w:t>
            </w:r>
          </w:p>
          <w:p w14:paraId="7379686E"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Setting</w:t>
            </w:r>
          </w:p>
          <w:p w14:paraId="13A828D1"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Assessment</w:t>
            </w:r>
          </w:p>
          <w:p w14:paraId="3532A049"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Methods</w:t>
            </w:r>
          </w:p>
          <w:p w14:paraId="723BD97F" w14:textId="77777777" w:rsidR="00F122D1" w:rsidRPr="00487209" w:rsidRDefault="00F122D1" w:rsidP="00F122D1">
            <w:pPr>
              <w:spacing w:before="120" w:after="120"/>
              <w:jc w:val="center"/>
              <w:rPr>
                <w:rFonts w:ascii="Times New Roman" w:hAnsi="Times New Roman" w:cs="Times New Roman"/>
                <w:sz w:val="18"/>
                <w:szCs w:val="18"/>
              </w:rPr>
            </w:pPr>
          </w:p>
        </w:tc>
        <w:tc>
          <w:tcPr>
            <w:tcW w:w="756" w:type="pct"/>
            <w:shd w:val="clear" w:color="auto" w:fill="auto"/>
            <w:vAlign w:val="center"/>
          </w:tcPr>
          <w:p w14:paraId="7D13DA30" w14:textId="77777777" w:rsidR="00F122D1" w:rsidRPr="00487209" w:rsidRDefault="00F122D1" w:rsidP="00F122D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Design and validate appropriate methods (tests or calculations) to assess performance for essential characteristics of construction products, taking into account the current state of the article.</w:t>
            </w:r>
          </w:p>
        </w:tc>
        <w:tc>
          <w:tcPr>
            <w:tcW w:w="613" w:type="pct"/>
            <w:vMerge/>
            <w:shd w:val="clear" w:color="auto" w:fill="auto"/>
            <w:vAlign w:val="center"/>
          </w:tcPr>
          <w:p w14:paraId="7DA669C8" w14:textId="77777777" w:rsidR="00F122D1" w:rsidRPr="00487209" w:rsidRDefault="00F122D1" w:rsidP="00F122D1">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4AE4EE6B" w14:textId="77777777" w:rsidR="00F122D1" w:rsidRPr="00487209" w:rsidRDefault="00F122D1" w:rsidP="00F122D1">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67FFA39F" w14:textId="4B9B53FD" w:rsidR="00F122D1" w:rsidRPr="00487209" w:rsidRDefault="00F122D1" w:rsidP="00F122D1">
            <w:pPr>
              <w:spacing w:before="120" w:after="120"/>
              <w:ind w:firstLine="5"/>
              <w:jc w:val="center"/>
              <w:rPr>
                <w:rFonts w:ascii="Times New Roman" w:hAnsi="Times New Roman" w:cs="Times New Roman"/>
                <w:sz w:val="18"/>
                <w:szCs w:val="18"/>
              </w:rPr>
            </w:pPr>
            <w:r w:rsidRPr="00487209">
              <w:rPr>
                <w:rFonts w:ascii="Times New Roman" w:hAnsi="Times New Roman" w:cs="Times New Roman"/>
                <w:sz w:val="18"/>
                <w:szCs w:val="18"/>
                <w:lang w:val="sr-Cyrl-CS"/>
              </w:rPr>
              <w:t>34.3.</w:t>
            </w:r>
          </w:p>
        </w:tc>
        <w:tc>
          <w:tcPr>
            <w:tcW w:w="776" w:type="pct"/>
            <w:shd w:val="clear" w:color="auto" w:fill="auto"/>
            <w:vAlign w:val="center"/>
          </w:tcPr>
          <w:p w14:paraId="20F1F7F0" w14:textId="77777777" w:rsidR="00F122D1" w:rsidRPr="00487209" w:rsidRDefault="00F122D1" w:rsidP="00F122D1">
            <w:pPr>
              <w:spacing w:before="120"/>
              <w:ind w:right="-23"/>
              <w:rPr>
                <w:rFonts w:ascii="Times New Roman" w:hAnsi="Times New Roman" w:cs="Times New Roman"/>
                <w:sz w:val="18"/>
                <w:szCs w:val="18"/>
              </w:rPr>
            </w:pPr>
            <w:r w:rsidRPr="00487209">
              <w:rPr>
                <w:rFonts w:ascii="Times New Roman" w:hAnsi="Times New Roman" w:cs="Times New Roman"/>
                <w:sz w:val="18"/>
                <w:szCs w:val="18"/>
              </w:rPr>
              <w:t>Захтеве за именовање тела за техничко оцењивање утврђује министарство надлежно за послове грађевинарства.</w:t>
            </w:r>
          </w:p>
          <w:p w14:paraId="5534FA67" w14:textId="5CF3E332" w:rsidR="00F122D1" w:rsidRPr="00487209" w:rsidRDefault="00F122D1" w:rsidP="00F122D1">
            <w:pPr>
              <w:pStyle w:val="Style30"/>
              <w:tabs>
                <w:tab w:val="left" w:pos="322"/>
              </w:tabs>
              <w:spacing w:line="240" w:lineRule="auto"/>
              <w:ind w:firstLine="0"/>
              <w:jc w:val="both"/>
              <w:rPr>
                <w:rFonts w:ascii="Times New Roman" w:hAnsi="Times New Roman"/>
                <w:sz w:val="18"/>
                <w:szCs w:val="18"/>
                <w:lang w:val="sr-Cyrl-CS"/>
              </w:rPr>
            </w:pPr>
          </w:p>
        </w:tc>
        <w:tc>
          <w:tcPr>
            <w:tcW w:w="454" w:type="pct"/>
            <w:vMerge/>
            <w:shd w:val="clear" w:color="auto" w:fill="auto"/>
            <w:vAlign w:val="center"/>
          </w:tcPr>
          <w:p w14:paraId="6C7733FB" w14:textId="77777777" w:rsidR="00F122D1" w:rsidRPr="00487209" w:rsidRDefault="00F122D1" w:rsidP="00F122D1">
            <w:pPr>
              <w:pStyle w:val="Style30"/>
              <w:tabs>
                <w:tab w:val="left" w:pos="322"/>
              </w:tabs>
              <w:spacing w:line="240" w:lineRule="auto"/>
              <w:ind w:firstLine="0"/>
              <w:jc w:val="both"/>
              <w:rPr>
                <w:rFonts w:ascii="Times New Roman" w:hAnsi="Times New Roman"/>
                <w:sz w:val="18"/>
                <w:szCs w:val="18"/>
                <w:lang w:val="sr-Cyrl-CS"/>
              </w:rPr>
            </w:pPr>
          </w:p>
        </w:tc>
        <w:tc>
          <w:tcPr>
            <w:tcW w:w="458" w:type="pct"/>
            <w:shd w:val="clear" w:color="auto" w:fill="auto"/>
            <w:vAlign w:val="center"/>
          </w:tcPr>
          <w:p w14:paraId="341219F9" w14:textId="7AD502B1" w:rsidR="00F122D1" w:rsidRPr="00487209" w:rsidRDefault="00F122D1" w:rsidP="00F122D1">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6B6D916B" w14:textId="04B687D0" w:rsidR="00F122D1" w:rsidRPr="00487209" w:rsidRDefault="00F122D1" w:rsidP="00F122D1">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1625B5" w:rsidRPr="00487209">
              <w:rPr>
                <w:rFonts w:ascii="Times New Roman" w:hAnsi="Times New Roman" w:cs="Times New Roman"/>
                <w:sz w:val="18"/>
                <w:szCs w:val="18"/>
                <w:lang w:val="ru-RU"/>
              </w:rPr>
              <w:t>Т</w:t>
            </w:r>
            <w:r w:rsidR="001625B5">
              <w:rPr>
                <w:rFonts w:ascii="Times New Roman" w:hAnsi="Times New Roman" w:cs="Times New Roman"/>
                <w:sz w:val="18"/>
                <w:szCs w:val="18"/>
                <w:lang w:val="ru-RU"/>
              </w:rPr>
              <w:t>ачком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lang w:val="sr-Cyrl-CS"/>
              </w:rPr>
              <w:t>3</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IV</w:t>
            </w:r>
            <w:r w:rsidRPr="00487209">
              <w:rPr>
                <w:rFonts w:ascii="Times New Roman" w:hAnsi="Times New Roman" w:cs="Times New Roman"/>
                <w:sz w:val="18"/>
                <w:szCs w:val="18"/>
                <w:lang w:val="ru-RU"/>
              </w:rPr>
              <w:t xml:space="preserve">  Уредбе 305/2011 (ЕУ). Одредба ће бити пренета </w:t>
            </w:r>
            <w:r w:rsidRPr="00487209">
              <w:rPr>
                <w:rFonts w:ascii="Times New Roman" w:hAnsi="Times New Roman" w:cs="Times New Roman"/>
                <w:sz w:val="18"/>
                <w:szCs w:val="18"/>
                <w:lang w:val="ru-RU"/>
              </w:rPr>
              <w:lastRenderedPageBreak/>
              <w:t>подзаконским актом предвиђеним</w:t>
            </w:r>
            <w:r w:rsidRPr="00487209">
              <w:rPr>
                <w:rFonts w:ascii="Times New Roman" w:hAnsi="Times New Roman" w:cs="Times New Roman"/>
                <w:sz w:val="18"/>
                <w:szCs w:val="18"/>
              </w:rPr>
              <w:t xml:space="preserve"> </w:t>
            </w:r>
            <w:r w:rsidR="00C713FE">
              <w:rPr>
                <w:rFonts w:ascii="Times New Roman" w:hAnsi="Times New Roman" w:cs="Times New Roman"/>
                <w:sz w:val="18"/>
                <w:szCs w:val="18"/>
                <w:lang w:val="sr-Cyrl-RS"/>
              </w:rPr>
              <w:t xml:space="preserve">овим </w:t>
            </w:r>
            <w:r w:rsidR="00CB620D">
              <w:rPr>
                <w:rFonts w:ascii="Times New Roman" w:hAnsi="Times New Roman" w:cs="Times New Roman"/>
                <w:sz w:val="18"/>
                <w:szCs w:val="18"/>
                <w:lang w:val="ru-RU"/>
              </w:rPr>
              <w:t>з</w:t>
            </w:r>
            <w:r w:rsidRPr="00487209">
              <w:rPr>
                <w:rFonts w:ascii="Times New Roman" w:hAnsi="Times New Roman" w:cs="Times New Roman"/>
                <w:sz w:val="18"/>
                <w:szCs w:val="18"/>
                <w:lang w:val="ru-RU"/>
              </w:rPr>
              <w:t xml:space="preserve">аконом. </w:t>
            </w:r>
          </w:p>
          <w:p w14:paraId="357B2D9D" w14:textId="77777777" w:rsidR="00F122D1" w:rsidRPr="00487209" w:rsidRDefault="00F122D1" w:rsidP="00F122D1">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191B6CD" w14:textId="77777777" w:rsidR="00F122D1" w:rsidRPr="00487209" w:rsidRDefault="00F122D1" w:rsidP="00F122D1">
            <w:pPr>
              <w:spacing w:before="120" w:after="120"/>
              <w:jc w:val="center"/>
              <w:rPr>
                <w:rFonts w:ascii="Times New Roman" w:hAnsi="Times New Roman" w:cs="Times New Roman"/>
                <w:sz w:val="18"/>
                <w:szCs w:val="18"/>
              </w:rPr>
            </w:pPr>
          </w:p>
        </w:tc>
      </w:tr>
      <w:tr w:rsidR="00337554" w:rsidRPr="00487209" w14:paraId="72B34145" w14:textId="77777777" w:rsidTr="007D5144">
        <w:trPr>
          <w:trHeight w:val="1970"/>
          <w:jc w:val="center"/>
        </w:trPr>
        <w:tc>
          <w:tcPr>
            <w:tcW w:w="435" w:type="pct"/>
            <w:shd w:val="clear" w:color="auto" w:fill="auto"/>
            <w:vAlign w:val="center"/>
          </w:tcPr>
          <w:p w14:paraId="5C52E83B"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4.</w:t>
            </w:r>
          </w:p>
          <w:p w14:paraId="73A404A9"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Determining</w:t>
            </w:r>
          </w:p>
          <w:p w14:paraId="7653B071"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The</w:t>
            </w:r>
          </w:p>
          <w:p w14:paraId="03A4D25F"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Specific</w:t>
            </w:r>
          </w:p>
          <w:p w14:paraId="6527289A"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Factory</w:t>
            </w:r>
          </w:p>
          <w:p w14:paraId="2A4D8E96"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Production</w:t>
            </w:r>
          </w:p>
          <w:p w14:paraId="7C63E6E2"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Control</w:t>
            </w:r>
          </w:p>
        </w:tc>
        <w:tc>
          <w:tcPr>
            <w:tcW w:w="756" w:type="pct"/>
            <w:shd w:val="clear" w:color="auto" w:fill="auto"/>
            <w:vAlign w:val="center"/>
          </w:tcPr>
          <w:p w14:paraId="1F9D5681" w14:textId="77777777" w:rsidR="00F122D1" w:rsidRPr="00487209" w:rsidRDefault="00F122D1" w:rsidP="00F122D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Understand and evaluate the manufacturing process of the specific product in order to identify appropriate measures ensuring product constancy through the given manufacturing process.</w:t>
            </w:r>
          </w:p>
        </w:tc>
        <w:tc>
          <w:tcPr>
            <w:tcW w:w="613" w:type="pct"/>
            <w:shd w:val="clear" w:color="auto" w:fill="auto"/>
            <w:vAlign w:val="center"/>
          </w:tcPr>
          <w:p w14:paraId="720C43A4" w14:textId="77777777" w:rsidR="00F122D1" w:rsidRPr="00487209" w:rsidRDefault="00F122D1" w:rsidP="00F122D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TAB shall have staff with appropriate knowledge of the relationship between the manufacturing processes and product characteristics related to factory production control.</w:t>
            </w:r>
          </w:p>
        </w:tc>
        <w:tc>
          <w:tcPr>
            <w:tcW w:w="429" w:type="pct"/>
            <w:shd w:val="clear" w:color="auto" w:fill="auto"/>
            <w:vAlign w:val="center"/>
          </w:tcPr>
          <w:p w14:paraId="6F555E8B" w14:textId="18D4BD5E" w:rsidR="00F122D1" w:rsidRPr="00487209" w:rsidRDefault="00F122D1" w:rsidP="00F122D1">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01</w:t>
            </w:r>
          </w:p>
          <w:p w14:paraId="65B63FEB" w14:textId="3918FA8D" w:rsidR="00F122D1" w:rsidRPr="00487209" w:rsidRDefault="00F122D1" w:rsidP="00F122D1">
            <w:pPr>
              <w:pStyle w:val="Style30"/>
              <w:tabs>
                <w:tab w:val="left" w:pos="322"/>
              </w:tabs>
              <w:spacing w:line="240" w:lineRule="auto"/>
              <w:ind w:firstLine="0"/>
              <w:jc w:val="center"/>
              <w:rPr>
                <w:rFonts w:ascii="Times New Roman" w:hAnsi="Times New Roman"/>
                <w:sz w:val="18"/>
                <w:szCs w:val="18"/>
              </w:rPr>
            </w:pPr>
            <w:r w:rsidRPr="00487209">
              <w:rPr>
                <w:rFonts w:ascii="Times New Roman" w:hAnsi="Times New Roman"/>
                <w:sz w:val="18"/>
                <w:szCs w:val="18"/>
                <w:lang w:val="sr-Cyrl-CS"/>
              </w:rPr>
              <w:t>34.3.</w:t>
            </w:r>
          </w:p>
        </w:tc>
        <w:tc>
          <w:tcPr>
            <w:tcW w:w="776" w:type="pct"/>
            <w:shd w:val="clear" w:color="auto" w:fill="auto"/>
            <w:vAlign w:val="center"/>
          </w:tcPr>
          <w:p w14:paraId="1BBF0020" w14:textId="0B34547C" w:rsidR="00F122D1" w:rsidRPr="00487209" w:rsidRDefault="002C03A2" w:rsidP="00F122D1">
            <w:pPr>
              <w:pStyle w:val="Style30"/>
              <w:tabs>
                <w:tab w:val="left" w:pos="322"/>
              </w:tabs>
              <w:spacing w:line="240" w:lineRule="auto"/>
              <w:ind w:firstLine="0"/>
              <w:jc w:val="both"/>
              <w:rPr>
                <w:rFonts w:ascii="Times New Roman" w:hAnsi="Times New Roman"/>
                <w:sz w:val="18"/>
                <w:szCs w:val="18"/>
                <w:lang w:val="sr-Cyrl-CS"/>
              </w:rPr>
            </w:pPr>
            <w:r w:rsidRPr="002C03A2">
              <w:rPr>
                <w:rFonts w:ascii="Times New Roman" w:eastAsia="Calibri" w:hAnsi="Times New Roman"/>
                <w:sz w:val="18"/>
                <w:szCs w:val="18"/>
                <w:lang w:val="en-US" w:eastAsia="en-US"/>
              </w:rPr>
              <w:t>Захтеве за именовање тела за техничко оцењивање утврђује министар надлежан за послове грађевинарства.</w:t>
            </w:r>
          </w:p>
        </w:tc>
        <w:tc>
          <w:tcPr>
            <w:tcW w:w="454" w:type="pct"/>
            <w:shd w:val="clear" w:color="auto" w:fill="auto"/>
            <w:vAlign w:val="center"/>
          </w:tcPr>
          <w:p w14:paraId="097498BB" w14:textId="5E41A346" w:rsidR="00F122D1" w:rsidRPr="00487209" w:rsidRDefault="00F122D1" w:rsidP="00F122D1">
            <w:pPr>
              <w:pStyle w:val="Style30"/>
              <w:tabs>
                <w:tab w:val="left" w:pos="322"/>
              </w:tabs>
              <w:spacing w:line="240" w:lineRule="auto"/>
              <w:ind w:firstLine="0"/>
              <w:jc w:val="both"/>
              <w:rPr>
                <w:rFonts w:ascii="Times New Roman" w:hAnsi="Times New Roman"/>
                <w:sz w:val="18"/>
                <w:szCs w:val="18"/>
                <w:lang w:val="sr-Cyrl-CS"/>
              </w:rPr>
            </w:pPr>
          </w:p>
        </w:tc>
        <w:tc>
          <w:tcPr>
            <w:tcW w:w="458" w:type="pct"/>
            <w:shd w:val="clear" w:color="auto" w:fill="auto"/>
            <w:vAlign w:val="center"/>
          </w:tcPr>
          <w:p w14:paraId="5913EDE3" w14:textId="3A7D64C3" w:rsidR="00F122D1" w:rsidRPr="00487209" w:rsidRDefault="00F122D1" w:rsidP="00F122D1">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6C9A00E4" w14:textId="766F4D16" w:rsidR="00F122D1" w:rsidRPr="00C713FE" w:rsidRDefault="00F122D1" w:rsidP="00C713FE">
            <w:pPr>
              <w:spacing w:before="120" w:after="120"/>
              <w:ind w:firstLine="21"/>
              <w:jc w:val="both"/>
              <w:rPr>
                <w:rFonts w:ascii="Times New Roman" w:hAnsi="Times New Roman" w:cs="Times New Roman"/>
                <w:sz w:val="18"/>
                <w:szCs w:val="18"/>
                <w:lang w:val="sr-Cyrl-RS"/>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4C27EB" w:rsidRPr="00487209">
              <w:rPr>
                <w:rFonts w:ascii="Times New Roman" w:hAnsi="Times New Roman" w:cs="Times New Roman"/>
                <w:sz w:val="18"/>
                <w:szCs w:val="18"/>
                <w:lang w:val="ru-RU"/>
              </w:rPr>
              <w:t>Т</w:t>
            </w:r>
            <w:r w:rsidR="004C27EB">
              <w:rPr>
                <w:rFonts w:ascii="Times New Roman" w:hAnsi="Times New Roman" w:cs="Times New Roman"/>
                <w:sz w:val="18"/>
                <w:szCs w:val="18"/>
                <w:lang w:val="ru-RU"/>
              </w:rPr>
              <w:t>ачком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lang w:val="sr-Cyrl-CS"/>
              </w:rPr>
              <w:t>4</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IV</w:t>
            </w:r>
            <w:r w:rsidRPr="00487209">
              <w:rPr>
                <w:rFonts w:ascii="Times New Roman" w:hAnsi="Times New Roman" w:cs="Times New Roman"/>
                <w:sz w:val="18"/>
                <w:szCs w:val="18"/>
                <w:lang w:val="ru-RU"/>
              </w:rPr>
              <w:t xml:space="preserve">  Уредбе 305/2011 (ЕУ). Одредба ће бити пренета подзаконским актом предвиђеним</w:t>
            </w:r>
            <w:r w:rsidRPr="00487209">
              <w:rPr>
                <w:rFonts w:ascii="Times New Roman" w:hAnsi="Times New Roman" w:cs="Times New Roman"/>
                <w:sz w:val="18"/>
                <w:szCs w:val="18"/>
              </w:rPr>
              <w:t xml:space="preserve"> </w:t>
            </w:r>
            <w:r w:rsidR="00C713FE">
              <w:rPr>
                <w:rFonts w:ascii="Times New Roman" w:hAnsi="Times New Roman" w:cs="Times New Roman"/>
                <w:sz w:val="18"/>
                <w:szCs w:val="18"/>
                <w:lang w:val="sr-Cyrl-RS"/>
              </w:rPr>
              <w:t xml:space="preserve">овим </w:t>
            </w:r>
            <w:r w:rsidR="00CB620D">
              <w:rPr>
                <w:rFonts w:ascii="Times New Roman" w:hAnsi="Times New Roman" w:cs="Times New Roman"/>
                <w:sz w:val="18"/>
                <w:szCs w:val="18"/>
                <w:lang w:val="ru-RU"/>
              </w:rPr>
              <w:t>з</w:t>
            </w:r>
            <w:r w:rsidRPr="00487209">
              <w:rPr>
                <w:rFonts w:ascii="Times New Roman" w:hAnsi="Times New Roman" w:cs="Times New Roman"/>
                <w:sz w:val="18"/>
                <w:szCs w:val="18"/>
                <w:lang w:val="ru-RU"/>
              </w:rPr>
              <w:t>аконом</w:t>
            </w:r>
            <w:r w:rsidR="00C713FE">
              <w:rPr>
                <w:rFonts w:ascii="Times New Roman" w:hAnsi="Times New Roman" w:cs="Times New Roman"/>
                <w:sz w:val="18"/>
                <w:szCs w:val="18"/>
                <w:lang w:val="sr-Cyrl-RS"/>
              </w:rPr>
              <w:t>.</w:t>
            </w:r>
          </w:p>
        </w:tc>
        <w:tc>
          <w:tcPr>
            <w:tcW w:w="480" w:type="pct"/>
            <w:shd w:val="clear" w:color="auto" w:fill="auto"/>
            <w:vAlign w:val="center"/>
          </w:tcPr>
          <w:p w14:paraId="6B212C74" w14:textId="77777777" w:rsidR="00F122D1" w:rsidRPr="00487209" w:rsidRDefault="00F122D1" w:rsidP="00F122D1">
            <w:pPr>
              <w:spacing w:before="120" w:after="120"/>
              <w:jc w:val="center"/>
              <w:rPr>
                <w:rFonts w:ascii="Times New Roman" w:hAnsi="Times New Roman" w:cs="Times New Roman"/>
                <w:sz w:val="18"/>
                <w:szCs w:val="18"/>
                <w:lang w:val="sr-Cyrl-CS"/>
              </w:rPr>
            </w:pPr>
          </w:p>
        </w:tc>
      </w:tr>
      <w:tr w:rsidR="00337554" w:rsidRPr="00487209" w14:paraId="30215A6B" w14:textId="77777777" w:rsidTr="007D5144">
        <w:trPr>
          <w:trHeight w:val="473"/>
          <w:jc w:val="center"/>
        </w:trPr>
        <w:tc>
          <w:tcPr>
            <w:tcW w:w="435" w:type="pct"/>
            <w:shd w:val="clear" w:color="auto" w:fill="auto"/>
            <w:vAlign w:val="center"/>
          </w:tcPr>
          <w:p w14:paraId="61DBD9E4"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5.</w:t>
            </w:r>
          </w:p>
          <w:p w14:paraId="4A42FA56"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Assessing</w:t>
            </w:r>
          </w:p>
          <w:p w14:paraId="068A8E69"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The</w:t>
            </w:r>
          </w:p>
          <w:p w14:paraId="0C860B78"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product</w:t>
            </w:r>
          </w:p>
        </w:tc>
        <w:tc>
          <w:tcPr>
            <w:tcW w:w="756" w:type="pct"/>
            <w:shd w:val="clear" w:color="auto" w:fill="auto"/>
            <w:vAlign w:val="center"/>
          </w:tcPr>
          <w:p w14:paraId="0D72AC59" w14:textId="77777777" w:rsidR="00F122D1" w:rsidRPr="00487209" w:rsidRDefault="00F122D1" w:rsidP="00F122D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 xml:space="preserve">Assess the performance for essential characteristics of construction products on the basis of harmonised methods against harmonised </w:t>
            </w:r>
            <w:r w:rsidRPr="00487209">
              <w:rPr>
                <w:rFonts w:ascii="Times New Roman" w:hAnsi="Times New Roman" w:cs="Times New Roman"/>
                <w:sz w:val="18"/>
                <w:szCs w:val="18"/>
              </w:rPr>
              <w:lastRenderedPageBreak/>
              <w:t>criteria.</w:t>
            </w:r>
          </w:p>
        </w:tc>
        <w:tc>
          <w:tcPr>
            <w:tcW w:w="613" w:type="pct"/>
            <w:shd w:val="clear" w:color="auto" w:fill="auto"/>
            <w:vAlign w:val="center"/>
          </w:tcPr>
          <w:p w14:paraId="034A9D30" w14:textId="77777777" w:rsidR="00F122D1" w:rsidRPr="00487209" w:rsidRDefault="00F122D1" w:rsidP="00F122D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lastRenderedPageBreak/>
              <w:t xml:space="preserve">In addition to the requirements listed in points 1, 2 and 3, a TAB shall have access to the necessary means and equipment for </w:t>
            </w:r>
            <w:r w:rsidRPr="00487209">
              <w:rPr>
                <w:rFonts w:ascii="Times New Roman" w:hAnsi="Times New Roman" w:cs="Times New Roman"/>
                <w:sz w:val="18"/>
                <w:szCs w:val="18"/>
              </w:rPr>
              <w:lastRenderedPageBreak/>
              <w:t>the assessment of the performance for essential characteristics of construction products within the product areas for which it is to be designated.</w:t>
            </w:r>
          </w:p>
        </w:tc>
        <w:tc>
          <w:tcPr>
            <w:tcW w:w="429" w:type="pct"/>
            <w:shd w:val="clear" w:color="auto" w:fill="auto"/>
            <w:vAlign w:val="center"/>
          </w:tcPr>
          <w:p w14:paraId="749C698B" w14:textId="2C23966F" w:rsidR="00F122D1" w:rsidRPr="00487209" w:rsidRDefault="00F122D1" w:rsidP="00F122D1">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01</w:t>
            </w:r>
          </w:p>
          <w:p w14:paraId="6CDAC91D" w14:textId="2F89F5A7" w:rsidR="00F122D1" w:rsidRPr="00487209" w:rsidRDefault="00F122D1" w:rsidP="00F122D1">
            <w:pPr>
              <w:spacing w:before="120" w:after="120"/>
              <w:ind w:firstLine="5"/>
              <w:jc w:val="center"/>
              <w:rPr>
                <w:rFonts w:ascii="Times New Roman" w:hAnsi="Times New Roman" w:cs="Times New Roman"/>
                <w:sz w:val="18"/>
                <w:szCs w:val="18"/>
              </w:rPr>
            </w:pPr>
            <w:r w:rsidRPr="00487209">
              <w:rPr>
                <w:rFonts w:ascii="Times New Roman" w:hAnsi="Times New Roman" w:cs="Times New Roman"/>
                <w:sz w:val="18"/>
                <w:szCs w:val="18"/>
                <w:lang w:val="sr-Cyrl-CS"/>
              </w:rPr>
              <w:t>34.3.</w:t>
            </w:r>
          </w:p>
        </w:tc>
        <w:tc>
          <w:tcPr>
            <w:tcW w:w="776" w:type="pct"/>
            <w:shd w:val="clear" w:color="auto" w:fill="auto"/>
            <w:vAlign w:val="center"/>
          </w:tcPr>
          <w:p w14:paraId="206260E3" w14:textId="7DFCA06C" w:rsidR="00F122D1" w:rsidRPr="00487209" w:rsidRDefault="002C03A2" w:rsidP="00F122D1">
            <w:pPr>
              <w:pStyle w:val="Style30"/>
              <w:tabs>
                <w:tab w:val="left" w:pos="322"/>
              </w:tabs>
              <w:spacing w:line="240" w:lineRule="auto"/>
              <w:ind w:firstLine="0"/>
              <w:jc w:val="both"/>
              <w:rPr>
                <w:rFonts w:ascii="Times New Roman" w:hAnsi="Times New Roman"/>
                <w:sz w:val="18"/>
                <w:szCs w:val="18"/>
                <w:lang w:val="sr-Cyrl-CS"/>
              </w:rPr>
            </w:pPr>
            <w:r w:rsidRPr="002C03A2">
              <w:rPr>
                <w:rFonts w:ascii="Times New Roman" w:hAnsi="Times New Roman"/>
                <w:sz w:val="18"/>
                <w:szCs w:val="18"/>
              </w:rPr>
              <w:t>Захтеве за именовање тела за техничко оцењивање утврђује министар надлежан за послове грађевинарства.</w:t>
            </w:r>
          </w:p>
        </w:tc>
        <w:tc>
          <w:tcPr>
            <w:tcW w:w="454" w:type="pct"/>
            <w:shd w:val="clear" w:color="auto" w:fill="auto"/>
            <w:vAlign w:val="center"/>
          </w:tcPr>
          <w:p w14:paraId="792BA7F9" w14:textId="04282FA8" w:rsidR="00F122D1" w:rsidRPr="00487209" w:rsidRDefault="00F122D1" w:rsidP="00F122D1">
            <w:pPr>
              <w:pStyle w:val="Style30"/>
              <w:tabs>
                <w:tab w:val="left" w:pos="322"/>
              </w:tabs>
              <w:spacing w:line="240" w:lineRule="auto"/>
              <w:ind w:firstLine="0"/>
              <w:jc w:val="both"/>
              <w:rPr>
                <w:rFonts w:ascii="Times New Roman" w:hAnsi="Times New Roman"/>
                <w:sz w:val="18"/>
                <w:szCs w:val="18"/>
                <w:lang w:val="sr-Cyrl-CS"/>
              </w:rPr>
            </w:pPr>
          </w:p>
        </w:tc>
        <w:tc>
          <w:tcPr>
            <w:tcW w:w="458" w:type="pct"/>
            <w:shd w:val="clear" w:color="auto" w:fill="auto"/>
            <w:vAlign w:val="center"/>
          </w:tcPr>
          <w:p w14:paraId="1AD7EE8D" w14:textId="79215436" w:rsidR="00F122D1" w:rsidRPr="00487209" w:rsidRDefault="00F122D1" w:rsidP="00F122D1">
            <w:pPr>
              <w:spacing w:before="120" w:after="120"/>
              <w:jc w:val="center"/>
              <w:rPr>
                <w:rFonts w:ascii="Times New Roman" w:hAnsi="Times New Roman" w:cs="Times New Roman"/>
                <w:sz w:val="18"/>
                <w:szCs w:val="18"/>
                <w:lang w:val="sr-Cyrl-CS"/>
              </w:rPr>
            </w:pPr>
          </w:p>
        </w:tc>
        <w:tc>
          <w:tcPr>
            <w:tcW w:w="598" w:type="pct"/>
            <w:gridSpan w:val="2"/>
            <w:shd w:val="clear" w:color="auto" w:fill="auto"/>
            <w:vAlign w:val="center"/>
          </w:tcPr>
          <w:p w14:paraId="0E276BFA" w14:textId="44FBF4D0" w:rsidR="00F122D1" w:rsidRPr="00487209" w:rsidRDefault="00F122D1" w:rsidP="00F122D1">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B82DE6" w:rsidRPr="00487209">
              <w:rPr>
                <w:rFonts w:ascii="Times New Roman" w:hAnsi="Times New Roman" w:cs="Times New Roman"/>
                <w:sz w:val="18"/>
                <w:szCs w:val="18"/>
                <w:lang w:val="ru-RU"/>
              </w:rPr>
              <w:lastRenderedPageBreak/>
              <w:t>Т</w:t>
            </w:r>
            <w:r w:rsidR="00B82DE6">
              <w:rPr>
                <w:rFonts w:ascii="Times New Roman" w:hAnsi="Times New Roman" w:cs="Times New Roman"/>
                <w:sz w:val="18"/>
                <w:szCs w:val="18"/>
                <w:lang w:val="ru-RU"/>
              </w:rPr>
              <w:t xml:space="preserve">ачком </w:t>
            </w:r>
            <w:r w:rsidRPr="00487209">
              <w:rPr>
                <w:rFonts w:ascii="Times New Roman" w:hAnsi="Times New Roman" w:cs="Times New Roman"/>
                <w:sz w:val="18"/>
                <w:szCs w:val="18"/>
                <w:lang w:val="sr-Cyrl-CS"/>
              </w:rPr>
              <w:t>5</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IV</w:t>
            </w:r>
            <w:r w:rsidRPr="00487209">
              <w:rPr>
                <w:rFonts w:ascii="Times New Roman" w:hAnsi="Times New Roman" w:cs="Times New Roman"/>
                <w:sz w:val="18"/>
                <w:szCs w:val="18"/>
                <w:lang w:val="ru-RU"/>
              </w:rPr>
              <w:t xml:space="preserve"> Уредбе 305/2011 (ЕУ). Одредба ће бити пренета подзаконским актом предвиђеним</w:t>
            </w:r>
            <w:r w:rsidRPr="00487209">
              <w:rPr>
                <w:rFonts w:ascii="Times New Roman" w:hAnsi="Times New Roman" w:cs="Times New Roman"/>
                <w:sz w:val="18"/>
                <w:szCs w:val="18"/>
              </w:rPr>
              <w:t xml:space="preserve"> </w:t>
            </w:r>
            <w:r w:rsidR="00C713FE">
              <w:rPr>
                <w:rFonts w:ascii="Times New Roman" w:hAnsi="Times New Roman" w:cs="Times New Roman"/>
                <w:sz w:val="18"/>
                <w:szCs w:val="18"/>
                <w:lang w:val="sr-Cyrl-RS"/>
              </w:rPr>
              <w:t xml:space="preserve">овим </w:t>
            </w:r>
            <w:r w:rsidR="00C713FE">
              <w:rPr>
                <w:rFonts w:ascii="Times New Roman" w:hAnsi="Times New Roman" w:cs="Times New Roman"/>
                <w:sz w:val="18"/>
                <w:szCs w:val="18"/>
                <w:lang w:val="ru-RU"/>
              </w:rPr>
              <w:t>з</w:t>
            </w:r>
            <w:r w:rsidRPr="00487209">
              <w:rPr>
                <w:rFonts w:ascii="Times New Roman" w:hAnsi="Times New Roman" w:cs="Times New Roman"/>
                <w:sz w:val="18"/>
                <w:szCs w:val="18"/>
                <w:lang w:val="ru-RU"/>
              </w:rPr>
              <w:t xml:space="preserve">аконом. </w:t>
            </w:r>
          </w:p>
          <w:p w14:paraId="68E74AB2" w14:textId="77777777" w:rsidR="00F122D1" w:rsidRPr="00487209" w:rsidRDefault="00F122D1" w:rsidP="00F122D1">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0C2986B4" w14:textId="77777777" w:rsidR="00F122D1" w:rsidRPr="00487209" w:rsidRDefault="00F122D1" w:rsidP="00F122D1">
            <w:pPr>
              <w:spacing w:before="120" w:after="120"/>
              <w:jc w:val="center"/>
              <w:rPr>
                <w:rFonts w:ascii="Times New Roman" w:hAnsi="Times New Roman" w:cs="Times New Roman"/>
                <w:sz w:val="18"/>
                <w:szCs w:val="18"/>
              </w:rPr>
            </w:pPr>
          </w:p>
        </w:tc>
      </w:tr>
      <w:tr w:rsidR="00337554" w:rsidRPr="00487209" w14:paraId="5A530A4B" w14:textId="77777777" w:rsidTr="007D5144">
        <w:trPr>
          <w:trHeight w:val="1970"/>
          <w:jc w:val="center"/>
        </w:trPr>
        <w:tc>
          <w:tcPr>
            <w:tcW w:w="435" w:type="pct"/>
            <w:shd w:val="clear" w:color="auto" w:fill="auto"/>
            <w:vAlign w:val="center"/>
          </w:tcPr>
          <w:p w14:paraId="0A96891A"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6.</w:t>
            </w:r>
          </w:p>
          <w:p w14:paraId="4C164FD6" w14:textId="77777777" w:rsidR="00F122D1" w:rsidRPr="00487209" w:rsidRDefault="00F122D1" w:rsidP="00F122D1">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General</w:t>
            </w:r>
          </w:p>
          <w:p w14:paraId="0F0190B9" w14:textId="77777777" w:rsidR="00F122D1" w:rsidRPr="00487209" w:rsidRDefault="00F122D1" w:rsidP="00F122D1">
            <w:pPr>
              <w:spacing w:before="120" w:after="120"/>
              <w:jc w:val="center"/>
              <w:rPr>
                <w:rFonts w:ascii="Times New Roman" w:hAnsi="Times New Roman" w:cs="Times New Roman"/>
                <w:sz w:val="18"/>
                <w:szCs w:val="18"/>
                <w:lang w:val="es-ES"/>
              </w:rPr>
            </w:pPr>
            <w:r w:rsidRPr="00487209">
              <w:rPr>
                <w:rFonts w:ascii="Times New Roman" w:hAnsi="Times New Roman" w:cs="Times New Roman"/>
                <w:sz w:val="18"/>
                <w:szCs w:val="18"/>
                <w:lang w:val="es-ES"/>
              </w:rPr>
              <w:t>management</w:t>
            </w:r>
          </w:p>
          <w:p w14:paraId="4A19C3BA" w14:textId="77777777" w:rsidR="00F122D1" w:rsidRPr="00487209" w:rsidRDefault="00F122D1" w:rsidP="00F122D1">
            <w:pPr>
              <w:spacing w:before="120" w:after="120"/>
              <w:jc w:val="center"/>
              <w:rPr>
                <w:rFonts w:ascii="Times New Roman" w:hAnsi="Times New Roman" w:cs="Times New Roman"/>
                <w:sz w:val="18"/>
                <w:szCs w:val="18"/>
              </w:rPr>
            </w:pPr>
          </w:p>
          <w:p w14:paraId="59768B17" w14:textId="77777777" w:rsidR="00F122D1" w:rsidRPr="00487209" w:rsidRDefault="00F122D1" w:rsidP="00F122D1">
            <w:pPr>
              <w:spacing w:before="120" w:after="120"/>
              <w:jc w:val="center"/>
              <w:rPr>
                <w:rFonts w:ascii="Times New Roman" w:hAnsi="Times New Roman" w:cs="Times New Roman"/>
                <w:sz w:val="18"/>
                <w:szCs w:val="18"/>
              </w:rPr>
            </w:pPr>
          </w:p>
        </w:tc>
        <w:tc>
          <w:tcPr>
            <w:tcW w:w="756" w:type="pct"/>
            <w:shd w:val="clear" w:color="auto" w:fill="auto"/>
            <w:vAlign w:val="center"/>
          </w:tcPr>
          <w:p w14:paraId="33C2C700" w14:textId="77777777" w:rsidR="00F122D1" w:rsidRPr="00487209" w:rsidRDefault="00F122D1" w:rsidP="00F122D1">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Ensure consistency, reliability, objectivity and traceability through the constant application of appropriate management methods.</w:t>
            </w:r>
          </w:p>
        </w:tc>
        <w:tc>
          <w:tcPr>
            <w:tcW w:w="613" w:type="pct"/>
            <w:shd w:val="clear" w:color="auto" w:fill="auto"/>
            <w:vAlign w:val="center"/>
          </w:tcPr>
          <w:p w14:paraId="52591614" w14:textId="77777777" w:rsidR="00F122D1" w:rsidRPr="00487209" w:rsidRDefault="00F122D1" w:rsidP="00F122D1">
            <w:pPr>
              <w:spacing w:before="120"/>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TAB shall have:</w:t>
            </w:r>
          </w:p>
          <w:p w14:paraId="3EB0D741" w14:textId="77777777" w:rsidR="00F122D1" w:rsidRPr="00487209" w:rsidRDefault="00F122D1" w:rsidP="00F122D1">
            <w:pPr>
              <w:spacing w:before="120"/>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(a)  a proven record of respect of good administrative behaviour;</w:t>
            </w:r>
          </w:p>
          <w:p w14:paraId="213EB839" w14:textId="77777777" w:rsidR="00F122D1" w:rsidRPr="00487209" w:rsidRDefault="00F122D1" w:rsidP="00F122D1">
            <w:pPr>
              <w:spacing w:before="120"/>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(b)  a policy and the supporting procedures to ensure confidentiality of sensitive information within the TAB and all its partners;</w:t>
            </w:r>
          </w:p>
          <w:p w14:paraId="7E2E33DA" w14:textId="77777777" w:rsidR="00F122D1" w:rsidRPr="00487209" w:rsidRDefault="00F122D1" w:rsidP="00F122D1">
            <w:pPr>
              <w:spacing w:before="120"/>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(c)  a document control system to ensure registration, traceability, maintenance and archiving of all relevant documents;</w:t>
            </w:r>
          </w:p>
          <w:p w14:paraId="4D882788" w14:textId="77777777" w:rsidR="00F122D1" w:rsidRPr="00487209" w:rsidRDefault="00F122D1" w:rsidP="00F122D1">
            <w:pPr>
              <w:spacing w:before="120"/>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 xml:space="preserve">(d)  a mechanism for internal audit and management review to ensure </w:t>
            </w:r>
            <w:r w:rsidRPr="00487209">
              <w:rPr>
                <w:rFonts w:ascii="Times New Roman" w:hAnsi="Times New Roman" w:cs="Times New Roman"/>
                <w:sz w:val="18"/>
                <w:szCs w:val="18"/>
                <w:lang w:val="sr-Cyrl-CS"/>
              </w:rPr>
              <w:lastRenderedPageBreak/>
              <w:t>the regular monitoring of the compliance with appropriate management methods;</w:t>
            </w:r>
          </w:p>
          <w:p w14:paraId="7B6177A0" w14:textId="77777777" w:rsidR="00F122D1" w:rsidRPr="00487209" w:rsidRDefault="00F122D1" w:rsidP="00F122D1">
            <w:pPr>
              <w:spacing w:before="120"/>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(e)  a procedure to deal objectively with appeals and complaints.</w:t>
            </w:r>
          </w:p>
        </w:tc>
        <w:tc>
          <w:tcPr>
            <w:tcW w:w="429" w:type="pct"/>
            <w:shd w:val="clear" w:color="auto" w:fill="auto"/>
            <w:vAlign w:val="center"/>
          </w:tcPr>
          <w:p w14:paraId="3F62561F" w14:textId="70E13EA9" w:rsidR="00F122D1" w:rsidRPr="00487209" w:rsidRDefault="00F122D1" w:rsidP="00F122D1">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01</w:t>
            </w:r>
          </w:p>
          <w:p w14:paraId="0E10E19E" w14:textId="3A8EB097" w:rsidR="00F122D1" w:rsidRPr="00487209" w:rsidRDefault="00F122D1" w:rsidP="00F122D1">
            <w:pPr>
              <w:spacing w:before="120" w:after="120"/>
              <w:ind w:firstLine="5"/>
              <w:jc w:val="center"/>
              <w:rPr>
                <w:rFonts w:ascii="Times New Roman" w:hAnsi="Times New Roman" w:cs="Times New Roman"/>
                <w:sz w:val="18"/>
                <w:szCs w:val="18"/>
              </w:rPr>
            </w:pPr>
            <w:r w:rsidRPr="00487209">
              <w:rPr>
                <w:rFonts w:ascii="Times New Roman" w:hAnsi="Times New Roman" w:cs="Times New Roman"/>
                <w:sz w:val="18"/>
                <w:szCs w:val="18"/>
                <w:lang w:val="sr-Cyrl-CS"/>
              </w:rPr>
              <w:t>34.3.</w:t>
            </w:r>
          </w:p>
        </w:tc>
        <w:tc>
          <w:tcPr>
            <w:tcW w:w="776" w:type="pct"/>
            <w:shd w:val="clear" w:color="auto" w:fill="auto"/>
            <w:vAlign w:val="center"/>
          </w:tcPr>
          <w:p w14:paraId="38AC2285" w14:textId="26DA4C9C" w:rsidR="00F122D1" w:rsidRPr="00487209" w:rsidRDefault="002C03A2" w:rsidP="007D5144">
            <w:pPr>
              <w:spacing w:before="120"/>
              <w:ind w:right="-23"/>
              <w:rPr>
                <w:rFonts w:ascii="Times New Roman" w:hAnsi="Times New Roman"/>
                <w:sz w:val="18"/>
                <w:szCs w:val="18"/>
                <w:lang w:val="sr-Cyrl-CS"/>
              </w:rPr>
            </w:pPr>
            <w:r w:rsidRPr="002C03A2">
              <w:rPr>
                <w:rFonts w:ascii="Times New Roman" w:hAnsi="Times New Roman" w:cs="Times New Roman"/>
                <w:sz w:val="18"/>
                <w:szCs w:val="18"/>
              </w:rPr>
              <w:t>Захтеве за именовање тела за техничко оцењивање утврђује министар надлежан за послове грађевинарства.</w:t>
            </w:r>
          </w:p>
        </w:tc>
        <w:tc>
          <w:tcPr>
            <w:tcW w:w="454" w:type="pct"/>
            <w:shd w:val="clear" w:color="auto" w:fill="auto"/>
            <w:vAlign w:val="center"/>
          </w:tcPr>
          <w:p w14:paraId="614E7CB2" w14:textId="44930D09" w:rsidR="00F122D1" w:rsidRPr="00487209" w:rsidRDefault="00F122D1" w:rsidP="00F122D1">
            <w:pPr>
              <w:pStyle w:val="Style30"/>
              <w:tabs>
                <w:tab w:val="left" w:pos="322"/>
              </w:tabs>
              <w:spacing w:line="240" w:lineRule="auto"/>
              <w:ind w:firstLine="0"/>
              <w:jc w:val="both"/>
              <w:rPr>
                <w:rFonts w:ascii="Times New Roman" w:hAnsi="Times New Roman"/>
                <w:sz w:val="18"/>
                <w:szCs w:val="18"/>
                <w:lang w:val="sr-Cyrl-CS"/>
              </w:rPr>
            </w:pPr>
          </w:p>
        </w:tc>
        <w:tc>
          <w:tcPr>
            <w:tcW w:w="458" w:type="pct"/>
            <w:shd w:val="clear" w:color="auto" w:fill="auto"/>
            <w:vAlign w:val="center"/>
          </w:tcPr>
          <w:p w14:paraId="1B12A217" w14:textId="3560BBFB" w:rsidR="00F122D1" w:rsidRPr="00487209" w:rsidRDefault="00F122D1" w:rsidP="00F122D1">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6F37CDED" w14:textId="3A9DD528" w:rsidR="00F122D1" w:rsidRPr="00487209" w:rsidRDefault="00F122D1" w:rsidP="00F122D1">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04271E" w:rsidRPr="00487209">
              <w:rPr>
                <w:rFonts w:ascii="Times New Roman" w:hAnsi="Times New Roman" w:cs="Times New Roman"/>
                <w:sz w:val="18"/>
                <w:szCs w:val="18"/>
                <w:lang w:val="ru-RU"/>
              </w:rPr>
              <w:t>Т</w:t>
            </w:r>
            <w:r w:rsidR="0004271E">
              <w:rPr>
                <w:rFonts w:ascii="Times New Roman" w:hAnsi="Times New Roman" w:cs="Times New Roman"/>
                <w:sz w:val="18"/>
                <w:szCs w:val="18"/>
                <w:lang w:val="ru-RU"/>
              </w:rPr>
              <w:t>ачком</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lang w:val="sr-Cyrl-CS"/>
              </w:rPr>
              <w:t>6</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IV</w:t>
            </w:r>
            <w:r w:rsidR="0004271E">
              <w:rPr>
                <w:rFonts w:ascii="Times New Roman" w:hAnsi="Times New Roman" w:cs="Times New Roman"/>
                <w:sz w:val="18"/>
                <w:szCs w:val="18"/>
                <w:lang w:val="ru-RU"/>
              </w:rPr>
              <w:t xml:space="preserve"> </w:t>
            </w:r>
            <w:r w:rsidRPr="00487209">
              <w:rPr>
                <w:rFonts w:ascii="Times New Roman" w:hAnsi="Times New Roman" w:cs="Times New Roman"/>
                <w:sz w:val="18"/>
                <w:szCs w:val="18"/>
                <w:lang w:val="ru-RU"/>
              </w:rPr>
              <w:t>Уредбе 305/2011 (ЕУ). Одредба ће бити пренета подзаконским актом предвиђеним</w:t>
            </w:r>
            <w:r w:rsidRPr="00487209">
              <w:rPr>
                <w:rFonts w:ascii="Times New Roman" w:hAnsi="Times New Roman" w:cs="Times New Roman"/>
                <w:sz w:val="18"/>
                <w:szCs w:val="18"/>
              </w:rPr>
              <w:t xml:space="preserve"> </w:t>
            </w:r>
            <w:r w:rsidR="00C713FE">
              <w:rPr>
                <w:rFonts w:ascii="Times New Roman" w:hAnsi="Times New Roman" w:cs="Times New Roman"/>
                <w:sz w:val="18"/>
                <w:szCs w:val="18"/>
                <w:lang w:val="sr-Cyrl-RS"/>
              </w:rPr>
              <w:t xml:space="preserve">овим </w:t>
            </w:r>
            <w:r w:rsidR="00C713FE">
              <w:rPr>
                <w:rFonts w:ascii="Times New Roman" w:hAnsi="Times New Roman" w:cs="Times New Roman"/>
                <w:sz w:val="18"/>
                <w:szCs w:val="18"/>
                <w:lang w:val="ru-RU"/>
              </w:rPr>
              <w:t>з</w:t>
            </w:r>
            <w:r w:rsidRPr="00487209">
              <w:rPr>
                <w:rFonts w:ascii="Times New Roman" w:hAnsi="Times New Roman" w:cs="Times New Roman"/>
                <w:sz w:val="18"/>
                <w:szCs w:val="18"/>
                <w:lang w:val="ru-RU"/>
              </w:rPr>
              <w:t xml:space="preserve">аконом. </w:t>
            </w:r>
          </w:p>
          <w:p w14:paraId="34E115A3" w14:textId="77777777" w:rsidR="00F122D1" w:rsidRPr="00487209" w:rsidRDefault="00F122D1" w:rsidP="00F122D1">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A07DA6B" w14:textId="77777777" w:rsidR="00F122D1" w:rsidRPr="00487209" w:rsidRDefault="00F122D1" w:rsidP="00F122D1">
            <w:pPr>
              <w:spacing w:before="120" w:after="120"/>
              <w:jc w:val="center"/>
              <w:rPr>
                <w:rFonts w:ascii="Times New Roman" w:hAnsi="Times New Roman" w:cs="Times New Roman"/>
                <w:sz w:val="18"/>
                <w:szCs w:val="18"/>
              </w:rPr>
            </w:pPr>
          </w:p>
        </w:tc>
      </w:tr>
      <w:tr w:rsidR="00337554" w:rsidRPr="00487209" w14:paraId="18AF76C2" w14:textId="77777777" w:rsidTr="007D5144">
        <w:trPr>
          <w:trHeight w:val="1970"/>
          <w:jc w:val="center"/>
        </w:trPr>
        <w:tc>
          <w:tcPr>
            <w:tcW w:w="435" w:type="pct"/>
            <w:shd w:val="clear" w:color="auto" w:fill="auto"/>
            <w:vAlign w:val="center"/>
          </w:tcPr>
          <w:p w14:paraId="3EBECDC4"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V</w:t>
            </w:r>
          </w:p>
          <w:p w14:paraId="38E8AEF9"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w:t>
            </w:r>
          </w:p>
        </w:tc>
        <w:tc>
          <w:tcPr>
            <w:tcW w:w="1369" w:type="pct"/>
            <w:gridSpan w:val="2"/>
            <w:shd w:val="clear" w:color="auto" w:fill="auto"/>
            <w:vAlign w:val="center"/>
          </w:tcPr>
          <w:p w14:paraId="518D46F8"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p>
          <w:p w14:paraId="33E880FF"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ASSESSMENT AND VERIFICATION OF CONSTANCY OF PERFORMANCE</w:t>
            </w:r>
          </w:p>
          <w:p w14:paraId="79A97580"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1.   SYSTEMS OF ASSESSMENT AND VERIFICATION OF CONSTANCY OF PERFORMANCE</w:t>
            </w:r>
          </w:p>
          <w:p w14:paraId="750D988C"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The manufacturer shall draw up the declaration of performance and determine the product-type on the basis of the assessments and verifications of constancy of performance carried out under the following systems:</w:t>
            </w:r>
          </w:p>
          <w:p w14:paraId="25A2262D"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71057B66" w14:textId="5046541E" w:rsidR="005B77AE" w:rsidRPr="00487209" w:rsidRDefault="005B77AE" w:rsidP="005B77A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7BC82403" w14:textId="77777777" w:rsidR="005B77AE" w:rsidRPr="00487209" w:rsidRDefault="005B77AE" w:rsidP="005B77A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29.01</w:t>
            </w:r>
          </w:p>
          <w:p w14:paraId="4E5D2CA7" w14:textId="77777777" w:rsidR="005B77AE" w:rsidRPr="00487209" w:rsidRDefault="005B77AE" w:rsidP="005B77AE">
            <w:pPr>
              <w:spacing w:before="120" w:after="120"/>
              <w:ind w:firstLine="5"/>
              <w:jc w:val="center"/>
              <w:rPr>
                <w:rFonts w:ascii="Times New Roman" w:hAnsi="Times New Roman" w:cs="Times New Roman"/>
                <w:sz w:val="18"/>
                <w:szCs w:val="18"/>
                <w:lang w:val="ru-RU"/>
              </w:rPr>
            </w:pPr>
          </w:p>
          <w:p w14:paraId="7A21D1A9" w14:textId="77777777" w:rsidR="005B77AE" w:rsidRPr="00487209" w:rsidRDefault="005B77AE" w:rsidP="005B77AE">
            <w:pPr>
              <w:spacing w:before="120" w:after="120"/>
              <w:ind w:firstLine="5"/>
              <w:jc w:val="center"/>
              <w:rPr>
                <w:rFonts w:ascii="Times New Roman" w:hAnsi="Times New Roman" w:cs="Times New Roman"/>
                <w:sz w:val="18"/>
                <w:szCs w:val="18"/>
                <w:lang w:val="ru-RU"/>
              </w:rPr>
            </w:pPr>
          </w:p>
          <w:p w14:paraId="33D78136" w14:textId="77777777" w:rsidR="005B77AE" w:rsidRPr="00487209" w:rsidRDefault="005B77AE" w:rsidP="005B77AE">
            <w:pPr>
              <w:spacing w:before="120" w:after="120"/>
              <w:ind w:firstLine="5"/>
              <w:jc w:val="center"/>
              <w:rPr>
                <w:rFonts w:ascii="Times New Roman" w:hAnsi="Times New Roman" w:cs="Times New Roman"/>
                <w:sz w:val="18"/>
                <w:szCs w:val="18"/>
                <w:lang w:val="ru-RU"/>
              </w:rPr>
            </w:pPr>
          </w:p>
          <w:p w14:paraId="5893D42C" w14:textId="77777777" w:rsidR="005B77AE" w:rsidRPr="00487209" w:rsidRDefault="005B77AE" w:rsidP="005B77AE">
            <w:pPr>
              <w:spacing w:before="120" w:after="120"/>
              <w:ind w:firstLine="5"/>
              <w:jc w:val="center"/>
              <w:rPr>
                <w:rFonts w:ascii="Times New Roman" w:hAnsi="Times New Roman" w:cs="Times New Roman"/>
                <w:sz w:val="18"/>
                <w:szCs w:val="18"/>
                <w:lang w:val="ru-RU"/>
              </w:rPr>
            </w:pPr>
          </w:p>
          <w:p w14:paraId="17D6B8B7" w14:textId="77777777" w:rsidR="005B77AE" w:rsidRPr="00487209" w:rsidRDefault="005B77AE" w:rsidP="005B77A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29.02.</w:t>
            </w:r>
          </w:p>
          <w:p w14:paraId="19E63587" w14:textId="77777777" w:rsidR="005B77AE" w:rsidRPr="00487209" w:rsidRDefault="005B77AE" w:rsidP="005B77AE">
            <w:pPr>
              <w:spacing w:before="120" w:after="120"/>
              <w:ind w:firstLine="5"/>
              <w:jc w:val="center"/>
              <w:rPr>
                <w:rFonts w:ascii="Times New Roman" w:hAnsi="Times New Roman" w:cs="Times New Roman"/>
                <w:sz w:val="18"/>
                <w:szCs w:val="18"/>
                <w:lang w:val="ru-RU"/>
              </w:rPr>
            </w:pPr>
          </w:p>
          <w:p w14:paraId="229356EA" w14:textId="77777777" w:rsidR="005B77AE" w:rsidRPr="00487209" w:rsidRDefault="005B77AE" w:rsidP="005B77AE">
            <w:pPr>
              <w:spacing w:before="120" w:after="120"/>
              <w:ind w:firstLine="5"/>
              <w:jc w:val="center"/>
              <w:rPr>
                <w:rFonts w:ascii="Times New Roman" w:hAnsi="Times New Roman" w:cs="Times New Roman"/>
                <w:sz w:val="18"/>
                <w:szCs w:val="18"/>
                <w:lang w:val="ru-RU"/>
              </w:rPr>
            </w:pPr>
          </w:p>
          <w:p w14:paraId="1D6D2807" w14:textId="77777777" w:rsidR="005B77AE" w:rsidRPr="00487209" w:rsidRDefault="005B77AE" w:rsidP="005B77AE">
            <w:pPr>
              <w:spacing w:before="120" w:after="120"/>
              <w:ind w:firstLine="5"/>
              <w:jc w:val="center"/>
              <w:rPr>
                <w:rFonts w:ascii="Times New Roman" w:hAnsi="Times New Roman" w:cs="Times New Roman"/>
                <w:sz w:val="18"/>
                <w:szCs w:val="18"/>
                <w:lang w:val="ru-RU"/>
              </w:rPr>
            </w:pPr>
          </w:p>
          <w:p w14:paraId="73852F1C" w14:textId="77309265" w:rsidR="005B77AE" w:rsidRPr="00487209" w:rsidRDefault="005B77AE" w:rsidP="005B77AE">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5C705297" w14:textId="77777777" w:rsidR="005B77AE" w:rsidRPr="00487209" w:rsidRDefault="005B77AE" w:rsidP="005B77AE">
            <w:pPr>
              <w:spacing w:before="120"/>
              <w:ind w:right="-23"/>
              <w:rPr>
                <w:rFonts w:ascii="Times New Roman" w:eastAsia="Batang" w:hAnsi="Times New Roman" w:cs="Times New Roman"/>
                <w:sz w:val="18"/>
                <w:szCs w:val="18"/>
                <w:lang w:eastAsia="ko-KR"/>
              </w:rPr>
            </w:pPr>
            <w:r w:rsidRPr="00487209">
              <w:rPr>
                <w:rFonts w:ascii="Times New Roman" w:eastAsia="Batang" w:hAnsi="Times New Roman" w:cs="Times New Roman"/>
                <w:sz w:val="18"/>
                <w:szCs w:val="18"/>
                <w:lang w:eastAsia="ko-KR"/>
              </w:rPr>
              <w:t xml:space="preserve">Оцењивање и верификација сталности перформанси грађевинског производа у вези са његовим битним карактеристикама спроводи се у складу са једним од система </w:t>
            </w:r>
            <w:r w:rsidRPr="00487209">
              <w:rPr>
                <w:rFonts w:ascii="Times New Roman" w:hAnsi="Times New Roman" w:cs="Times New Roman"/>
                <w:sz w:val="18"/>
                <w:szCs w:val="18"/>
                <w:lang w:eastAsia="hr-HR"/>
              </w:rPr>
              <w:t>оцењивања и верфикације сталности перформанси: систем 1+, систем 1, систем 2+, систем 3 и  систем 4</w:t>
            </w:r>
            <w:r w:rsidRPr="00487209">
              <w:rPr>
                <w:rFonts w:ascii="Times New Roman" w:eastAsia="Batang" w:hAnsi="Times New Roman" w:cs="Times New Roman"/>
                <w:sz w:val="18"/>
                <w:szCs w:val="18"/>
                <w:lang w:eastAsia="ko-KR"/>
              </w:rPr>
              <w:t>.</w:t>
            </w:r>
          </w:p>
          <w:p w14:paraId="5C1D5ACC" w14:textId="77777777" w:rsidR="005B77AE" w:rsidRPr="00487209" w:rsidRDefault="005B77AE" w:rsidP="005B77AE">
            <w:pPr>
              <w:spacing w:before="120"/>
              <w:ind w:right="-23"/>
              <w:rPr>
                <w:rFonts w:ascii="Times New Roman" w:hAnsi="Times New Roman" w:cs="Times New Roman"/>
                <w:sz w:val="18"/>
                <w:szCs w:val="18"/>
                <w:lang w:eastAsia="hr-HR"/>
              </w:rPr>
            </w:pPr>
            <w:r w:rsidRPr="00487209">
              <w:rPr>
                <w:rFonts w:ascii="Times New Roman" w:eastAsia="Batang" w:hAnsi="Times New Roman" w:cs="Times New Roman"/>
                <w:sz w:val="18"/>
                <w:szCs w:val="18"/>
                <w:lang w:eastAsia="ko-KR"/>
              </w:rPr>
              <w:t xml:space="preserve">Радње које у оквиру система </w:t>
            </w:r>
            <w:r w:rsidRPr="00487209">
              <w:rPr>
                <w:rFonts w:ascii="Times New Roman" w:hAnsi="Times New Roman" w:cs="Times New Roman"/>
                <w:sz w:val="18"/>
                <w:szCs w:val="18"/>
                <w:lang w:eastAsia="hr-HR"/>
              </w:rPr>
              <w:t>оцењивања и верфикације сталности перформанси из става 1. овог члана спроводи произвођач или именовано тело за оцењивање и верификацију сталности перформанси су:</w:t>
            </w:r>
          </w:p>
          <w:p w14:paraId="6D312C2F" w14:textId="77777777" w:rsidR="005B77AE" w:rsidRPr="00487209" w:rsidRDefault="005B77AE" w:rsidP="005B77AE">
            <w:pPr>
              <w:pStyle w:val="ListParagraph"/>
              <w:numPr>
                <w:ilvl w:val="2"/>
                <w:numId w:val="81"/>
              </w:numPr>
              <w:spacing w:before="120"/>
              <w:ind w:left="461" w:right="-23" w:hanging="329"/>
              <w:rPr>
                <w:rFonts w:eastAsia="Batang"/>
                <w:sz w:val="18"/>
                <w:szCs w:val="18"/>
                <w:lang w:val="sr-Latn-BA" w:eastAsia="ko-KR"/>
              </w:rPr>
            </w:pPr>
            <w:r w:rsidRPr="00487209">
              <w:rPr>
                <w:rFonts w:eastAsia="Batang"/>
                <w:sz w:val="18"/>
                <w:szCs w:val="18"/>
                <w:lang w:eastAsia="ko-KR"/>
              </w:rPr>
              <w:t>фабричка контрола производње;</w:t>
            </w:r>
          </w:p>
          <w:p w14:paraId="1278EC61" w14:textId="77777777" w:rsidR="005B77AE" w:rsidRPr="00487209" w:rsidRDefault="005B77AE" w:rsidP="005B77AE">
            <w:pPr>
              <w:pStyle w:val="ListParagraph"/>
              <w:numPr>
                <w:ilvl w:val="2"/>
                <w:numId w:val="81"/>
              </w:numPr>
              <w:tabs>
                <w:tab w:val="left" w:pos="830"/>
              </w:tabs>
              <w:spacing w:before="120"/>
              <w:ind w:left="461" w:right="-23" w:hanging="329"/>
              <w:rPr>
                <w:rFonts w:eastAsia="Batang"/>
                <w:sz w:val="18"/>
                <w:szCs w:val="18"/>
                <w:lang w:val="sr-Latn-BA" w:eastAsia="ko-KR"/>
              </w:rPr>
            </w:pPr>
            <w:r w:rsidRPr="00487209">
              <w:rPr>
                <w:rFonts w:eastAsia="Batang"/>
                <w:sz w:val="18"/>
                <w:szCs w:val="18"/>
                <w:lang w:eastAsia="ko-KR"/>
              </w:rPr>
              <w:t>д</w:t>
            </w:r>
            <w:r w:rsidRPr="00487209">
              <w:rPr>
                <w:rFonts w:eastAsia="Batang"/>
                <w:sz w:val="18"/>
                <w:szCs w:val="18"/>
                <w:lang w:val="sr-Latn-BA" w:eastAsia="ko-KR"/>
              </w:rPr>
              <w:t>a</w:t>
            </w:r>
            <w:r w:rsidRPr="00487209">
              <w:rPr>
                <w:rFonts w:eastAsia="Batang"/>
                <w:sz w:val="18"/>
                <w:szCs w:val="18"/>
                <w:lang w:eastAsia="ko-KR"/>
              </w:rPr>
              <w:t>љ</w:t>
            </w:r>
            <w:r w:rsidRPr="00487209">
              <w:rPr>
                <w:rFonts w:eastAsia="Batang"/>
                <w:sz w:val="18"/>
                <w:szCs w:val="18"/>
                <w:lang w:val="sr-Latn-BA" w:eastAsia="ko-KR"/>
              </w:rPr>
              <w:t>e</w:t>
            </w:r>
            <w:r w:rsidRPr="00487209">
              <w:rPr>
                <w:rFonts w:eastAsia="Batang"/>
                <w:sz w:val="18"/>
                <w:szCs w:val="18"/>
                <w:lang w:eastAsia="ko-KR"/>
              </w:rPr>
              <w:t xml:space="preserve"> </w:t>
            </w:r>
            <w:r w:rsidRPr="00487209">
              <w:rPr>
                <w:rFonts w:eastAsia="Batang"/>
                <w:sz w:val="18"/>
                <w:szCs w:val="18"/>
                <w:lang w:val="sr-Latn-BA" w:eastAsia="ko-KR"/>
              </w:rPr>
              <w:t>испитивање узорака узетих од стране произвођача у производном погону у складу са прописаним планом испитивања;</w:t>
            </w:r>
          </w:p>
          <w:p w14:paraId="44110EE5" w14:textId="77777777" w:rsidR="005B77AE" w:rsidRPr="00487209" w:rsidRDefault="005B77AE" w:rsidP="005B77AE">
            <w:pPr>
              <w:pStyle w:val="ListParagraph"/>
              <w:numPr>
                <w:ilvl w:val="2"/>
                <w:numId w:val="81"/>
              </w:numPr>
              <w:tabs>
                <w:tab w:val="left" w:pos="830"/>
              </w:tabs>
              <w:spacing w:before="120"/>
              <w:ind w:left="461" w:right="-23" w:hanging="329"/>
              <w:rPr>
                <w:rFonts w:eastAsia="Batang"/>
                <w:sz w:val="18"/>
                <w:szCs w:val="18"/>
                <w:lang w:val="sr-Latn-BA" w:eastAsia="ko-KR"/>
              </w:rPr>
            </w:pPr>
            <w:r w:rsidRPr="00487209">
              <w:rPr>
                <w:rFonts w:eastAsia="Batang"/>
                <w:sz w:val="18"/>
                <w:szCs w:val="18"/>
                <w:lang w:val="sr-Latn-BA" w:eastAsia="ko-KR"/>
              </w:rPr>
              <w:t>оцењивањ</w:t>
            </w:r>
            <w:r w:rsidRPr="00487209">
              <w:rPr>
                <w:rFonts w:eastAsia="Batang"/>
                <w:sz w:val="18"/>
                <w:szCs w:val="18"/>
                <w:lang w:eastAsia="ko-KR"/>
              </w:rPr>
              <w:t xml:space="preserve">е </w:t>
            </w:r>
            <w:r w:rsidRPr="00487209">
              <w:rPr>
                <w:rFonts w:eastAsia="Batang"/>
                <w:sz w:val="18"/>
                <w:szCs w:val="18"/>
                <w:lang w:val="sr-Latn-BA" w:eastAsia="ko-KR"/>
              </w:rPr>
              <w:t>перформанси грађевинског производа спроведено на основу испитивања (укључујући узорковање), прорачуна, табеларних вредности или описне документације производa;</w:t>
            </w:r>
          </w:p>
          <w:p w14:paraId="5D752FDF" w14:textId="77777777" w:rsidR="005B77AE" w:rsidRPr="00487209" w:rsidRDefault="005B77AE" w:rsidP="005B77AE">
            <w:pPr>
              <w:pStyle w:val="ListParagraph"/>
              <w:numPr>
                <w:ilvl w:val="2"/>
                <w:numId w:val="81"/>
              </w:numPr>
              <w:tabs>
                <w:tab w:val="left" w:pos="830"/>
              </w:tabs>
              <w:spacing w:before="120"/>
              <w:ind w:left="461" w:right="-23" w:hanging="329"/>
              <w:rPr>
                <w:rFonts w:eastAsia="Batang"/>
                <w:sz w:val="18"/>
                <w:szCs w:val="18"/>
                <w:lang w:val="sr-Latn-BA" w:eastAsia="ko-KR"/>
              </w:rPr>
            </w:pPr>
            <w:r w:rsidRPr="00487209">
              <w:rPr>
                <w:rFonts w:eastAsia="Batang"/>
                <w:sz w:val="18"/>
                <w:szCs w:val="18"/>
                <w:lang w:val="sr-Latn-BA" w:eastAsia="ko-KR"/>
              </w:rPr>
              <w:t xml:space="preserve">почетни преглед производног погона и фабричке контроле </w:t>
            </w:r>
            <w:r w:rsidRPr="00487209">
              <w:rPr>
                <w:rFonts w:eastAsia="Batang"/>
                <w:sz w:val="18"/>
                <w:szCs w:val="18"/>
                <w:lang w:val="sr-Latn-BA" w:eastAsia="ko-KR"/>
              </w:rPr>
              <w:lastRenderedPageBreak/>
              <w:t>производње;</w:t>
            </w:r>
          </w:p>
          <w:p w14:paraId="73BA5F31" w14:textId="77777777" w:rsidR="005B77AE" w:rsidRPr="00487209" w:rsidRDefault="005B77AE" w:rsidP="005B77AE">
            <w:pPr>
              <w:pStyle w:val="ListParagraph"/>
              <w:numPr>
                <w:ilvl w:val="2"/>
                <w:numId w:val="81"/>
              </w:numPr>
              <w:tabs>
                <w:tab w:val="left" w:pos="830"/>
              </w:tabs>
              <w:spacing w:before="120"/>
              <w:ind w:left="461" w:right="-23" w:hanging="329"/>
              <w:rPr>
                <w:rFonts w:eastAsia="Batang"/>
                <w:sz w:val="18"/>
                <w:szCs w:val="18"/>
                <w:lang w:val="sr-Latn-BA" w:eastAsia="ko-KR"/>
              </w:rPr>
            </w:pPr>
            <w:r w:rsidRPr="00487209">
              <w:rPr>
                <w:rFonts w:eastAsia="Batang"/>
                <w:sz w:val="18"/>
                <w:szCs w:val="18"/>
                <w:lang w:val="sr-Latn-BA" w:eastAsia="ko-KR"/>
              </w:rPr>
              <w:t>сталн</w:t>
            </w:r>
            <w:r w:rsidRPr="00487209">
              <w:rPr>
                <w:rFonts w:eastAsia="Batang"/>
                <w:sz w:val="18"/>
                <w:szCs w:val="18"/>
                <w:lang w:eastAsia="ko-KR"/>
              </w:rPr>
              <w:t>и</w:t>
            </w:r>
            <w:r w:rsidRPr="00487209">
              <w:rPr>
                <w:rFonts w:eastAsia="Batang"/>
                <w:sz w:val="18"/>
                <w:szCs w:val="18"/>
                <w:lang w:val="sr-Latn-BA" w:eastAsia="ko-KR"/>
              </w:rPr>
              <w:t xml:space="preserve"> надзор, оцењивање и вредновањ</w:t>
            </w:r>
            <w:r w:rsidRPr="00487209">
              <w:rPr>
                <w:rFonts w:eastAsia="Batang"/>
                <w:sz w:val="18"/>
                <w:szCs w:val="18"/>
                <w:lang w:eastAsia="ko-KR"/>
              </w:rPr>
              <w:t>е</w:t>
            </w:r>
            <w:r w:rsidRPr="00487209">
              <w:rPr>
                <w:rFonts w:eastAsia="Batang"/>
                <w:sz w:val="18"/>
                <w:szCs w:val="18"/>
                <w:lang w:val="sr-Latn-BA" w:eastAsia="ko-KR"/>
              </w:rPr>
              <w:t xml:space="preserve"> фабричке контроле производње;</w:t>
            </w:r>
          </w:p>
          <w:p w14:paraId="17FB6080" w14:textId="163E1CEE" w:rsidR="005B77AE" w:rsidRPr="00487209" w:rsidRDefault="005B77AE" w:rsidP="005B77AE">
            <w:pPr>
              <w:pStyle w:val="ListParagraph"/>
              <w:numPr>
                <w:ilvl w:val="2"/>
                <w:numId w:val="81"/>
              </w:numPr>
              <w:tabs>
                <w:tab w:val="left" w:pos="830"/>
              </w:tabs>
              <w:spacing w:before="120"/>
              <w:ind w:left="461" w:right="-23" w:hanging="329"/>
              <w:rPr>
                <w:rFonts w:eastAsia="Batang"/>
                <w:sz w:val="18"/>
                <w:szCs w:val="18"/>
                <w:lang w:val="sr-Latn-BA" w:eastAsia="ko-KR"/>
              </w:rPr>
            </w:pPr>
            <w:r w:rsidRPr="00487209">
              <w:rPr>
                <w:rFonts w:eastAsia="Batang"/>
                <w:sz w:val="18"/>
                <w:szCs w:val="18"/>
                <w:lang w:val="sr-Latn-BA" w:eastAsia="ko-KR"/>
              </w:rPr>
              <w:t>контролно испитивањ</w:t>
            </w:r>
            <w:r w:rsidRPr="00487209">
              <w:rPr>
                <w:rFonts w:eastAsia="Batang"/>
                <w:sz w:val="18"/>
                <w:szCs w:val="18"/>
                <w:lang w:eastAsia="ko-KR"/>
              </w:rPr>
              <w:t>е</w:t>
            </w:r>
            <w:r w:rsidRPr="00487209">
              <w:rPr>
                <w:rFonts w:eastAsia="Batang"/>
                <w:sz w:val="18"/>
                <w:szCs w:val="18"/>
                <w:lang w:val="sr-Latn-BA" w:eastAsia="ko-KR"/>
              </w:rPr>
              <w:t xml:space="preserve"> узорака узетих од стране именованог тела за </w:t>
            </w:r>
            <w:r w:rsidRPr="00487209">
              <w:rPr>
                <w:rFonts w:eastAsia="Batang"/>
                <w:sz w:val="18"/>
                <w:szCs w:val="18"/>
                <w:lang w:eastAsia="ko-KR"/>
              </w:rPr>
              <w:t>оцењивање и верификацију сталности перформанси</w:t>
            </w:r>
            <w:r w:rsidRPr="00487209">
              <w:rPr>
                <w:rFonts w:eastAsia="Batang"/>
                <w:sz w:val="18"/>
                <w:szCs w:val="18"/>
                <w:lang w:val="sr-Latn-BA" w:eastAsia="ko-KR"/>
              </w:rPr>
              <w:t xml:space="preserve"> у производном погону или складишним просторијама произвођача</w:t>
            </w:r>
            <w:r w:rsidRPr="00487209">
              <w:rPr>
                <w:rFonts w:eastAsia="Batang"/>
                <w:sz w:val="18"/>
                <w:szCs w:val="18"/>
                <w:lang w:eastAsia="ko-KR"/>
              </w:rPr>
              <w:t>.</w:t>
            </w:r>
          </w:p>
        </w:tc>
        <w:tc>
          <w:tcPr>
            <w:tcW w:w="458" w:type="pct"/>
            <w:shd w:val="clear" w:color="auto" w:fill="auto"/>
            <w:vAlign w:val="center"/>
          </w:tcPr>
          <w:p w14:paraId="21B1D42F" w14:textId="78A086CA"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ПУ</w:t>
            </w:r>
          </w:p>
        </w:tc>
        <w:tc>
          <w:tcPr>
            <w:tcW w:w="598" w:type="pct"/>
            <w:gridSpan w:val="2"/>
            <w:shd w:val="clear" w:color="auto" w:fill="auto"/>
            <w:vAlign w:val="center"/>
          </w:tcPr>
          <w:p w14:paraId="3E25E611"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4EF7EF98"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3A5B7EE1" w14:textId="77777777" w:rsidTr="007D5144">
        <w:trPr>
          <w:trHeight w:val="1970"/>
          <w:jc w:val="center"/>
        </w:trPr>
        <w:tc>
          <w:tcPr>
            <w:tcW w:w="435" w:type="pct"/>
            <w:shd w:val="clear" w:color="auto" w:fill="auto"/>
            <w:vAlign w:val="center"/>
          </w:tcPr>
          <w:p w14:paraId="1E6BB078"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V</w:t>
            </w:r>
          </w:p>
          <w:p w14:paraId="245DA3B8"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1.1.(a)(i)</w:t>
            </w:r>
          </w:p>
        </w:tc>
        <w:tc>
          <w:tcPr>
            <w:tcW w:w="1369" w:type="pct"/>
            <w:gridSpan w:val="2"/>
            <w:shd w:val="clear" w:color="auto" w:fill="auto"/>
            <w:vAlign w:val="center"/>
          </w:tcPr>
          <w:p w14:paraId="375E7F32" w14:textId="77777777" w:rsidR="005B77AE" w:rsidRPr="00487209" w:rsidRDefault="005B77AE" w:rsidP="005B77AE">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rPr>
              <w:t>1.1.    System 1+</w:t>
            </w:r>
          </w:p>
          <w:p w14:paraId="3F42613A"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The manufacturer shall carry out:</w:t>
            </w:r>
          </w:p>
          <w:p w14:paraId="7098D385"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 factory production control;</w:t>
            </w:r>
          </w:p>
        </w:tc>
        <w:tc>
          <w:tcPr>
            <w:tcW w:w="429" w:type="pct"/>
            <w:shd w:val="clear" w:color="auto" w:fill="auto"/>
            <w:vAlign w:val="center"/>
          </w:tcPr>
          <w:p w14:paraId="5DA8E939" w14:textId="4BA3196D" w:rsidR="005B77AE" w:rsidRPr="00487209" w:rsidRDefault="005B77AE" w:rsidP="005B77AE">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01D9A4F2" w14:textId="04B39801" w:rsidR="005B77AE" w:rsidRPr="00487209" w:rsidRDefault="005B77AE" w:rsidP="00ED6165">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w:t>
            </w:r>
            <w:r w:rsidR="00ED6165">
              <w:rPr>
                <w:rFonts w:ascii="Times New Roman" w:hAnsi="Times New Roman" w:cs="Times New Roman"/>
                <w:sz w:val="18"/>
                <w:szCs w:val="18"/>
                <w:lang w:val="ru-RU"/>
              </w:rPr>
              <w:t>05</w:t>
            </w:r>
          </w:p>
        </w:tc>
        <w:tc>
          <w:tcPr>
            <w:tcW w:w="1231" w:type="pct"/>
            <w:gridSpan w:val="2"/>
            <w:shd w:val="clear" w:color="auto" w:fill="auto"/>
            <w:vAlign w:val="center"/>
          </w:tcPr>
          <w:p w14:paraId="7AFE6CF0" w14:textId="453845FE" w:rsidR="005B77AE" w:rsidRPr="00487209" w:rsidRDefault="005B77AE" w:rsidP="00ED6165">
            <w:pPr>
              <w:spacing w:before="120"/>
              <w:ind w:right="67"/>
              <w:jc w:val="both"/>
              <w:rPr>
                <w:rFonts w:ascii="Times New Roman" w:eastAsia="Batang" w:hAnsi="Times New Roman" w:cs="Times New Roman"/>
                <w:sz w:val="18"/>
                <w:szCs w:val="18"/>
                <w:lang w:eastAsia="ko-KR"/>
              </w:rPr>
            </w:pPr>
            <w:r w:rsidRPr="00487209">
              <w:rPr>
                <w:rFonts w:ascii="Times New Roman" w:eastAsia="Batang" w:hAnsi="Times New Roman" w:cs="Times New Roman"/>
                <w:sz w:val="18"/>
                <w:szCs w:val="18"/>
                <w:lang w:eastAsia="ko-KR"/>
              </w:rPr>
              <w:t>Министар надлеж</w:t>
            </w:r>
            <w:r w:rsidR="00ED6165">
              <w:rPr>
                <w:rFonts w:ascii="Times New Roman" w:eastAsia="Batang" w:hAnsi="Times New Roman" w:cs="Times New Roman"/>
                <w:sz w:val="18"/>
                <w:szCs w:val="18"/>
                <w:lang w:val="sr-Cyrl-CS" w:eastAsia="ko-KR"/>
              </w:rPr>
              <w:t>а</w:t>
            </w:r>
            <w:r w:rsidRPr="00487209">
              <w:rPr>
                <w:rFonts w:ascii="Times New Roman" w:eastAsia="Batang" w:hAnsi="Times New Roman" w:cs="Times New Roman"/>
                <w:sz w:val="18"/>
                <w:szCs w:val="18"/>
                <w:lang w:eastAsia="ko-KR"/>
              </w:rPr>
              <w:t xml:space="preserve">н 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w:t>
            </w:r>
            <w:r w:rsidR="00ED6165" w:rsidRPr="00487209">
              <w:rPr>
                <w:rFonts w:ascii="Times New Roman" w:eastAsia="Batang" w:hAnsi="Times New Roman" w:cs="Times New Roman"/>
                <w:sz w:val="18"/>
                <w:szCs w:val="18"/>
                <w:lang w:eastAsia="ko-KR"/>
              </w:rPr>
              <w:t>садрж</w:t>
            </w:r>
            <w:r w:rsidR="00ED6165">
              <w:rPr>
                <w:rFonts w:ascii="Times New Roman" w:eastAsia="Batang" w:hAnsi="Times New Roman" w:cs="Times New Roman"/>
                <w:sz w:val="18"/>
                <w:szCs w:val="18"/>
                <w:lang w:val="sr-Cyrl-CS" w:eastAsia="ko-KR"/>
              </w:rPr>
              <w:t>ину</w:t>
            </w:r>
            <w:r w:rsidR="00ED6165" w:rsidRPr="00487209">
              <w:rPr>
                <w:rFonts w:ascii="Times New Roman" w:eastAsia="Batang" w:hAnsi="Times New Roman" w:cs="Times New Roman"/>
                <w:sz w:val="18"/>
                <w:szCs w:val="18"/>
                <w:lang w:eastAsia="ko-KR"/>
              </w:rPr>
              <w:t xml:space="preserve"> </w:t>
            </w:r>
            <w:r w:rsidRPr="00487209">
              <w:rPr>
                <w:rFonts w:ascii="Times New Roman" w:eastAsia="Batang" w:hAnsi="Times New Roman" w:cs="Times New Roman"/>
                <w:sz w:val="18"/>
                <w:szCs w:val="18"/>
                <w:lang w:eastAsia="ko-KR"/>
              </w:rPr>
              <w:t>и врсте докумената о оцењивању и верификацији сталности перформанси у зависности од примењеног система оцењивања и верификације сталности перформанси утврђеног техничком спецификацијом или техничким прописом којим је обухваћен грађевински производ.</w:t>
            </w:r>
          </w:p>
        </w:tc>
        <w:tc>
          <w:tcPr>
            <w:tcW w:w="458" w:type="pct"/>
            <w:shd w:val="clear" w:color="auto" w:fill="auto"/>
            <w:vAlign w:val="center"/>
          </w:tcPr>
          <w:p w14:paraId="0DA62708" w14:textId="1719672D"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4497D555" w14:textId="3992FD3C"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471536" w:rsidRPr="00487209">
              <w:rPr>
                <w:rFonts w:ascii="Times New Roman" w:hAnsi="Times New Roman" w:cs="Times New Roman"/>
                <w:sz w:val="18"/>
                <w:szCs w:val="18"/>
                <w:lang w:val="ru-RU"/>
              </w:rPr>
              <w:t>Т</w:t>
            </w:r>
            <w:r w:rsidR="00471536">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1.1.(a)(i)</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бити пренета подзаконским актом предвиђеним овим законом. </w:t>
            </w:r>
          </w:p>
          <w:p w14:paraId="3A340A7D"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9833A2B"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4D347F73" w14:textId="77777777" w:rsidTr="007D5144">
        <w:trPr>
          <w:trHeight w:val="1546"/>
          <w:jc w:val="center"/>
        </w:trPr>
        <w:tc>
          <w:tcPr>
            <w:tcW w:w="435" w:type="pct"/>
            <w:shd w:val="clear" w:color="auto" w:fill="auto"/>
            <w:vAlign w:val="center"/>
          </w:tcPr>
          <w:p w14:paraId="631F4FEF"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ANNEX V</w:t>
            </w:r>
          </w:p>
          <w:p w14:paraId="434A67A1"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1.1.(a)(ii)</w:t>
            </w:r>
          </w:p>
        </w:tc>
        <w:tc>
          <w:tcPr>
            <w:tcW w:w="1369" w:type="pct"/>
            <w:gridSpan w:val="2"/>
            <w:shd w:val="clear" w:color="auto" w:fill="auto"/>
            <w:vAlign w:val="center"/>
          </w:tcPr>
          <w:p w14:paraId="1876633B"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(ii) further testing of samples taken at the manufacturing plant by the manufacturer in accordance with the prescribed test plan.</w:t>
            </w:r>
          </w:p>
        </w:tc>
        <w:tc>
          <w:tcPr>
            <w:tcW w:w="429" w:type="pct"/>
            <w:shd w:val="clear" w:color="auto" w:fill="auto"/>
            <w:vAlign w:val="center"/>
          </w:tcPr>
          <w:p w14:paraId="1F9B134E" w14:textId="24902245" w:rsidR="005B77AE" w:rsidRPr="00487209" w:rsidRDefault="005B77AE" w:rsidP="005B77AE">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21918AE4" w14:textId="6BAA90E6" w:rsidR="005B77AE" w:rsidRPr="00487209" w:rsidRDefault="005B77AE" w:rsidP="00663CA0">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w:t>
            </w:r>
            <w:r w:rsidR="00663CA0">
              <w:rPr>
                <w:rFonts w:ascii="Times New Roman" w:hAnsi="Times New Roman" w:cs="Times New Roman"/>
                <w:sz w:val="18"/>
                <w:szCs w:val="18"/>
                <w:lang w:val="ru-RU"/>
              </w:rPr>
              <w:t>05</w:t>
            </w:r>
          </w:p>
        </w:tc>
        <w:tc>
          <w:tcPr>
            <w:tcW w:w="1231" w:type="pct"/>
            <w:gridSpan w:val="2"/>
            <w:shd w:val="clear" w:color="auto" w:fill="auto"/>
            <w:vAlign w:val="center"/>
          </w:tcPr>
          <w:p w14:paraId="678A1090" w14:textId="1B1FEB83" w:rsidR="005B77AE" w:rsidRPr="00487209" w:rsidRDefault="00663CA0" w:rsidP="005B77AE">
            <w:pPr>
              <w:spacing w:before="120"/>
              <w:ind w:right="67"/>
              <w:jc w:val="both"/>
              <w:rPr>
                <w:rFonts w:ascii="Times New Roman" w:eastAsia="Batang" w:hAnsi="Times New Roman" w:cs="Times New Roman"/>
                <w:sz w:val="18"/>
                <w:szCs w:val="18"/>
                <w:lang w:eastAsia="ko-KR"/>
              </w:rPr>
            </w:pPr>
            <w:r w:rsidRPr="00663CA0">
              <w:rPr>
                <w:rFonts w:ascii="Times New Roman" w:eastAsia="Batang" w:hAnsi="Times New Roman" w:cs="Times New Roman"/>
                <w:sz w:val="18"/>
                <w:szCs w:val="18"/>
                <w:lang w:eastAsia="ko-KR"/>
              </w:rPr>
              <w:t xml:space="preserve">Министар надлежан 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садржину </w:t>
            </w:r>
            <w:r w:rsidR="005B77AE" w:rsidRPr="00487209">
              <w:rPr>
                <w:rFonts w:ascii="Times New Roman" w:eastAsia="Batang" w:hAnsi="Times New Roman" w:cs="Times New Roman"/>
                <w:sz w:val="18"/>
                <w:szCs w:val="18"/>
                <w:lang w:eastAsia="ko-KR"/>
              </w:rPr>
              <w:t xml:space="preserve">и врсте докумената о оцењивању и верификацији сталности перформанси </w:t>
            </w:r>
            <w:r w:rsidR="005B77AE" w:rsidRPr="00487209">
              <w:rPr>
                <w:rFonts w:ascii="Times New Roman" w:eastAsia="Batang" w:hAnsi="Times New Roman" w:cs="Times New Roman"/>
                <w:sz w:val="18"/>
                <w:szCs w:val="18"/>
                <w:lang w:eastAsia="ko-KR"/>
              </w:rPr>
              <w:lastRenderedPageBreak/>
              <w:t>у зависности од примењеног система оцењивања и верификације сталности перформанси утврђеног техничком спецификацијом или техничким прописом којим је обухваћен грађевински производ.</w:t>
            </w:r>
          </w:p>
        </w:tc>
        <w:tc>
          <w:tcPr>
            <w:tcW w:w="458" w:type="pct"/>
            <w:shd w:val="clear" w:color="auto" w:fill="auto"/>
            <w:vAlign w:val="center"/>
          </w:tcPr>
          <w:p w14:paraId="36AA45F2" w14:textId="66101C05"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lastRenderedPageBreak/>
              <w:t>НУ</w:t>
            </w:r>
          </w:p>
        </w:tc>
        <w:tc>
          <w:tcPr>
            <w:tcW w:w="598" w:type="pct"/>
            <w:gridSpan w:val="2"/>
            <w:shd w:val="clear" w:color="auto" w:fill="auto"/>
            <w:vAlign w:val="center"/>
          </w:tcPr>
          <w:p w14:paraId="130FC728" w14:textId="287E4970"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6545E9" w:rsidRPr="00487209">
              <w:rPr>
                <w:rFonts w:ascii="Times New Roman" w:hAnsi="Times New Roman" w:cs="Times New Roman"/>
                <w:sz w:val="18"/>
                <w:szCs w:val="18"/>
                <w:lang w:val="ru-RU"/>
              </w:rPr>
              <w:t>Т</w:t>
            </w:r>
            <w:r w:rsidR="006545E9">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1.1.(a)(ii)</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w:t>
            </w:r>
            <w:r w:rsidRPr="00487209">
              <w:rPr>
                <w:rFonts w:ascii="Times New Roman" w:hAnsi="Times New Roman" w:cs="Times New Roman"/>
                <w:sz w:val="18"/>
                <w:szCs w:val="18"/>
                <w:lang w:val="ru-RU"/>
              </w:rPr>
              <w:lastRenderedPageBreak/>
              <w:t xml:space="preserve">бити пренета подзаконским актом предвиђеним овим законом. </w:t>
            </w:r>
          </w:p>
          <w:p w14:paraId="3D4A2264"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016291F"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2A7FF1FC" w14:textId="77777777" w:rsidTr="007D5144">
        <w:trPr>
          <w:trHeight w:val="1763"/>
          <w:jc w:val="center"/>
        </w:trPr>
        <w:tc>
          <w:tcPr>
            <w:tcW w:w="435" w:type="pct"/>
            <w:shd w:val="clear" w:color="auto" w:fill="auto"/>
            <w:vAlign w:val="center"/>
          </w:tcPr>
          <w:p w14:paraId="720A3BE9"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V</w:t>
            </w:r>
          </w:p>
          <w:p w14:paraId="0DA95162"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1.1.(b)(i)</w:t>
            </w:r>
          </w:p>
        </w:tc>
        <w:tc>
          <w:tcPr>
            <w:tcW w:w="1369" w:type="pct"/>
            <w:gridSpan w:val="2"/>
            <w:shd w:val="clear" w:color="auto" w:fill="auto"/>
            <w:vAlign w:val="center"/>
          </w:tcPr>
          <w:p w14:paraId="33A3DA45"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(b) The notified product certification body shall decide on the issuing, restriction, suspension or withdrawal of the certificate of constancy of performance of the construction product on the basis of the outcome of the following assessments and verifications carried out by that body:</w:t>
            </w:r>
          </w:p>
          <w:p w14:paraId="2FF94F5A"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 an assessment of the performance of the construction product carried out on the basis of testing (including sampling), calculation, tabulated values or descriptive documentation of the product;</w:t>
            </w:r>
          </w:p>
          <w:p w14:paraId="0A65F1B6"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4480BBA3" w14:textId="75C39863" w:rsidR="005B77AE" w:rsidRPr="00487209" w:rsidRDefault="005B77AE" w:rsidP="005B77AE">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23BBA536" w14:textId="75831E74" w:rsidR="005B77AE" w:rsidRPr="00487209" w:rsidRDefault="005B77AE" w:rsidP="00663CA0">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w:t>
            </w:r>
            <w:r w:rsidR="00663CA0">
              <w:rPr>
                <w:rFonts w:ascii="Times New Roman" w:hAnsi="Times New Roman" w:cs="Times New Roman"/>
                <w:sz w:val="18"/>
                <w:szCs w:val="18"/>
                <w:lang w:val="ru-RU"/>
              </w:rPr>
              <w:t>05</w:t>
            </w:r>
          </w:p>
        </w:tc>
        <w:tc>
          <w:tcPr>
            <w:tcW w:w="1231" w:type="pct"/>
            <w:gridSpan w:val="2"/>
            <w:shd w:val="clear" w:color="auto" w:fill="auto"/>
            <w:vAlign w:val="center"/>
          </w:tcPr>
          <w:p w14:paraId="53F27560" w14:textId="1BFB864E" w:rsidR="005B77AE" w:rsidRPr="00487209" w:rsidRDefault="00663CA0" w:rsidP="005B77AE">
            <w:pPr>
              <w:spacing w:before="120"/>
              <w:ind w:right="67"/>
              <w:jc w:val="both"/>
              <w:rPr>
                <w:rFonts w:ascii="Times New Roman" w:eastAsia="Batang" w:hAnsi="Times New Roman" w:cs="Times New Roman"/>
                <w:sz w:val="18"/>
                <w:szCs w:val="18"/>
                <w:lang w:eastAsia="ko-KR"/>
              </w:rPr>
            </w:pPr>
            <w:r w:rsidRPr="00663CA0">
              <w:rPr>
                <w:rFonts w:ascii="Times New Roman" w:eastAsia="Batang" w:hAnsi="Times New Roman" w:cs="Times New Roman"/>
                <w:sz w:val="18"/>
                <w:szCs w:val="18"/>
                <w:lang w:eastAsia="ko-KR"/>
              </w:rPr>
              <w:t xml:space="preserve">Министар надлежан 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садржину </w:t>
            </w:r>
            <w:r w:rsidR="005B77AE" w:rsidRPr="00487209">
              <w:rPr>
                <w:rFonts w:ascii="Times New Roman" w:eastAsia="Batang" w:hAnsi="Times New Roman" w:cs="Times New Roman"/>
                <w:sz w:val="18"/>
                <w:szCs w:val="18"/>
                <w:lang w:eastAsia="ko-KR"/>
              </w:rPr>
              <w:t>и врсте докумената о оцењивању и верификацији сталности перформанси у зависности од примењеног система оцењивања и верификације сталности перформанси утврђеног техничком спецификацијом или техничким прописом којим је обухваћен грађевински производ.</w:t>
            </w:r>
          </w:p>
        </w:tc>
        <w:tc>
          <w:tcPr>
            <w:tcW w:w="458" w:type="pct"/>
            <w:shd w:val="clear" w:color="auto" w:fill="auto"/>
            <w:vAlign w:val="center"/>
          </w:tcPr>
          <w:p w14:paraId="178DD8FE" w14:textId="45F06AFC"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334515CC" w14:textId="44F7605F"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2F01DD" w:rsidRPr="00487209">
              <w:rPr>
                <w:rFonts w:ascii="Times New Roman" w:hAnsi="Times New Roman" w:cs="Times New Roman"/>
                <w:sz w:val="18"/>
                <w:szCs w:val="18"/>
                <w:lang w:val="ru-RU"/>
              </w:rPr>
              <w:t>Т</w:t>
            </w:r>
            <w:r w:rsidR="002F01DD">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1.1.(b)(i)</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w:t>
            </w:r>
            <w:r w:rsidR="002F01DD">
              <w:rPr>
                <w:rFonts w:ascii="Times New Roman" w:hAnsi="Times New Roman" w:cs="Times New Roman"/>
                <w:sz w:val="18"/>
                <w:szCs w:val="18"/>
                <w:lang w:val="ru-RU"/>
              </w:rPr>
              <w:t xml:space="preserve">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бити пренета подзаконским актом предвиђеним овим законом. </w:t>
            </w:r>
          </w:p>
          <w:p w14:paraId="37CA3814"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3D62CC2"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56A9A084" w14:textId="77777777" w:rsidTr="007D5144">
        <w:trPr>
          <w:trHeight w:val="1741"/>
          <w:jc w:val="center"/>
        </w:trPr>
        <w:tc>
          <w:tcPr>
            <w:tcW w:w="435" w:type="pct"/>
            <w:shd w:val="clear" w:color="auto" w:fill="auto"/>
            <w:vAlign w:val="center"/>
          </w:tcPr>
          <w:p w14:paraId="09730C6B"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ANNEX V</w:t>
            </w:r>
          </w:p>
          <w:p w14:paraId="1DB01D5F"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1.1.(b)(ii)</w:t>
            </w:r>
          </w:p>
        </w:tc>
        <w:tc>
          <w:tcPr>
            <w:tcW w:w="1369" w:type="pct"/>
            <w:gridSpan w:val="2"/>
            <w:shd w:val="clear" w:color="auto" w:fill="auto"/>
            <w:vAlign w:val="center"/>
          </w:tcPr>
          <w:p w14:paraId="08637758"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(ii) initial inspection of the manufacturing plant and of factory production control;</w:t>
            </w:r>
          </w:p>
        </w:tc>
        <w:tc>
          <w:tcPr>
            <w:tcW w:w="429" w:type="pct"/>
            <w:shd w:val="clear" w:color="auto" w:fill="auto"/>
            <w:vAlign w:val="center"/>
          </w:tcPr>
          <w:p w14:paraId="1EE140E6" w14:textId="26D6AD43" w:rsidR="005B77AE" w:rsidRPr="00487209" w:rsidRDefault="005B77AE" w:rsidP="005B77AE">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17F73AED" w14:textId="224D0695" w:rsidR="005B77AE" w:rsidRPr="00487209" w:rsidRDefault="005B77AE" w:rsidP="00663CA0">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w:t>
            </w:r>
            <w:r w:rsidR="00663CA0">
              <w:rPr>
                <w:rFonts w:ascii="Times New Roman" w:hAnsi="Times New Roman" w:cs="Times New Roman"/>
                <w:sz w:val="18"/>
                <w:szCs w:val="18"/>
                <w:lang w:val="ru-RU"/>
              </w:rPr>
              <w:t>05</w:t>
            </w:r>
          </w:p>
        </w:tc>
        <w:tc>
          <w:tcPr>
            <w:tcW w:w="1231" w:type="pct"/>
            <w:gridSpan w:val="2"/>
            <w:shd w:val="clear" w:color="auto" w:fill="auto"/>
            <w:vAlign w:val="center"/>
          </w:tcPr>
          <w:p w14:paraId="029C5C29" w14:textId="72368351" w:rsidR="005B77AE" w:rsidRPr="00487209" w:rsidRDefault="00663CA0" w:rsidP="005B77AE">
            <w:pPr>
              <w:spacing w:before="120"/>
              <w:ind w:right="67"/>
              <w:jc w:val="both"/>
              <w:rPr>
                <w:rFonts w:ascii="Times New Roman" w:eastAsia="Batang" w:hAnsi="Times New Roman" w:cs="Times New Roman"/>
                <w:sz w:val="18"/>
                <w:szCs w:val="18"/>
                <w:lang w:eastAsia="ko-KR"/>
              </w:rPr>
            </w:pPr>
            <w:r w:rsidRPr="00663CA0">
              <w:rPr>
                <w:rFonts w:ascii="Times New Roman" w:eastAsia="Batang" w:hAnsi="Times New Roman" w:cs="Times New Roman"/>
                <w:sz w:val="18"/>
                <w:szCs w:val="18"/>
                <w:lang w:eastAsia="ko-KR"/>
              </w:rPr>
              <w:t>Министар надлежан 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садржину</w:t>
            </w:r>
            <w:r w:rsidR="005B77AE" w:rsidRPr="00487209">
              <w:rPr>
                <w:rFonts w:ascii="Times New Roman" w:eastAsia="Batang" w:hAnsi="Times New Roman" w:cs="Times New Roman"/>
                <w:sz w:val="18"/>
                <w:szCs w:val="18"/>
                <w:lang w:eastAsia="ko-KR"/>
              </w:rPr>
              <w:t xml:space="preserve"> и врсте докумената о оцењивању и верификацији сталности перформанси у зависности од примењеног система оцењивања и верификације сталности перформанси утврђеног техничком </w:t>
            </w:r>
            <w:r w:rsidR="005B77AE" w:rsidRPr="00487209">
              <w:rPr>
                <w:rFonts w:ascii="Times New Roman" w:eastAsia="Batang" w:hAnsi="Times New Roman" w:cs="Times New Roman"/>
                <w:sz w:val="18"/>
                <w:szCs w:val="18"/>
                <w:lang w:eastAsia="ko-KR"/>
              </w:rPr>
              <w:lastRenderedPageBreak/>
              <w:t>спецификацијом или техничким прописом којим је обухваћен грађевински производ.</w:t>
            </w:r>
          </w:p>
        </w:tc>
        <w:tc>
          <w:tcPr>
            <w:tcW w:w="458" w:type="pct"/>
            <w:shd w:val="clear" w:color="auto" w:fill="auto"/>
            <w:vAlign w:val="center"/>
          </w:tcPr>
          <w:p w14:paraId="43883E00" w14:textId="426A9329"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lastRenderedPageBreak/>
              <w:t>НУ</w:t>
            </w:r>
          </w:p>
        </w:tc>
        <w:tc>
          <w:tcPr>
            <w:tcW w:w="598" w:type="pct"/>
            <w:gridSpan w:val="2"/>
            <w:shd w:val="clear" w:color="auto" w:fill="auto"/>
            <w:vAlign w:val="center"/>
          </w:tcPr>
          <w:p w14:paraId="0D9C7060" w14:textId="4BFE1F73"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F841DF" w:rsidRPr="00487209">
              <w:rPr>
                <w:rFonts w:ascii="Times New Roman" w:hAnsi="Times New Roman" w:cs="Times New Roman"/>
                <w:sz w:val="18"/>
                <w:szCs w:val="18"/>
                <w:lang w:val="ru-RU"/>
              </w:rPr>
              <w:t>Т</w:t>
            </w:r>
            <w:r w:rsidR="00F841DF">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1.1.(b)(ii)</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бити пренета подзаконским </w:t>
            </w:r>
            <w:r w:rsidRPr="00487209">
              <w:rPr>
                <w:rFonts w:ascii="Times New Roman" w:hAnsi="Times New Roman" w:cs="Times New Roman"/>
                <w:sz w:val="18"/>
                <w:szCs w:val="18"/>
                <w:lang w:val="ru-RU"/>
              </w:rPr>
              <w:lastRenderedPageBreak/>
              <w:t xml:space="preserve">актом предвиђеним овим законом. </w:t>
            </w:r>
          </w:p>
          <w:p w14:paraId="5CBF6D2D"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6CC4CC3"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39F8A337" w14:textId="77777777" w:rsidTr="007D5144">
        <w:trPr>
          <w:trHeight w:val="346"/>
          <w:jc w:val="center"/>
        </w:trPr>
        <w:tc>
          <w:tcPr>
            <w:tcW w:w="435" w:type="pct"/>
            <w:shd w:val="clear" w:color="auto" w:fill="auto"/>
            <w:vAlign w:val="center"/>
          </w:tcPr>
          <w:p w14:paraId="447FD353"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V</w:t>
            </w:r>
          </w:p>
          <w:p w14:paraId="76DAFC27"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1.1.(b)(iii)</w:t>
            </w:r>
          </w:p>
        </w:tc>
        <w:tc>
          <w:tcPr>
            <w:tcW w:w="1369" w:type="pct"/>
            <w:gridSpan w:val="2"/>
            <w:shd w:val="clear" w:color="auto" w:fill="auto"/>
            <w:vAlign w:val="center"/>
          </w:tcPr>
          <w:p w14:paraId="4A085EAD"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(iii) continuing surveillance, assessment and evaluation of factory production control;</w:t>
            </w:r>
          </w:p>
          <w:p w14:paraId="3E24EC16"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432A773C" w14:textId="4D352CBA" w:rsidR="005B77AE" w:rsidRPr="00487209" w:rsidRDefault="005B77AE" w:rsidP="005B77AE">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78AD03EF" w14:textId="35D6739A" w:rsidR="005B77AE" w:rsidRPr="00487209" w:rsidRDefault="005B77AE" w:rsidP="00663CA0">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29.0</w:t>
            </w:r>
            <w:r w:rsidR="00663CA0">
              <w:rPr>
                <w:rFonts w:ascii="Times New Roman" w:hAnsi="Times New Roman" w:cs="Times New Roman"/>
                <w:sz w:val="18"/>
                <w:szCs w:val="18"/>
                <w:lang w:val="ru-RU"/>
              </w:rPr>
              <w:t>5</w:t>
            </w:r>
          </w:p>
        </w:tc>
        <w:tc>
          <w:tcPr>
            <w:tcW w:w="1231" w:type="pct"/>
            <w:gridSpan w:val="2"/>
            <w:shd w:val="clear" w:color="auto" w:fill="auto"/>
            <w:vAlign w:val="center"/>
          </w:tcPr>
          <w:p w14:paraId="10503BF5" w14:textId="2CBEDD76" w:rsidR="005B77AE" w:rsidRPr="00487209" w:rsidRDefault="00663CA0" w:rsidP="005B77AE">
            <w:pPr>
              <w:spacing w:before="120"/>
              <w:ind w:right="67"/>
              <w:jc w:val="both"/>
              <w:rPr>
                <w:rFonts w:ascii="Times New Roman" w:eastAsia="Batang" w:hAnsi="Times New Roman" w:cs="Times New Roman"/>
                <w:sz w:val="18"/>
                <w:szCs w:val="18"/>
                <w:lang w:eastAsia="ko-KR"/>
              </w:rPr>
            </w:pPr>
            <w:r w:rsidRPr="00663CA0">
              <w:rPr>
                <w:rFonts w:ascii="Times New Roman" w:eastAsia="Batang" w:hAnsi="Times New Roman" w:cs="Times New Roman"/>
                <w:sz w:val="18"/>
                <w:szCs w:val="18"/>
                <w:lang w:eastAsia="ko-KR"/>
              </w:rPr>
              <w:t xml:space="preserve">Министар надлежан 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садржину </w:t>
            </w:r>
            <w:r w:rsidR="005B77AE" w:rsidRPr="00487209">
              <w:rPr>
                <w:rFonts w:ascii="Times New Roman" w:eastAsia="Batang" w:hAnsi="Times New Roman" w:cs="Times New Roman"/>
                <w:sz w:val="18"/>
                <w:szCs w:val="18"/>
                <w:lang w:eastAsia="ko-KR"/>
              </w:rPr>
              <w:t>и врсте докумената о оцењивању и верификацији сталности перформанси у зависности од примењеног система оцењивања и верификације сталности перформанси утврђеног техничком спецификацијом или техничким прописом којим је обухваћен грађевински производ.</w:t>
            </w:r>
          </w:p>
          <w:p w14:paraId="4FCA3CB1" w14:textId="77777777" w:rsidR="005B77AE" w:rsidRPr="00487209" w:rsidRDefault="005B77AE" w:rsidP="005B77AE">
            <w:pPr>
              <w:pStyle w:val="Style11"/>
              <w:spacing w:line="240" w:lineRule="auto"/>
              <w:ind w:right="67" w:firstLine="0"/>
              <w:rPr>
                <w:rFonts w:ascii="Times New Roman" w:hAnsi="Times New Roman"/>
                <w:sz w:val="18"/>
                <w:szCs w:val="18"/>
              </w:rPr>
            </w:pPr>
          </w:p>
        </w:tc>
        <w:tc>
          <w:tcPr>
            <w:tcW w:w="458" w:type="pct"/>
            <w:shd w:val="clear" w:color="auto" w:fill="auto"/>
            <w:vAlign w:val="center"/>
          </w:tcPr>
          <w:p w14:paraId="1C87245A" w14:textId="6A24015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025452BB" w14:textId="564E6369"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FA14ED" w:rsidRPr="00487209">
              <w:rPr>
                <w:rFonts w:ascii="Times New Roman" w:hAnsi="Times New Roman" w:cs="Times New Roman"/>
                <w:sz w:val="18"/>
                <w:szCs w:val="18"/>
                <w:lang w:val="ru-RU"/>
              </w:rPr>
              <w:t>Т</w:t>
            </w:r>
            <w:r w:rsidR="00FA14ED">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1.1.(b)(iii)</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бити пренета подзаконским актом предвиђеним овим законом. </w:t>
            </w:r>
          </w:p>
          <w:p w14:paraId="078A4034"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DCDC482"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5858E6E4" w14:textId="77777777" w:rsidTr="007D5144">
        <w:trPr>
          <w:trHeight w:val="1563"/>
          <w:jc w:val="center"/>
        </w:trPr>
        <w:tc>
          <w:tcPr>
            <w:tcW w:w="435" w:type="pct"/>
            <w:shd w:val="clear" w:color="auto" w:fill="auto"/>
            <w:vAlign w:val="center"/>
          </w:tcPr>
          <w:p w14:paraId="129A55B7"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ANNEX V</w:t>
            </w:r>
          </w:p>
          <w:p w14:paraId="45D71410"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1.1.(b)(iv)</w:t>
            </w:r>
          </w:p>
        </w:tc>
        <w:tc>
          <w:tcPr>
            <w:tcW w:w="1369" w:type="pct"/>
            <w:gridSpan w:val="2"/>
            <w:shd w:val="clear" w:color="auto" w:fill="auto"/>
            <w:vAlign w:val="center"/>
          </w:tcPr>
          <w:p w14:paraId="672987B2"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(iv) audit — testing of samples taken by the notified product certification body at the manufacturing plant or at the manufacturer's storage facilities.</w:t>
            </w:r>
          </w:p>
          <w:p w14:paraId="3F47A85B"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2E5B5309" w14:textId="39A81381" w:rsidR="005B77AE" w:rsidRPr="00487209" w:rsidRDefault="005B77AE" w:rsidP="005B77AE">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519530CF" w14:textId="7F948E77" w:rsidR="005B77AE" w:rsidRPr="00487209" w:rsidRDefault="005B77AE" w:rsidP="00663CA0">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29.0</w:t>
            </w:r>
            <w:r w:rsidR="00663CA0">
              <w:rPr>
                <w:rFonts w:ascii="Times New Roman" w:hAnsi="Times New Roman" w:cs="Times New Roman"/>
                <w:sz w:val="18"/>
                <w:szCs w:val="18"/>
                <w:lang w:val="ru-RU"/>
              </w:rPr>
              <w:t>5</w:t>
            </w:r>
          </w:p>
        </w:tc>
        <w:tc>
          <w:tcPr>
            <w:tcW w:w="1231" w:type="pct"/>
            <w:gridSpan w:val="2"/>
            <w:shd w:val="clear" w:color="auto" w:fill="auto"/>
            <w:vAlign w:val="center"/>
          </w:tcPr>
          <w:p w14:paraId="038D9790" w14:textId="061169E8" w:rsidR="005B77AE" w:rsidRPr="00487209" w:rsidRDefault="00663CA0" w:rsidP="005B77AE">
            <w:pPr>
              <w:spacing w:before="120"/>
              <w:ind w:right="67"/>
              <w:jc w:val="both"/>
              <w:rPr>
                <w:rFonts w:ascii="Times New Roman" w:eastAsia="Batang" w:hAnsi="Times New Roman" w:cs="Times New Roman"/>
                <w:sz w:val="18"/>
                <w:szCs w:val="18"/>
                <w:lang w:eastAsia="ko-KR"/>
              </w:rPr>
            </w:pPr>
            <w:r w:rsidRPr="00663CA0">
              <w:rPr>
                <w:rFonts w:ascii="Times New Roman" w:eastAsia="Batang" w:hAnsi="Times New Roman" w:cs="Times New Roman"/>
                <w:sz w:val="18"/>
                <w:szCs w:val="18"/>
                <w:lang w:eastAsia="ko-KR"/>
              </w:rPr>
              <w:t xml:space="preserve">Министар надлежан 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садржину </w:t>
            </w:r>
            <w:r w:rsidR="005B77AE" w:rsidRPr="00487209">
              <w:rPr>
                <w:rFonts w:ascii="Times New Roman" w:eastAsia="Batang" w:hAnsi="Times New Roman" w:cs="Times New Roman"/>
                <w:sz w:val="18"/>
                <w:szCs w:val="18"/>
                <w:lang w:eastAsia="ko-KR"/>
              </w:rPr>
              <w:t xml:space="preserve">и врсте докумената о оцењивању и верификацији сталности перформанси у зависности од примењеног система </w:t>
            </w:r>
            <w:r w:rsidR="005B77AE" w:rsidRPr="00487209">
              <w:rPr>
                <w:rFonts w:ascii="Times New Roman" w:eastAsia="Batang" w:hAnsi="Times New Roman" w:cs="Times New Roman"/>
                <w:sz w:val="18"/>
                <w:szCs w:val="18"/>
                <w:lang w:eastAsia="ko-KR"/>
              </w:rPr>
              <w:lastRenderedPageBreak/>
              <w:t>оцењивања и верификације сталности перформанси утврђеног техничком спецификацијом или техничким прописом којим је обухваћен грађевински производ.</w:t>
            </w:r>
          </w:p>
        </w:tc>
        <w:tc>
          <w:tcPr>
            <w:tcW w:w="458" w:type="pct"/>
            <w:shd w:val="clear" w:color="auto" w:fill="auto"/>
            <w:vAlign w:val="center"/>
          </w:tcPr>
          <w:p w14:paraId="69FC1BE5" w14:textId="6F845EC0"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lastRenderedPageBreak/>
              <w:t>НУ</w:t>
            </w:r>
          </w:p>
        </w:tc>
        <w:tc>
          <w:tcPr>
            <w:tcW w:w="598" w:type="pct"/>
            <w:gridSpan w:val="2"/>
            <w:shd w:val="clear" w:color="auto" w:fill="auto"/>
            <w:vAlign w:val="center"/>
          </w:tcPr>
          <w:p w14:paraId="4433D76C" w14:textId="62CB6176"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37719A" w:rsidRPr="00487209">
              <w:rPr>
                <w:rFonts w:ascii="Times New Roman" w:hAnsi="Times New Roman" w:cs="Times New Roman"/>
                <w:sz w:val="18"/>
                <w:szCs w:val="18"/>
                <w:lang w:val="ru-RU"/>
              </w:rPr>
              <w:t>Т</w:t>
            </w:r>
            <w:r w:rsidR="0037719A">
              <w:rPr>
                <w:rFonts w:ascii="Times New Roman" w:hAnsi="Times New Roman" w:cs="Times New Roman"/>
                <w:sz w:val="18"/>
                <w:szCs w:val="18"/>
                <w:lang w:val="ru-RU"/>
              </w:rPr>
              <w:t xml:space="preserve">ачком </w:t>
            </w:r>
            <w:r w:rsidRPr="00487209">
              <w:rPr>
                <w:rFonts w:ascii="Times New Roman" w:hAnsi="Times New Roman" w:cs="Times New Roman"/>
                <w:sz w:val="18"/>
                <w:szCs w:val="18"/>
                <w:lang w:val="ru-RU"/>
              </w:rPr>
              <w:t xml:space="preserve"> </w:t>
            </w:r>
            <w:r w:rsidR="00C66EF2">
              <w:rPr>
                <w:rFonts w:ascii="Times New Roman" w:hAnsi="Times New Roman" w:cs="Times New Roman"/>
                <w:sz w:val="18"/>
                <w:szCs w:val="18"/>
                <w:lang w:val="sr-Cyrl-RS"/>
              </w:rPr>
              <w:t xml:space="preserve"> 1</w:t>
            </w:r>
            <w:r w:rsidRPr="00487209">
              <w:rPr>
                <w:rFonts w:ascii="Times New Roman" w:hAnsi="Times New Roman" w:cs="Times New Roman"/>
                <w:sz w:val="18"/>
                <w:szCs w:val="18"/>
              </w:rPr>
              <w:t>.1.(b)(iv)</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w:t>
            </w:r>
            <w:r w:rsidRPr="00487209">
              <w:rPr>
                <w:rFonts w:ascii="Times New Roman" w:hAnsi="Times New Roman" w:cs="Times New Roman"/>
                <w:sz w:val="18"/>
                <w:szCs w:val="18"/>
                <w:lang w:val="ru-RU"/>
              </w:rPr>
              <w:lastRenderedPageBreak/>
              <w:t xml:space="preserve">бити пренета подзаконским актом предвиђеним овим законом. </w:t>
            </w:r>
          </w:p>
          <w:p w14:paraId="07C6FCF5"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7E2F188"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418DF347" w14:textId="77777777" w:rsidTr="007D5144">
        <w:trPr>
          <w:trHeight w:val="1970"/>
          <w:jc w:val="center"/>
        </w:trPr>
        <w:tc>
          <w:tcPr>
            <w:tcW w:w="435" w:type="pct"/>
            <w:shd w:val="clear" w:color="auto" w:fill="auto"/>
            <w:vAlign w:val="center"/>
          </w:tcPr>
          <w:p w14:paraId="659E95AA"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V</w:t>
            </w:r>
          </w:p>
          <w:p w14:paraId="0FE076A0"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1.2.(a)(i)</w:t>
            </w:r>
          </w:p>
        </w:tc>
        <w:tc>
          <w:tcPr>
            <w:tcW w:w="1369" w:type="pct"/>
            <w:gridSpan w:val="2"/>
            <w:shd w:val="clear" w:color="auto" w:fill="auto"/>
            <w:vAlign w:val="center"/>
          </w:tcPr>
          <w:p w14:paraId="31337FC3"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1.2.    System 1</w:t>
            </w:r>
          </w:p>
          <w:p w14:paraId="1FB9390E"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The manufacturer shall carry out:</w:t>
            </w:r>
          </w:p>
          <w:p w14:paraId="1FCE8011"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 factory production control;</w:t>
            </w:r>
          </w:p>
          <w:p w14:paraId="5013C592"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p>
        </w:tc>
        <w:tc>
          <w:tcPr>
            <w:tcW w:w="429" w:type="pct"/>
            <w:shd w:val="clear" w:color="auto" w:fill="auto"/>
            <w:vAlign w:val="center"/>
          </w:tcPr>
          <w:p w14:paraId="09386B1C" w14:textId="0F6494BB" w:rsidR="005B77AE" w:rsidRPr="00487209" w:rsidRDefault="005B77AE" w:rsidP="005B77AE">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1227FF5C" w14:textId="43764F7C" w:rsidR="005B77AE" w:rsidRPr="00487209" w:rsidRDefault="005B77AE" w:rsidP="00663CA0">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w:t>
            </w:r>
            <w:r w:rsidR="00663CA0">
              <w:rPr>
                <w:rFonts w:ascii="Times New Roman" w:hAnsi="Times New Roman" w:cs="Times New Roman"/>
                <w:sz w:val="18"/>
                <w:szCs w:val="18"/>
                <w:lang w:val="ru-RU"/>
              </w:rPr>
              <w:t>05</w:t>
            </w:r>
          </w:p>
        </w:tc>
        <w:tc>
          <w:tcPr>
            <w:tcW w:w="1231" w:type="pct"/>
            <w:gridSpan w:val="2"/>
            <w:shd w:val="clear" w:color="auto" w:fill="auto"/>
            <w:vAlign w:val="center"/>
          </w:tcPr>
          <w:p w14:paraId="0273AC39" w14:textId="316DA085" w:rsidR="005B77AE" w:rsidRPr="00487209" w:rsidRDefault="00663CA0" w:rsidP="005B77AE">
            <w:pPr>
              <w:spacing w:before="120"/>
              <w:ind w:right="67"/>
              <w:jc w:val="both"/>
              <w:rPr>
                <w:rFonts w:ascii="Times New Roman" w:eastAsia="Batang" w:hAnsi="Times New Roman" w:cs="Times New Roman"/>
                <w:sz w:val="18"/>
                <w:szCs w:val="18"/>
                <w:lang w:eastAsia="ko-KR"/>
              </w:rPr>
            </w:pPr>
            <w:r w:rsidRPr="00663CA0">
              <w:rPr>
                <w:rFonts w:ascii="Times New Roman" w:eastAsia="Batang" w:hAnsi="Times New Roman" w:cs="Times New Roman"/>
                <w:sz w:val="18"/>
                <w:szCs w:val="18"/>
                <w:lang w:eastAsia="ko-KR"/>
              </w:rPr>
              <w:t>Министар надлеж</w:t>
            </w:r>
            <w:r w:rsidRPr="00663CA0">
              <w:rPr>
                <w:rFonts w:ascii="Times New Roman" w:eastAsia="Batang" w:hAnsi="Times New Roman" w:cs="Times New Roman"/>
                <w:sz w:val="18"/>
                <w:szCs w:val="18"/>
                <w:lang w:val="sr-Cyrl-CS" w:eastAsia="ko-KR"/>
              </w:rPr>
              <w:t>а</w:t>
            </w:r>
            <w:r w:rsidRPr="00663CA0">
              <w:rPr>
                <w:rFonts w:ascii="Times New Roman" w:eastAsia="Batang" w:hAnsi="Times New Roman" w:cs="Times New Roman"/>
                <w:sz w:val="18"/>
                <w:szCs w:val="18"/>
                <w:lang w:eastAsia="ko-KR"/>
              </w:rPr>
              <w:t>н 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w:t>
            </w:r>
            <w:r w:rsidRPr="00663CA0">
              <w:rPr>
                <w:rFonts w:ascii="Times New Roman" w:eastAsia="Batang" w:hAnsi="Times New Roman" w:cs="Times New Roman"/>
                <w:sz w:val="18"/>
                <w:szCs w:val="18"/>
                <w:lang w:val="sr-Cyrl-CS" w:eastAsia="ko-KR"/>
              </w:rPr>
              <w:t>ину</w:t>
            </w:r>
            <w:r w:rsidRPr="00663CA0">
              <w:rPr>
                <w:rFonts w:ascii="Times New Roman" w:eastAsia="Batang" w:hAnsi="Times New Roman" w:cs="Times New Roman"/>
                <w:sz w:val="18"/>
                <w:szCs w:val="18"/>
                <w:lang w:eastAsia="ko-KR"/>
              </w:rPr>
              <w:t xml:space="preserve"> </w:t>
            </w:r>
            <w:r w:rsidR="005B77AE" w:rsidRPr="00487209">
              <w:rPr>
                <w:rFonts w:ascii="Times New Roman" w:eastAsia="Batang" w:hAnsi="Times New Roman" w:cs="Times New Roman"/>
                <w:sz w:val="18"/>
                <w:szCs w:val="18"/>
                <w:lang w:eastAsia="ko-KR"/>
              </w:rPr>
              <w:t>и врсте докумената о оцењивању и верификацији сталности перформанси у зависности од примењеног система оцењивања и верификације сталности перформанси утврђеног техничком спецификацијом или техничким прописом којим је обухваћен грађевински производ.</w:t>
            </w:r>
          </w:p>
        </w:tc>
        <w:tc>
          <w:tcPr>
            <w:tcW w:w="458" w:type="pct"/>
            <w:shd w:val="clear" w:color="auto" w:fill="auto"/>
            <w:vAlign w:val="center"/>
          </w:tcPr>
          <w:p w14:paraId="2AA2BBD5" w14:textId="6BB3D965"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6DA7E5C7" w14:textId="1728667F"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356825" w:rsidRPr="00487209">
              <w:rPr>
                <w:rFonts w:ascii="Times New Roman" w:hAnsi="Times New Roman" w:cs="Times New Roman"/>
                <w:sz w:val="18"/>
                <w:szCs w:val="18"/>
                <w:lang w:val="ru-RU"/>
              </w:rPr>
              <w:t>Т</w:t>
            </w:r>
            <w:r w:rsidR="00356825">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1.2.(a)(i)</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бити пренета подзаконским актом предвиђеним овим законом. </w:t>
            </w:r>
          </w:p>
          <w:p w14:paraId="400CABE7"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412B9F60"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175E46B2" w14:textId="77777777" w:rsidTr="007D5144">
        <w:trPr>
          <w:trHeight w:val="1679"/>
          <w:jc w:val="center"/>
        </w:trPr>
        <w:tc>
          <w:tcPr>
            <w:tcW w:w="435" w:type="pct"/>
            <w:shd w:val="clear" w:color="auto" w:fill="auto"/>
            <w:vAlign w:val="center"/>
          </w:tcPr>
          <w:p w14:paraId="7DBAB69E"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ANNEX V</w:t>
            </w:r>
          </w:p>
          <w:p w14:paraId="7EFCC4B4"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1.2.(a)(ii)</w:t>
            </w:r>
          </w:p>
        </w:tc>
        <w:tc>
          <w:tcPr>
            <w:tcW w:w="1369" w:type="pct"/>
            <w:gridSpan w:val="2"/>
            <w:shd w:val="clear" w:color="auto" w:fill="auto"/>
            <w:vAlign w:val="center"/>
          </w:tcPr>
          <w:p w14:paraId="42133097"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(ii) further testing of samples taken at the manufacturing plant by the manufacturer in accordance with the prescribed test plan.</w:t>
            </w:r>
          </w:p>
        </w:tc>
        <w:tc>
          <w:tcPr>
            <w:tcW w:w="429" w:type="pct"/>
            <w:shd w:val="clear" w:color="auto" w:fill="auto"/>
            <w:vAlign w:val="center"/>
          </w:tcPr>
          <w:p w14:paraId="0D1E6DA1" w14:textId="1AAAF1FB" w:rsidR="005B77AE" w:rsidRPr="00487209" w:rsidRDefault="005B77AE" w:rsidP="005B77AE">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16F7FCB8" w14:textId="4E12DB1A" w:rsidR="005B77AE" w:rsidRPr="00487209" w:rsidRDefault="005B77AE" w:rsidP="00663CA0">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w:t>
            </w:r>
            <w:r w:rsidR="00663CA0">
              <w:rPr>
                <w:rFonts w:ascii="Times New Roman" w:hAnsi="Times New Roman" w:cs="Times New Roman"/>
                <w:sz w:val="18"/>
                <w:szCs w:val="18"/>
                <w:lang w:val="ru-RU"/>
              </w:rPr>
              <w:t>05</w:t>
            </w:r>
          </w:p>
        </w:tc>
        <w:tc>
          <w:tcPr>
            <w:tcW w:w="1231" w:type="pct"/>
            <w:gridSpan w:val="2"/>
            <w:shd w:val="clear" w:color="auto" w:fill="auto"/>
            <w:vAlign w:val="center"/>
          </w:tcPr>
          <w:p w14:paraId="42A6D1B8" w14:textId="63EBAFDA" w:rsidR="005B77AE" w:rsidRPr="00487209" w:rsidRDefault="00663CA0" w:rsidP="005B77AE">
            <w:pPr>
              <w:spacing w:before="120"/>
              <w:ind w:right="67"/>
              <w:jc w:val="both"/>
              <w:rPr>
                <w:rFonts w:ascii="Times New Roman" w:eastAsia="Batang" w:hAnsi="Times New Roman" w:cs="Times New Roman"/>
                <w:sz w:val="18"/>
                <w:szCs w:val="18"/>
                <w:lang w:eastAsia="ko-KR"/>
              </w:rPr>
            </w:pPr>
            <w:r w:rsidRPr="00663CA0">
              <w:rPr>
                <w:rFonts w:ascii="Times New Roman" w:eastAsia="Batang" w:hAnsi="Times New Roman" w:cs="Times New Roman"/>
                <w:sz w:val="18"/>
                <w:szCs w:val="18"/>
                <w:lang w:eastAsia="ko-KR"/>
              </w:rPr>
              <w:t xml:space="preserve">Министар надлежан 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садржину </w:t>
            </w:r>
            <w:r w:rsidR="005B77AE" w:rsidRPr="00487209">
              <w:rPr>
                <w:rFonts w:ascii="Times New Roman" w:eastAsia="Batang" w:hAnsi="Times New Roman" w:cs="Times New Roman"/>
                <w:sz w:val="18"/>
                <w:szCs w:val="18"/>
                <w:lang w:eastAsia="ko-KR"/>
              </w:rPr>
              <w:t xml:space="preserve">и врсте докумената о оцењивању и верификацији сталности перформанси у зависности од примењеног система оцењивања и верификације сталности перформанси утврђеног техничком </w:t>
            </w:r>
            <w:r w:rsidR="005B77AE" w:rsidRPr="00487209">
              <w:rPr>
                <w:rFonts w:ascii="Times New Roman" w:eastAsia="Batang" w:hAnsi="Times New Roman" w:cs="Times New Roman"/>
                <w:sz w:val="18"/>
                <w:szCs w:val="18"/>
                <w:lang w:eastAsia="ko-KR"/>
              </w:rPr>
              <w:lastRenderedPageBreak/>
              <w:t>спецификацијом или техничким прописом којим је обухваћен грађевински производ.</w:t>
            </w:r>
          </w:p>
        </w:tc>
        <w:tc>
          <w:tcPr>
            <w:tcW w:w="458" w:type="pct"/>
            <w:shd w:val="clear" w:color="auto" w:fill="auto"/>
            <w:vAlign w:val="center"/>
          </w:tcPr>
          <w:p w14:paraId="14C86680" w14:textId="434E14CE"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lastRenderedPageBreak/>
              <w:t>НУ</w:t>
            </w:r>
          </w:p>
        </w:tc>
        <w:tc>
          <w:tcPr>
            <w:tcW w:w="598" w:type="pct"/>
            <w:gridSpan w:val="2"/>
            <w:shd w:val="clear" w:color="auto" w:fill="auto"/>
            <w:vAlign w:val="center"/>
          </w:tcPr>
          <w:p w14:paraId="2580F94E" w14:textId="46372BEF"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D81A9A" w:rsidRPr="00487209">
              <w:rPr>
                <w:rFonts w:ascii="Times New Roman" w:hAnsi="Times New Roman" w:cs="Times New Roman"/>
                <w:sz w:val="18"/>
                <w:szCs w:val="18"/>
                <w:lang w:val="ru-RU"/>
              </w:rPr>
              <w:t>Т</w:t>
            </w:r>
            <w:r w:rsidR="00D81A9A">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1.2.(a)(ii)</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бити пренета подзаконским актом </w:t>
            </w:r>
            <w:r w:rsidRPr="00487209">
              <w:rPr>
                <w:rFonts w:ascii="Times New Roman" w:hAnsi="Times New Roman" w:cs="Times New Roman"/>
                <w:sz w:val="18"/>
                <w:szCs w:val="18"/>
                <w:lang w:val="ru-RU"/>
              </w:rPr>
              <w:lastRenderedPageBreak/>
              <w:t xml:space="preserve">предвиђеним овим законом. </w:t>
            </w:r>
          </w:p>
          <w:p w14:paraId="6710EA21"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0EF2E595"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1D5865AF" w14:textId="77777777" w:rsidTr="007D5144">
        <w:trPr>
          <w:trHeight w:val="3734"/>
          <w:jc w:val="center"/>
        </w:trPr>
        <w:tc>
          <w:tcPr>
            <w:tcW w:w="435" w:type="pct"/>
            <w:shd w:val="clear" w:color="auto" w:fill="auto"/>
            <w:vAlign w:val="center"/>
          </w:tcPr>
          <w:p w14:paraId="16CACBAC"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V</w:t>
            </w:r>
          </w:p>
          <w:p w14:paraId="7CF43104"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1.2.(b)(i)</w:t>
            </w:r>
          </w:p>
        </w:tc>
        <w:tc>
          <w:tcPr>
            <w:tcW w:w="1369" w:type="pct"/>
            <w:gridSpan w:val="2"/>
            <w:shd w:val="clear" w:color="auto" w:fill="auto"/>
            <w:vAlign w:val="center"/>
          </w:tcPr>
          <w:p w14:paraId="3F0954BF"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(b) The notified product certification body shall decide on the issuing, restriction, suspension or withdrawal of the certificate of constancy of performance of the construction product on the basis of the outcome of the following assessments and verifications carried out by that body:</w:t>
            </w:r>
          </w:p>
          <w:p w14:paraId="64050B9C"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 an assessment of the performance of the construction product carried out on the basis of testing (including sampling), calculation, tabulated values or descriptive documentation of the product;</w:t>
            </w:r>
          </w:p>
        </w:tc>
        <w:tc>
          <w:tcPr>
            <w:tcW w:w="429" w:type="pct"/>
            <w:shd w:val="clear" w:color="auto" w:fill="auto"/>
            <w:vAlign w:val="center"/>
          </w:tcPr>
          <w:p w14:paraId="098043E9" w14:textId="6CDE12D6" w:rsidR="005B77AE" w:rsidRPr="00487209" w:rsidRDefault="005B77AE" w:rsidP="005B77AE">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51C89C6B" w14:textId="18B9FCD7" w:rsidR="005B77AE" w:rsidRPr="00487209" w:rsidRDefault="005B77AE" w:rsidP="005B77A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29.04</w:t>
            </w:r>
          </w:p>
        </w:tc>
        <w:tc>
          <w:tcPr>
            <w:tcW w:w="1231" w:type="pct"/>
            <w:gridSpan w:val="2"/>
            <w:shd w:val="clear" w:color="auto" w:fill="auto"/>
            <w:vAlign w:val="center"/>
          </w:tcPr>
          <w:p w14:paraId="440F29BD" w14:textId="0ED9449E" w:rsidR="005B77AE" w:rsidRPr="00487209" w:rsidRDefault="00663CA0" w:rsidP="005B77AE">
            <w:pPr>
              <w:spacing w:before="120"/>
              <w:ind w:right="67"/>
              <w:jc w:val="both"/>
              <w:rPr>
                <w:rFonts w:ascii="Times New Roman" w:eastAsia="Batang" w:hAnsi="Times New Roman" w:cs="Times New Roman"/>
                <w:sz w:val="18"/>
                <w:szCs w:val="18"/>
                <w:lang w:eastAsia="ko-KR"/>
              </w:rPr>
            </w:pPr>
            <w:r w:rsidRPr="00663CA0">
              <w:rPr>
                <w:rFonts w:ascii="Times New Roman" w:eastAsia="Batang" w:hAnsi="Times New Roman" w:cs="Times New Roman"/>
                <w:sz w:val="18"/>
                <w:szCs w:val="18"/>
                <w:lang w:eastAsia="ko-KR"/>
              </w:rPr>
              <w:t xml:space="preserve">Министар надлежан 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садржину </w:t>
            </w:r>
            <w:r w:rsidR="005B77AE" w:rsidRPr="00487209">
              <w:rPr>
                <w:rFonts w:ascii="Times New Roman" w:eastAsia="Batang" w:hAnsi="Times New Roman" w:cs="Times New Roman"/>
                <w:sz w:val="18"/>
                <w:szCs w:val="18"/>
                <w:lang w:eastAsia="ko-KR"/>
              </w:rPr>
              <w:t>и врсте докумената о оцењивању и верификацији сталности перформанси у зависности од примењеног система оцењивања и верификације сталности перформанси утврђеног техничком спецификацијом или техничким прописом којим је обухваћен грађевински производ.</w:t>
            </w:r>
          </w:p>
        </w:tc>
        <w:tc>
          <w:tcPr>
            <w:tcW w:w="458" w:type="pct"/>
            <w:shd w:val="clear" w:color="auto" w:fill="auto"/>
            <w:vAlign w:val="center"/>
          </w:tcPr>
          <w:p w14:paraId="14C100B8" w14:textId="3F2F06D2"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0A258D2B" w14:textId="25005D5D"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437978" w:rsidRPr="00487209">
              <w:rPr>
                <w:rFonts w:ascii="Times New Roman" w:hAnsi="Times New Roman" w:cs="Times New Roman"/>
                <w:sz w:val="18"/>
                <w:szCs w:val="18"/>
                <w:lang w:val="ru-RU"/>
              </w:rPr>
              <w:t>Т</w:t>
            </w:r>
            <w:r w:rsidR="00437978">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1.2.(b)(i)</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бити пренета подзаконским актом предвиђеним овим законом. </w:t>
            </w:r>
          </w:p>
          <w:p w14:paraId="4B454A24"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C3A22DE"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44718275" w14:textId="77777777" w:rsidTr="007D5144">
        <w:trPr>
          <w:trHeight w:val="1125"/>
          <w:jc w:val="center"/>
        </w:trPr>
        <w:tc>
          <w:tcPr>
            <w:tcW w:w="435" w:type="pct"/>
            <w:shd w:val="clear" w:color="auto" w:fill="auto"/>
            <w:vAlign w:val="center"/>
          </w:tcPr>
          <w:p w14:paraId="6341A58A"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ANNEX V</w:t>
            </w:r>
          </w:p>
          <w:p w14:paraId="68789D76"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1.2.(b)(ii)</w:t>
            </w:r>
          </w:p>
        </w:tc>
        <w:tc>
          <w:tcPr>
            <w:tcW w:w="1369" w:type="pct"/>
            <w:gridSpan w:val="2"/>
            <w:shd w:val="clear" w:color="auto" w:fill="auto"/>
            <w:vAlign w:val="center"/>
          </w:tcPr>
          <w:p w14:paraId="763D9B25"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(ii) initial inspection of the manufacturing plant and of factory production control;</w:t>
            </w:r>
          </w:p>
        </w:tc>
        <w:tc>
          <w:tcPr>
            <w:tcW w:w="429" w:type="pct"/>
            <w:shd w:val="clear" w:color="auto" w:fill="auto"/>
            <w:vAlign w:val="center"/>
          </w:tcPr>
          <w:p w14:paraId="3782228C" w14:textId="5BCAB18E" w:rsidR="005B77AE" w:rsidRPr="00487209" w:rsidRDefault="005B77AE" w:rsidP="005B77AE">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2671B336" w14:textId="16743658" w:rsidR="005B77AE" w:rsidRPr="00487209" w:rsidRDefault="005B77AE" w:rsidP="005B77A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29.04</w:t>
            </w:r>
          </w:p>
        </w:tc>
        <w:tc>
          <w:tcPr>
            <w:tcW w:w="1231" w:type="pct"/>
            <w:gridSpan w:val="2"/>
            <w:shd w:val="clear" w:color="auto" w:fill="auto"/>
            <w:vAlign w:val="center"/>
          </w:tcPr>
          <w:p w14:paraId="72F4F5AE" w14:textId="354893BF" w:rsidR="005B77AE" w:rsidRPr="00487209" w:rsidRDefault="00663CA0" w:rsidP="005B77AE">
            <w:pPr>
              <w:spacing w:before="120"/>
              <w:ind w:right="67"/>
              <w:jc w:val="both"/>
              <w:rPr>
                <w:rFonts w:ascii="Times New Roman" w:eastAsia="Batang" w:hAnsi="Times New Roman" w:cs="Times New Roman"/>
                <w:sz w:val="18"/>
                <w:szCs w:val="18"/>
                <w:lang w:eastAsia="ko-KR"/>
              </w:rPr>
            </w:pPr>
            <w:r w:rsidRPr="00487209">
              <w:rPr>
                <w:rFonts w:ascii="Times New Roman" w:eastAsia="Batang" w:hAnsi="Times New Roman" w:cs="Times New Roman"/>
                <w:sz w:val="18"/>
                <w:szCs w:val="18"/>
                <w:lang w:eastAsia="ko-KR"/>
              </w:rPr>
              <w:t>Министар надлеж</w:t>
            </w:r>
            <w:r>
              <w:rPr>
                <w:rFonts w:ascii="Times New Roman" w:eastAsia="Batang" w:hAnsi="Times New Roman" w:cs="Times New Roman"/>
                <w:sz w:val="18"/>
                <w:szCs w:val="18"/>
                <w:lang w:val="sr-Cyrl-CS" w:eastAsia="ko-KR"/>
              </w:rPr>
              <w:t>а</w:t>
            </w:r>
            <w:r w:rsidRPr="00487209">
              <w:rPr>
                <w:rFonts w:ascii="Times New Roman" w:eastAsia="Batang" w:hAnsi="Times New Roman" w:cs="Times New Roman"/>
                <w:sz w:val="18"/>
                <w:szCs w:val="18"/>
                <w:lang w:eastAsia="ko-KR"/>
              </w:rPr>
              <w:t>н 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w:t>
            </w:r>
            <w:r>
              <w:rPr>
                <w:rFonts w:ascii="Times New Roman" w:eastAsia="Batang" w:hAnsi="Times New Roman" w:cs="Times New Roman"/>
                <w:sz w:val="18"/>
                <w:szCs w:val="18"/>
                <w:lang w:val="sr-Cyrl-CS" w:eastAsia="ko-KR"/>
              </w:rPr>
              <w:t>ину</w:t>
            </w:r>
            <w:r w:rsidR="005B77AE" w:rsidRPr="00487209">
              <w:rPr>
                <w:rFonts w:ascii="Times New Roman" w:eastAsia="Batang" w:hAnsi="Times New Roman" w:cs="Times New Roman"/>
                <w:sz w:val="18"/>
                <w:szCs w:val="18"/>
                <w:lang w:eastAsia="ko-KR"/>
              </w:rPr>
              <w:t xml:space="preserve"> и врсте докумената о оцењивању и верификацији сталности перформанси у зависности од примењеног система оцењивања и верификације сталности перформанси утврђеног техничком </w:t>
            </w:r>
            <w:r w:rsidR="005B77AE" w:rsidRPr="00487209">
              <w:rPr>
                <w:rFonts w:ascii="Times New Roman" w:eastAsia="Batang" w:hAnsi="Times New Roman" w:cs="Times New Roman"/>
                <w:sz w:val="18"/>
                <w:szCs w:val="18"/>
                <w:lang w:eastAsia="ko-KR"/>
              </w:rPr>
              <w:lastRenderedPageBreak/>
              <w:t>спецификацијом или техничким прописом којим је обухваћен грађевински производ.</w:t>
            </w:r>
          </w:p>
        </w:tc>
        <w:tc>
          <w:tcPr>
            <w:tcW w:w="458" w:type="pct"/>
            <w:shd w:val="clear" w:color="auto" w:fill="auto"/>
            <w:vAlign w:val="center"/>
          </w:tcPr>
          <w:p w14:paraId="3A8216F6" w14:textId="56FFB3E5"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lastRenderedPageBreak/>
              <w:t>НУ</w:t>
            </w:r>
          </w:p>
        </w:tc>
        <w:tc>
          <w:tcPr>
            <w:tcW w:w="598" w:type="pct"/>
            <w:gridSpan w:val="2"/>
            <w:shd w:val="clear" w:color="auto" w:fill="auto"/>
            <w:vAlign w:val="center"/>
          </w:tcPr>
          <w:p w14:paraId="2AA54EE1" w14:textId="29CCB797"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314668" w:rsidRPr="00487209">
              <w:rPr>
                <w:rFonts w:ascii="Times New Roman" w:hAnsi="Times New Roman" w:cs="Times New Roman"/>
                <w:sz w:val="18"/>
                <w:szCs w:val="18"/>
                <w:lang w:val="ru-RU"/>
              </w:rPr>
              <w:t>Т</w:t>
            </w:r>
            <w:r w:rsidR="00314668">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1.2.(b)(ii)</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бити пренета подзаконским </w:t>
            </w:r>
            <w:r w:rsidRPr="00487209">
              <w:rPr>
                <w:rFonts w:ascii="Times New Roman" w:hAnsi="Times New Roman" w:cs="Times New Roman"/>
                <w:sz w:val="18"/>
                <w:szCs w:val="18"/>
                <w:lang w:val="ru-RU"/>
              </w:rPr>
              <w:lastRenderedPageBreak/>
              <w:t xml:space="preserve">актом предвиђеним овим законом. </w:t>
            </w:r>
          </w:p>
          <w:p w14:paraId="2BB7B3DC"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417BC641"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4A483A1C" w14:textId="77777777" w:rsidTr="007D5144">
        <w:trPr>
          <w:trHeight w:val="1803"/>
          <w:jc w:val="center"/>
        </w:trPr>
        <w:tc>
          <w:tcPr>
            <w:tcW w:w="435" w:type="pct"/>
            <w:shd w:val="clear" w:color="auto" w:fill="auto"/>
            <w:vAlign w:val="center"/>
          </w:tcPr>
          <w:p w14:paraId="51A689FC"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V</w:t>
            </w:r>
          </w:p>
          <w:p w14:paraId="7D086D52"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1.2.(b)(iii)</w:t>
            </w:r>
          </w:p>
        </w:tc>
        <w:tc>
          <w:tcPr>
            <w:tcW w:w="1369" w:type="pct"/>
            <w:gridSpan w:val="2"/>
            <w:shd w:val="clear" w:color="auto" w:fill="auto"/>
            <w:vAlign w:val="center"/>
          </w:tcPr>
          <w:p w14:paraId="4756EEC1"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(iii) continuing surveillance, assessment and evaluation of factory production control.</w:t>
            </w:r>
          </w:p>
        </w:tc>
        <w:tc>
          <w:tcPr>
            <w:tcW w:w="429" w:type="pct"/>
            <w:shd w:val="clear" w:color="auto" w:fill="auto"/>
            <w:vAlign w:val="center"/>
          </w:tcPr>
          <w:p w14:paraId="4BB25394" w14:textId="52EFDED1" w:rsidR="005B77AE" w:rsidRPr="00487209" w:rsidRDefault="005B77AE" w:rsidP="005B77AE">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71533D23" w14:textId="22E81667" w:rsidR="005B77AE" w:rsidRPr="00487209" w:rsidRDefault="005B77AE" w:rsidP="00663CA0">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w:t>
            </w:r>
            <w:r w:rsidR="00663CA0">
              <w:rPr>
                <w:rFonts w:ascii="Times New Roman" w:hAnsi="Times New Roman" w:cs="Times New Roman"/>
                <w:sz w:val="18"/>
                <w:szCs w:val="18"/>
                <w:lang w:val="ru-RU"/>
              </w:rPr>
              <w:t>05</w:t>
            </w:r>
          </w:p>
        </w:tc>
        <w:tc>
          <w:tcPr>
            <w:tcW w:w="1231" w:type="pct"/>
            <w:gridSpan w:val="2"/>
            <w:shd w:val="clear" w:color="auto" w:fill="auto"/>
            <w:vAlign w:val="center"/>
          </w:tcPr>
          <w:p w14:paraId="215D4A8C" w14:textId="258CD367" w:rsidR="005B77AE" w:rsidRPr="00487209" w:rsidRDefault="005B77AE" w:rsidP="00663CA0">
            <w:pPr>
              <w:spacing w:before="120"/>
              <w:ind w:right="67"/>
              <w:jc w:val="both"/>
              <w:rPr>
                <w:rFonts w:ascii="Times New Roman" w:eastAsia="Batang" w:hAnsi="Times New Roman" w:cs="Times New Roman"/>
                <w:sz w:val="18"/>
                <w:szCs w:val="18"/>
                <w:lang w:eastAsia="ko-KR"/>
              </w:rPr>
            </w:pPr>
            <w:r w:rsidRPr="00487209">
              <w:rPr>
                <w:rFonts w:ascii="Times New Roman" w:eastAsia="Batang" w:hAnsi="Times New Roman" w:cs="Times New Roman"/>
                <w:sz w:val="18"/>
                <w:szCs w:val="18"/>
                <w:lang w:eastAsia="ko-KR"/>
              </w:rPr>
              <w:t>Министар надлеж</w:t>
            </w:r>
            <w:r w:rsidR="00663CA0">
              <w:rPr>
                <w:rFonts w:ascii="Times New Roman" w:eastAsia="Batang" w:hAnsi="Times New Roman" w:cs="Times New Roman"/>
                <w:sz w:val="18"/>
                <w:szCs w:val="18"/>
                <w:lang w:val="sr-Cyrl-CS" w:eastAsia="ko-KR"/>
              </w:rPr>
              <w:t>а</w:t>
            </w:r>
            <w:r w:rsidRPr="00487209">
              <w:rPr>
                <w:rFonts w:ascii="Times New Roman" w:eastAsia="Batang" w:hAnsi="Times New Roman" w:cs="Times New Roman"/>
                <w:sz w:val="18"/>
                <w:szCs w:val="18"/>
                <w:lang w:eastAsia="ko-KR"/>
              </w:rPr>
              <w:t>н 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садржај и врсте докумената о оцењивању и верификацији сталности перформанси у зависности од примењеног система оцењивања и верификације сталности перформанси утврђеног техничком спецификацијом или техничким прописом којим је обухваћен грађевински производ.</w:t>
            </w:r>
          </w:p>
        </w:tc>
        <w:tc>
          <w:tcPr>
            <w:tcW w:w="458" w:type="pct"/>
            <w:shd w:val="clear" w:color="auto" w:fill="auto"/>
            <w:vAlign w:val="center"/>
          </w:tcPr>
          <w:p w14:paraId="1301A6D1" w14:textId="0E64E92A"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5051A3CF" w14:textId="35404A67"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E57A19" w:rsidRPr="00487209">
              <w:rPr>
                <w:rFonts w:ascii="Times New Roman" w:hAnsi="Times New Roman" w:cs="Times New Roman"/>
                <w:sz w:val="18"/>
                <w:szCs w:val="18"/>
                <w:lang w:val="ru-RU"/>
              </w:rPr>
              <w:t>Т</w:t>
            </w:r>
            <w:r w:rsidR="00E57A19">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1.2.(b)(iii)</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бити пренета подзаконским актом предвиђеним овим законом. </w:t>
            </w:r>
          </w:p>
          <w:p w14:paraId="41695E1E"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024C759A"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622C1739" w14:textId="77777777" w:rsidTr="007D5144">
        <w:trPr>
          <w:trHeight w:val="1970"/>
          <w:jc w:val="center"/>
        </w:trPr>
        <w:tc>
          <w:tcPr>
            <w:tcW w:w="435" w:type="pct"/>
            <w:shd w:val="clear" w:color="auto" w:fill="auto"/>
            <w:vAlign w:val="center"/>
          </w:tcPr>
          <w:p w14:paraId="4FEA219C"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ANNEX V</w:t>
            </w:r>
          </w:p>
          <w:p w14:paraId="64183B8E"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1.3.(a)(i)</w:t>
            </w:r>
          </w:p>
        </w:tc>
        <w:tc>
          <w:tcPr>
            <w:tcW w:w="1369" w:type="pct"/>
            <w:gridSpan w:val="2"/>
            <w:shd w:val="clear" w:color="auto" w:fill="auto"/>
            <w:vAlign w:val="center"/>
          </w:tcPr>
          <w:p w14:paraId="10B1A748"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1.3.    System 2+</w:t>
            </w:r>
          </w:p>
          <w:p w14:paraId="0A6B2FD4"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The manufacturer shall carry out:</w:t>
            </w:r>
          </w:p>
          <w:p w14:paraId="4D16941C"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 an assessment of the performance of the construction product on the basis of testing (including sampling), calculation, tabulated values or descriptive documentation of that product;</w:t>
            </w:r>
          </w:p>
        </w:tc>
        <w:tc>
          <w:tcPr>
            <w:tcW w:w="429" w:type="pct"/>
            <w:shd w:val="clear" w:color="auto" w:fill="auto"/>
            <w:vAlign w:val="center"/>
          </w:tcPr>
          <w:p w14:paraId="7811CF5E" w14:textId="35558E38" w:rsidR="005B77AE" w:rsidRPr="00487209" w:rsidRDefault="005B77AE" w:rsidP="005B77AE">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1427AA3C" w14:textId="64A75209" w:rsidR="005B77AE" w:rsidRPr="00487209" w:rsidRDefault="005B77AE" w:rsidP="00663CA0">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w:t>
            </w:r>
            <w:r w:rsidR="00663CA0">
              <w:rPr>
                <w:rFonts w:ascii="Times New Roman" w:hAnsi="Times New Roman" w:cs="Times New Roman"/>
                <w:sz w:val="18"/>
                <w:szCs w:val="18"/>
                <w:lang w:val="ru-RU"/>
              </w:rPr>
              <w:t>05</w:t>
            </w:r>
          </w:p>
        </w:tc>
        <w:tc>
          <w:tcPr>
            <w:tcW w:w="1231" w:type="pct"/>
            <w:gridSpan w:val="2"/>
            <w:shd w:val="clear" w:color="auto" w:fill="auto"/>
            <w:vAlign w:val="center"/>
          </w:tcPr>
          <w:p w14:paraId="2F255950" w14:textId="40B1BDB9" w:rsidR="005B77AE" w:rsidRPr="00487209" w:rsidRDefault="00663CA0" w:rsidP="005B77AE">
            <w:pPr>
              <w:spacing w:before="120"/>
              <w:ind w:right="67"/>
              <w:jc w:val="both"/>
              <w:rPr>
                <w:rFonts w:ascii="Times New Roman" w:eastAsia="Batang" w:hAnsi="Times New Roman" w:cs="Times New Roman"/>
                <w:sz w:val="18"/>
                <w:szCs w:val="18"/>
                <w:lang w:eastAsia="ko-KR"/>
              </w:rPr>
            </w:pPr>
            <w:r w:rsidRPr="00663CA0">
              <w:rPr>
                <w:rFonts w:ascii="Times New Roman" w:eastAsia="Batang" w:hAnsi="Times New Roman" w:cs="Times New Roman"/>
                <w:sz w:val="18"/>
                <w:szCs w:val="18"/>
                <w:lang w:eastAsia="ko-KR"/>
              </w:rPr>
              <w:t xml:space="preserve">Министар надлежан </w:t>
            </w:r>
            <w:r w:rsidR="005B77AE" w:rsidRPr="00487209">
              <w:rPr>
                <w:rFonts w:ascii="Times New Roman" w:eastAsia="Batang" w:hAnsi="Times New Roman" w:cs="Times New Roman"/>
                <w:sz w:val="18"/>
                <w:szCs w:val="18"/>
                <w:lang w:eastAsia="ko-KR"/>
              </w:rPr>
              <w:t xml:space="preserve">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садржај и врсте докумената о оцењивању и верификацији сталности перформанси у зависности од примењеног система оцењивања и верификације сталности перформанси утврђеног техничком спецификацијом или техничким </w:t>
            </w:r>
            <w:r w:rsidR="005B77AE" w:rsidRPr="00487209">
              <w:rPr>
                <w:rFonts w:ascii="Times New Roman" w:eastAsia="Batang" w:hAnsi="Times New Roman" w:cs="Times New Roman"/>
                <w:sz w:val="18"/>
                <w:szCs w:val="18"/>
                <w:lang w:eastAsia="ko-KR"/>
              </w:rPr>
              <w:lastRenderedPageBreak/>
              <w:t>прописом којим је обухваћен грађевински производ.</w:t>
            </w:r>
          </w:p>
        </w:tc>
        <w:tc>
          <w:tcPr>
            <w:tcW w:w="458" w:type="pct"/>
            <w:shd w:val="clear" w:color="auto" w:fill="auto"/>
            <w:vAlign w:val="center"/>
          </w:tcPr>
          <w:p w14:paraId="46E02EE6" w14:textId="25090C90"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lastRenderedPageBreak/>
              <w:t>НУ</w:t>
            </w:r>
          </w:p>
        </w:tc>
        <w:tc>
          <w:tcPr>
            <w:tcW w:w="598" w:type="pct"/>
            <w:gridSpan w:val="2"/>
            <w:shd w:val="clear" w:color="auto" w:fill="auto"/>
            <w:vAlign w:val="center"/>
          </w:tcPr>
          <w:p w14:paraId="6733B146" w14:textId="21EDC48F"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D11C4A" w:rsidRPr="00487209">
              <w:rPr>
                <w:rFonts w:ascii="Times New Roman" w:hAnsi="Times New Roman" w:cs="Times New Roman"/>
                <w:sz w:val="18"/>
                <w:szCs w:val="18"/>
                <w:lang w:val="ru-RU"/>
              </w:rPr>
              <w:t>Т</w:t>
            </w:r>
            <w:r w:rsidR="00D11C4A">
              <w:rPr>
                <w:rFonts w:ascii="Times New Roman" w:hAnsi="Times New Roman" w:cs="Times New Roman"/>
                <w:sz w:val="18"/>
                <w:szCs w:val="18"/>
                <w:lang w:val="ru-RU"/>
              </w:rPr>
              <w:t xml:space="preserve">ачком </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1.3.(a)(i)</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бити пренета подзаконским актом предвиђеним </w:t>
            </w:r>
            <w:r w:rsidRPr="00487209">
              <w:rPr>
                <w:rFonts w:ascii="Times New Roman" w:hAnsi="Times New Roman" w:cs="Times New Roman"/>
                <w:sz w:val="18"/>
                <w:szCs w:val="18"/>
                <w:lang w:val="ru-RU"/>
              </w:rPr>
              <w:lastRenderedPageBreak/>
              <w:t xml:space="preserve">овим законом. </w:t>
            </w:r>
          </w:p>
          <w:p w14:paraId="2174096B"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B9A1BDE"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309EAB02" w14:textId="77777777" w:rsidTr="007D5144">
        <w:trPr>
          <w:trHeight w:val="3960"/>
          <w:jc w:val="center"/>
        </w:trPr>
        <w:tc>
          <w:tcPr>
            <w:tcW w:w="435" w:type="pct"/>
            <w:shd w:val="clear" w:color="auto" w:fill="auto"/>
            <w:vAlign w:val="center"/>
          </w:tcPr>
          <w:p w14:paraId="5083BE0C"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V</w:t>
            </w:r>
          </w:p>
          <w:p w14:paraId="691EB21E"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1.3.(a)(ii)</w:t>
            </w:r>
          </w:p>
        </w:tc>
        <w:tc>
          <w:tcPr>
            <w:tcW w:w="1369" w:type="pct"/>
            <w:gridSpan w:val="2"/>
            <w:shd w:val="clear" w:color="auto" w:fill="auto"/>
            <w:vAlign w:val="center"/>
          </w:tcPr>
          <w:p w14:paraId="59A407FB"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(ii) factory production control;</w:t>
            </w:r>
          </w:p>
        </w:tc>
        <w:tc>
          <w:tcPr>
            <w:tcW w:w="429" w:type="pct"/>
            <w:shd w:val="clear" w:color="auto" w:fill="auto"/>
            <w:vAlign w:val="center"/>
          </w:tcPr>
          <w:p w14:paraId="22865EB7" w14:textId="24F1BA61" w:rsidR="005B77AE" w:rsidRPr="00487209" w:rsidRDefault="005B77AE" w:rsidP="005B77AE">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30E4309E" w14:textId="18DC16EA" w:rsidR="005B77AE" w:rsidRPr="00487209" w:rsidRDefault="005B77AE" w:rsidP="00663CA0">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w:t>
            </w:r>
            <w:r w:rsidR="00663CA0">
              <w:rPr>
                <w:rFonts w:ascii="Times New Roman" w:hAnsi="Times New Roman" w:cs="Times New Roman"/>
                <w:sz w:val="18"/>
                <w:szCs w:val="18"/>
                <w:lang w:val="ru-RU"/>
              </w:rPr>
              <w:t>05</w:t>
            </w:r>
          </w:p>
        </w:tc>
        <w:tc>
          <w:tcPr>
            <w:tcW w:w="1231" w:type="pct"/>
            <w:gridSpan w:val="2"/>
            <w:shd w:val="clear" w:color="auto" w:fill="auto"/>
            <w:vAlign w:val="center"/>
          </w:tcPr>
          <w:p w14:paraId="600AC53E" w14:textId="322F9D39" w:rsidR="005B77AE" w:rsidRPr="00487209" w:rsidRDefault="00663CA0" w:rsidP="005B77AE">
            <w:pPr>
              <w:spacing w:before="120"/>
              <w:ind w:right="67"/>
              <w:jc w:val="both"/>
              <w:rPr>
                <w:rFonts w:ascii="Times New Roman" w:eastAsia="Batang" w:hAnsi="Times New Roman" w:cs="Times New Roman"/>
                <w:sz w:val="18"/>
                <w:szCs w:val="18"/>
                <w:lang w:eastAsia="ko-KR"/>
              </w:rPr>
            </w:pPr>
            <w:r w:rsidRPr="00663CA0">
              <w:rPr>
                <w:rFonts w:ascii="Times New Roman" w:eastAsia="Batang" w:hAnsi="Times New Roman" w:cs="Times New Roman"/>
                <w:sz w:val="18"/>
                <w:szCs w:val="18"/>
                <w:lang w:eastAsia="ko-KR"/>
              </w:rPr>
              <w:t xml:space="preserve">Министар надлежан </w:t>
            </w:r>
            <w:r w:rsidR="005B77AE" w:rsidRPr="00487209">
              <w:rPr>
                <w:rFonts w:ascii="Times New Roman" w:eastAsia="Batang" w:hAnsi="Times New Roman" w:cs="Times New Roman"/>
                <w:sz w:val="18"/>
                <w:szCs w:val="18"/>
                <w:lang w:eastAsia="ko-KR"/>
              </w:rPr>
              <w:t>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садржај и врсте докумената о оцењивању и верификацији сталности перформанси у зависности од примењеног система оцењивања и верификације сталности перформанси утврђеног техничком спецификацијом или техничким прописом којим је обухваћен грађевински производ.</w:t>
            </w:r>
          </w:p>
          <w:p w14:paraId="0A6F79D5" w14:textId="77777777" w:rsidR="005B77AE" w:rsidRPr="00487209" w:rsidRDefault="005B77AE" w:rsidP="005B77AE">
            <w:pPr>
              <w:tabs>
                <w:tab w:val="left" w:pos="830"/>
              </w:tabs>
              <w:spacing w:before="240"/>
              <w:ind w:right="67" w:hanging="240"/>
              <w:jc w:val="both"/>
              <w:rPr>
                <w:rFonts w:ascii="Times New Roman" w:hAnsi="Times New Roman" w:cs="Times New Roman"/>
                <w:sz w:val="18"/>
                <w:szCs w:val="18"/>
                <w:lang w:val="es-ES"/>
              </w:rPr>
            </w:pPr>
          </w:p>
        </w:tc>
        <w:tc>
          <w:tcPr>
            <w:tcW w:w="458" w:type="pct"/>
            <w:shd w:val="clear" w:color="auto" w:fill="auto"/>
            <w:vAlign w:val="center"/>
          </w:tcPr>
          <w:p w14:paraId="71A1956D" w14:textId="10FAACAD"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7BBF21CA" w14:textId="71F6FAD1"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D11C4A" w:rsidRPr="00487209">
              <w:rPr>
                <w:rFonts w:ascii="Times New Roman" w:hAnsi="Times New Roman" w:cs="Times New Roman"/>
                <w:sz w:val="18"/>
                <w:szCs w:val="18"/>
                <w:lang w:val="ru-RU"/>
              </w:rPr>
              <w:t>Т</w:t>
            </w:r>
            <w:r w:rsidR="00D11C4A">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1.3.(a)(ii)</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бити пренета подзаконским актом предвиђеним овим законом. </w:t>
            </w:r>
          </w:p>
          <w:p w14:paraId="5EEE6783"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B060299"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44D7D44C" w14:textId="77777777" w:rsidTr="007D5144">
        <w:trPr>
          <w:trHeight w:val="1699"/>
          <w:jc w:val="center"/>
        </w:trPr>
        <w:tc>
          <w:tcPr>
            <w:tcW w:w="435" w:type="pct"/>
            <w:shd w:val="clear" w:color="auto" w:fill="auto"/>
            <w:vAlign w:val="center"/>
          </w:tcPr>
          <w:p w14:paraId="52133648"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ANNEX V</w:t>
            </w:r>
          </w:p>
          <w:p w14:paraId="461637BB" w14:textId="3DA18718"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1.3.(a)(iii)</w:t>
            </w:r>
          </w:p>
        </w:tc>
        <w:tc>
          <w:tcPr>
            <w:tcW w:w="1369" w:type="pct"/>
            <w:gridSpan w:val="2"/>
            <w:shd w:val="clear" w:color="auto" w:fill="auto"/>
            <w:vAlign w:val="center"/>
          </w:tcPr>
          <w:p w14:paraId="5D64D706"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(iii) testing of samples taken at the manufacturing plant by the manufacturer in accordance with the prescribed test plan.</w:t>
            </w:r>
          </w:p>
        </w:tc>
        <w:tc>
          <w:tcPr>
            <w:tcW w:w="429" w:type="pct"/>
            <w:shd w:val="clear" w:color="auto" w:fill="auto"/>
            <w:vAlign w:val="center"/>
          </w:tcPr>
          <w:p w14:paraId="36998291" w14:textId="49BE10DA" w:rsidR="005B77AE" w:rsidRPr="00487209" w:rsidRDefault="005B77AE" w:rsidP="005B77AE">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2D81D1CE" w14:textId="21620FCF" w:rsidR="005B77AE" w:rsidRPr="00487209" w:rsidRDefault="005B77AE" w:rsidP="00663CA0">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w:t>
            </w:r>
            <w:r w:rsidR="00663CA0">
              <w:rPr>
                <w:rFonts w:ascii="Times New Roman" w:hAnsi="Times New Roman" w:cs="Times New Roman"/>
                <w:sz w:val="18"/>
                <w:szCs w:val="18"/>
                <w:lang w:val="ru-RU"/>
              </w:rPr>
              <w:t>05</w:t>
            </w:r>
          </w:p>
        </w:tc>
        <w:tc>
          <w:tcPr>
            <w:tcW w:w="1231" w:type="pct"/>
            <w:gridSpan w:val="2"/>
            <w:shd w:val="clear" w:color="auto" w:fill="auto"/>
            <w:vAlign w:val="center"/>
          </w:tcPr>
          <w:p w14:paraId="74068F65" w14:textId="0E50A696" w:rsidR="005B77AE" w:rsidRPr="00487209" w:rsidRDefault="00663CA0" w:rsidP="005B77AE">
            <w:pPr>
              <w:spacing w:before="120"/>
              <w:ind w:right="67"/>
              <w:jc w:val="both"/>
              <w:rPr>
                <w:rFonts w:ascii="Times New Roman" w:eastAsia="Batang" w:hAnsi="Times New Roman" w:cs="Times New Roman"/>
                <w:sz w:val="18"/>
                <w:szCs w:val="18"/>
                <w:lang w:eastAsia="ko-KR"/>
              </w:rPr>
            </w:pPr>
            <w:r w:rsidRPr="00663CA0">
              <w:rPr>
                <w:rFonts w:ascii="Times New Roman" w:eastAsia="Batang" w:hAnsi="Times New Roman" w:cs="Times New Roman"/>
                <w:sz w:val="18"/>
                <w:szCs w:val="18"/>
                <w:lang w:eastAsia="ko-KR"/>
              </w:rPr>
              <w:t xml:space="preserve">Министар надлежан </w:t>
            </w:r>
            <w:r w:rsidR="005B77AE" w:rsidRPr="00487209">
              <w:rPr>
                <w:rFonts w:ascii="Times New Roman" w:eastAsia="Batang" w:hAnsi="Times New Roman" w:cs="Times New Roman"/>
                <w:sz w:val="18"/>
                <w:szCs w:val="18"/>
                <w:lang w:eastAsia="ko-KR"/>
              </w:rPr>
              <w:t xml:space="preserve">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садржај и врсте докумената о оцењивању и верификацији сталности перформанси </w:t>
            </w:r>
            <w:r w:rsidR="005B77AE" w:rsidRPr="00487209">
              <w:rPr>
                <w:rFonts w:ascii="Times New Roman" w:eastAsia="Batang" w:hAnsi="Times New Roman" w:cs="Times New Roman"/>
                <w:sz w:val="18"/>
                <w:szCs w:val="18"/>
                <w:lang w:eastAsia="ko-KR"/>
              </w:rPr>
              <w:lastRenderedPageBreak/>
              <w:t>у зависности од примењеног система оцењивања и верификације сталности перформанси утврђеног техничком спецификацијом или техничким прописом којим је обухваћен грађевински производ.</w:t>
            </w:r>
          </w:p>
        </w:tc>
        <w:tc>
          <w:tcPr>
            <w:tcW w:w="458" w:type="pct"/>
            <w:shd w:val="clear" w:color="auto" w:fill="auto"/>
            <w:vAlign w:val="center"/>
          </w:tcPr>
          <w:p w14:paraId="3AB8112D" w14:textId="6D223E30"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НУ</w:t>
            </w:r>
          </w:p>
        </w:tc>
        <w:tc>
          <w:tcPr>
            <w:tcW w:w="598" w:type="pct"/>
            <w:gridSpan w:val="2"/>
            <w:shd w:val="clear" w:color="auto" w:fill="auto"/>
            <w:vAlign w:val="center"/>
          </w:tcPr>
          <w:p w14:paraId="55B898EB" w14:textId="64C5A3E4"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39492F" w:rsidRPr="00487209">
              <w:rPr>
                <w:rFonts w:ascii="Times New Roman" w:hAnsi="Times New Roman" w:cs="Times New Roman"/>
                <w:sz w:val="18"/>
                <w:szCs w:val="18"/>
                <w:lang w:val="ru-RU"/>
              </w:rPr>
              <w:t>Т</w:t>
            </w:r>
            <w:r w:rsidR="0039492F">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1.2.(a)(iii)</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w:t>
            </w:r>
            <w:r w:rsidRPr="00487209">
              <w:rPr>
                <w:rFonts w:ascii="Times New Roman" w:hAnsi="Times New Roman" w:cs="Times New Roman"/>
                <w:sz w:val="18"/>
                <w:szCs w:val="18"/>
                <w:lang w:val="ru-RU"/>
              </w:rPr>
              <w:lastRenderedPageBreak/>
              <w:t xml:space="preserve">(ЕУ). Одредба ће бити пренета подзаконским актом предвиђеним овим законом. </w:t>
            </w:r>
          </w:p>
          <w:p w14:paraId="4277AC03"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040EBF91"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5285D47C" w14:textId="77777777" w:rsidTr="007D5144">
        <w:trPr>
          <w:trHeight w:val="3039"/>
          <w:jc w:val="center"/>
        </w:trPr>
        <w:tc>
          <w:tcPr>
            <w:tcW w:w="435" w:type="pct"/>
            <w:shd w:val="clear" w:color="auto" w:fill="auto"/>
            <w:vAlign w:val="center"/>
          </w:tcPr>
          <w:p w14:paraId="26F85169"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V</w:t>
            </w:r>
          </w:p>
          <w:p w14:paraId="1F57EEE8"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1.3.(b)(i)</w:t>
            </w:r>
          </w:p>
        </w:tc>
        <w:tc>
          <w:tcPr>
            <w:tcW w:w="1369" w:type="pct"/>
            <w:gridSpan w:val="2"/>
            <w:shd w:val="clear" w:color="auto" w:fill="auto"/>
            <w:vAlign w:val="center"/>
          </w:tcPr>
          <w:p w14:paraId="0B74F1E2"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(b) The notified factory production control certification body shall decide on the issuing, restriction, suspension or withdrawal of the certificate of conformity of the factory production control on the basis of the outcome of the following assessments and verifications carried out by that body:</w:t>
            </w:r>
          </w:p>
          <w:p w14:paraId="2070160A"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 initial inspection of the manufacturing plant and of factory production control;</w:t>
            </w:r>
          </w:p>
        </w:tc>
        <w:tc>
          <w:tcPr>
            <w:tcW w:w="429" w:type="pct"/>
            <w:shd w:val="clear" w:color="auto" w:fill="auto"/>
            <w:vAlign w:val="center"/>
          </w:tcPr>
          <w:p w14:paraId="41922329" w14:textId="041E8DB3" w:rsidR="005B77AE" w:rsidRPr="00487209" w:rsidRDefault="005B77AE" w:rsidP="005B77AE">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2D80AB8B" w14:textId="1702CB7E" w:rsidR="005B77AE" w:rsidRPr="00487209" w:rsidRDefault="005B77AE" w:rsidP="00663CA0">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w:t>
            </w:r>
            <w:r w:rsidR="00663CA0">
              <w:rPr>
                <w:rFonts w:ascii="Times New Roman" w:hAnsi="Times New Roman" w:cs="Times New Roman"/>
                <w:sz w:val="18"/>
                <w:szCs w:val="18"/>
                <w:lang w:val="ru-RU"/>
              </w:rPr>
              <w:t>05</w:t>
            </w:r>
          </w:p>
        </w:tc>
        <w:tc>
          <w:tcPr>
            <w:tcW w:w="1231" w:type="pct"/>
            <w:gridSpan w:val="2"/>
            <w:shd w:val="clear" w:color="auto" w:fill="auto"/>
            <w:vAlign w:val="center"/>
          </w:tcPr>
          <w:p w14:paraId="5AAB28AF" w14:textId="5984CC60" w:rsidR="005B77AE" w:rsidRPr="00487209" w:rsidRDefault="00663CA0" w:rsidP="005B77AE">
            <w:pPr>
              <w:spacing w:before="120"/>
              <w:ind w:right="67"/>
              <w:jc w:val="both"/>
              <w:rPr>
                <w:rFonts w:ascii="Times New Roman" w:eastAsia="Batang" w:hAnsi="Times New Roman" w:cs="Times New Roman"/>
                <w:sz w:val="18"/>
                <w:szCs w:val="18"/>
                <w:lang w:eastAsia="ko-KR"/>
              </w:rPr>
            </w:pPr>
            <w:r w:rsidRPr="00663CA0">
              <w:rPr>
                <w:rFonts w:ascii="Times New Roman" w:eastAsia="Batang" w:hAnsi="Times New Roman" w:cs="Times New Roman"/>
                <w:sz w:val="18"/>
                <w:szCs w:val="18"/>
                <w:lang w:eastAsia="ko-KR"/>
              </w:rPr>
              <w:t xml:space="preserve">Министар надлежан </w:t>
            </w:r>
            <w:r w:rsidR="005B77AE" w:rsidRPr="00487209">
              <w:rPr>
                <w:rFonts w:ascii="Times New Roman" w:eastAsia="Batang" w:hAnsi="Times New Roman" w:cs="Times New Roman"/>
                <w:sz w:val="18"/>
                <w:szCs w:val="18"/>
                <w:lang w:eastAsia="ko-KR"/>
              </w:rPr>
              <w:t>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садржај и врсте докумената о оцењивању и верификацији сталности перформанси у зависности од примењеног система оцењивања и верификације сталности перформанси утврђеног техничком спецификацијом или техничким прописом којим је обухваћен грађевински производ.</w:t>
            </w:r>
          </w:p>
        </w:tc>
        <w:tc>
          <w:tcPr>
            <w:tcW w:w="458" w:type="pct"/>
            <w:shd w:val="clear" w:color="auto" w:fill="auto"/>
            <w:vAlign w:val="center"/>
          </w:tcPr>
          <w:p w14:paraId="7344B316" w14:textId="04A775F8" w:rsidR="005B77AE" w:rsidRPr="00487209" w:rsidRDefault="005B77AE" w:rsidP="005B77AE">
            <w:pPr>
              <w:spacing w:before="120" w:after="120"/>
              <w:jc w:val="center"/>
              <w:rPr>
                <w:rFonts w:ascii="Times New Roman" w:hAnsi="Times New Roman" w:cs="Times New Roman"/>
                <w:b/>
                <w:sz w:val="18"/>
                <w:szCs w:val="18"/>
                <w:lang w:val="sr-Cyrl-CS"/>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27655D5F" w14:textId="1CE0AF14"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39492F" w:rsidRPr="00487209">
              <w:rPr>
                <w:rFonts w:ascii="Times New Roman" w:hAnsi="Times New Roman" w:cs="Times New Roman"/>
                <w:sz w:val="18"/>
                <w:szCs w:val="18"/>
                <w:lang w:val="ru-RU"/>
              </w:rPr>
              <w:t>Т</w:t>
            </w:r>
            <w:r w:rsidR="0039492F">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1.3.(b)(i)</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бити пренета подзаконским актом предвиђеним овим законом. </w:t>
            </w:r>
          </w:p>
          <w:p w14:paraId="2D975A50" w14:textId="77777777" w:rsidR="005B77AE" w:rsidRPr="00487209" w:rsidRDefault="005B77AE" w:rsidP="005B77AE">
            <w:pPr>
              <w:spacing w:before="120" w:after="120"/>
              <w:ind w:firstLine="21"/>
              <w:jc w:val="center"/>
              <w:rPr>
                <w:rFonts w:ascii="Times New Roman" w:hAnsi="Times New Roman" w:cs="Times New Roman"/>
                <w:b/>
                <w:sz w:val="18"/>
                <w:szCs w:val="18"/>
                <w:lang w:val="ru-RU"/>
              </w:rPr>
            </w:pPr>
          </w:p>
        </w:tc>
        <w:tc>
          <w:tcPr>
            <w:tcW w:w="480" w:type="pct"/>
            <w:shd w:val="clear" w:color="auto" w:fill="auto"/>
            <w:vAlign w:val="center"/>
          </w:tcPr>
          <w:p w14:paraId="22708AB4"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3ABCF15A" w14:textId="77777777" w:rsidTr="007D5144">
        <w:trPr>
          <w:trHeight w:val="972"/>
          <w:jc w:val="center"/>
        </w:trPr>
        <w:tc>
          <w:tcPr>
            <w:tcW w:w="435" w:type="pct"/>
            <w:shd w:val="clear" w:color="auto" w:fill="auto"/>
            <w:vAlign w:val="center"/>
          </w:tcPr>
          <w:p w14:paraId="7335829E"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ANNEX V</w:t>
            </w:r>
          </w:p>
          <w:p w14:paraId="66E0E4FA"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1.3.(b)(ii)</w:t>
            </w:r>
          </w:p>
        </w:tc>
        <w:tc>
          <w:tcPr>
            <w:tcW w:w="1369" w:type="pct"/>
            <w:gridSpan w:val="2"/>
            <w:shd w:val="clear" w:color="auto" w:fill="auto"/>
            <w:vAlign w:val="center"/>
          </w:tcPr>
          <w:p w14:paraId="5CBD3524"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(ii) continuing surveillance, assessment and evaluation of factory production control.</w:t>
            </w:r>
          </w:p>
        </w:tc>
        <w:tc>
          <w:tcPr>
            <w:tcW w:w="429" w:type="pct"/>
            <w:shd w:val="clear" w:color="auto" w:fill="auto"/>
            <w:vAlign w:val="center"/>
          </w:tcPr>
          <w:p w14:paraId="3B76CDFC" w14:textId="4457A7FD" w:rsidR="005B77AE" w:rsidRPr="00487209" w:rsidRDefault="005B77AE" w:rsidP="005B77AE">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36011A83" w14:textId="7E6A8C03" w:rsidR="005B77AE" w:rsidRPr="00487209" w:rsidRDefault="005B77AE" w:rsidP="00663CA0">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w:t>
            </w:r>
            <w:r w:rsidR="00663CA0" w:rsidRPr="00487209">
              <w:rPr>
                <w:rFonts w:ascii="Times New Roman" w:hAnsi="Times New Roman" w:cs="Times New Roman"/>
                <w:sz w:val="18"/>
                <w:szCs w:val="18"/>
                <w:lang w:val="ru-RU"/>
              </w:rPr>
              <w:t>0</w:t>
            </w:r>
            <w:r w:rsidR="00663CA0">
              <w:rPr>
                <w:rFonts w:ascii="Times New Roman" w:hAnsi="Times New Roman" w:cs="Times New Roman"/>
                <w:sz w:val="18"/>
                <w:szCs w:val="18"/>
                <w:lang w:val="ru-RU"/>
              </w:rPr>
              <w:t>5</w:t>
            </w:r>
          </w:p>
        </w:tc>
        <w:tc>
          <w:tcPr>
            <w:tcW w:w="1231" w:type="pct"/>
            <w:gridSpan w:val="2"/>
            <w:shd w:val="clear" w:color="auto" w:fill="auto"/>
            <w:vAlign w:val="center"/>
          </w:tcPr>
          <w:p w14:paraId="6362E782" w14:textId="6535BBE2" w:rsidR="005B77AE" w:rsidRPr="00487209" w:rsidRDefault="00663CA0" w:rsidP="005B77AE">
            <w:pPr>
              <w:spacing w:before="120"/>
              <w:ind w:right="67"/>
              <w:jc w:val="both"/>
              <w:rPr>
                <w:rFonts w:ascii="Times New Roman" w:eastAsia="Batang" w:hAnsi="Times New Roman" w:cs="Times New Roman"/>
                <w:sz w:val="18"/>
                <w:szCs w:val="18"/>
                <w:lang w:eastAsia="ko-KR"/>
              </w:rPr>
            </w:pPr>
            <w:r w:rsidRPr="00663CA0">
              <w:rPr>
                <w:rFonts w:ascii="Times New Roman" w:eastAsia="Batang" w:hAnsi="Times New Roman" w:cs="Times New Roman"/>
                <w:sz w:val="18"/>
                <w:szCs w:val="18"/>
                <w:lang w:eastAsia="ko-KR"/>
              </w:rPr>
              <w:t xml:space="preserve">Министар надлежан </w:t>
            </w:r>
            <w:r w:rsidR="005B77AE" w:rsidRPr="00487209">
              <w:rPr>
                <w:rFonts w:ascii="Times New Roman" w:eastAsia="Batang" w:hAnsi="Times New Roman" w:cs="Times New Roman"/>
                <w:sz w:val="18"/>
                <w:szCs w:val="18"/>
                <w:lang w:eastAsia="ko-KR"/>
              </w:rPr>
              <w:t xml:space="preserve">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садржај и врсте докумената о оцењивању и верификацији сталности перформанси у зависности од примењеног система оцењивања и верификације сталности перформанси утврђеног техничком </w:t>
            </w:r>
            <w:r w:rsidR="005B77AE" w:rsidRPr="00487209">
              <w:rPr>
                <w:rFonts w:ascii="Times New Roman" w:eastAsia="Batang" w:hAnsi="Times New Roman" w:cs="Times New Roman"/>
                <w:sz w:val="18"/>
                <w:szCs w:val="18"/>
                <w:lang w:eastAsia="ko-KR"/>
              </w:rPr>
              <w:lastRenderedPageBreak/>
              <w:t>спецификацијом или техничким прописом којим је обухваћен грађевински производ.</w:t>
            </w:r>
          </w:p>
        </w:tc>
        <w:tc>
          <w:tcPr>
            <w:tcW w:w="458" w:type="pct"/>
            <w:shd w:val="clear" w:color="auto" w:fill="auto"/>
            <w:vAlign w:val="center"/>
          </w:tcPr>
          <w:p w14:paraId="645850D9" w14:textId="7BAE6CAD"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НУ</w:t>
            </w:r>
          </w:p>
        </w:tc>
        <w:tc>
          <w:tcPr>
            <w:tcW w:w="598" w:type="pct"/>
            <w:gridSpan w:val="2"/>
            <w:shd w:val="clear" w:color="auto" w:fill="auto"/>
            <w:vAlign w:val="center"/>
          </w:tcPr>
          <w:p w14:paraId="6D8C224E" w14:textId="6474E9B8"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39492F" w:rsidRPr="00487209">
              <w:rPr>
                <w:rFonts w:ascii="Times New Roman" w:hAnsi="Times New Roman" w:cs="Times New Roman"/>
                <w:sz w:val="18"/>
                <w:szCs w:val="18"/>
                <w:lang w:val="ru-RU"/>
              </w:rPr>
              <w:t>Т</w:t>
            </w:r>
            <w:r w:rsidR="0039492F">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1.3.(b)(ii)</w:t>
            </w:r>
            <w:r w:rsidRPr="00487209">
              <w:rPr>
                <w:rFonts w:ascii="Times New Roman" w:hAnsi="Times New Roman" w:cs="Times New Roman"/>
                <w:iCs/>
                <w:sz w:val="18"/>
                <w:szCs w:val="18"/>
                <w:lang w:val="sr-Cyrl-CS"/>
              </w:rPr>
              <w:t>.</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бити пренета подзаконским </w:t>
            </w:r>
            <w:r w:rsidRPr="00487209">
              <w:rPr>
                <w:rFonts w:ascii="Times New Roman" w:hAnsi="Times New Roman" w:cs="Times New Roman"/>
                <w:sz w:val="18"/>
                <w:szCs w:val="18"/>
                <w:lang w:val="ru-RU"/>
              </w:rPr>
              <w:lastRenderedPageBreak/>
              <w:t xml:space="preserve">актом предвиђеним овим законом. </w:t>
            </w:r>
          </w:p>
          <w:p w14:paraId="2B2280E1"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65B70EBA"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71B484BD" w14:textId="77777777" w:rsidTr="007D5144">
        <w:trPr>
          <w:trHeight w:val="1694"/>
          <w:jc w:val="center"/>
        </w:trPr>
        <w:tc>
          <w:tcPr>
            <w:tcW w:w="435" w:type="pct"/>
            <w:shd w:val="clear" w:color="auto" w:fill="auto"/>
            <w:vAlign w:val="center"/>
          </w:tcPr>
          <w:p w14:paraId="7D83E63A"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V</w:t>
            </w:r>
          </w:p>
          <w:p w14:paraId="48244BC9"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1.4.(a)</w:t>
            </w:r>
          </w:p>
        </w:tc>
        <w:tc>
          <w:tcPr>
            <w:tcW w:w="1369" w:type="pct"/>
            <w:gridSpan w:val="2"/>
            <w:shd w:val="clear" w:color="auto" w:fill="auto"/>
            <w:vAlign w:val="center"/>
          </w:tcPr>
          <w:p w14:paraId="337C3CA8"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1.4.    System 3</w:t>
            </w:r>
          </w:p>
          <w:p w14:paraId="402FBC51"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The manufacturer shall carry out factory production control.</w:t>
            </w:r>
          </w:p>
        </w:tc>
        <w:tc>
          <w:tcPr>
            <w:tcW w:w="429" w:type="pct"/>
            <w:shd w:val="clear" w:color="auto" w:fill="auto"/>
            <w:vAlign w:val="center"/>
          </w:tcPr>
          <w:p w14:paraId="427B7410" w14:textId="07E11A5D" w:rsidR="005B77AE" w:rsidRPr="00487209" w:rsidRDefault="005B77AE" w:rsidP="005B77AE">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10A63FE1" w14:textId="4E1501F2" w:rsidR="005B77AE" w:rsidRPr="00487209" w:rsidRDefault="005B77AE" w:rsidP="00663CA0">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w:t>
            </w:r>
            <w:r w:rsidR="00663CA0" w:rsidRPr="00487209">
              <w:rPr>
                <w:rFonts w:ascii="Times New Roman" w:hAnsi="Times New Roman" w:cs="Times New Roman"/>
                <w:sz w:val="18"/>
                <w:szCs w:val="18"/>
                <w:lang w:val="ru-RU"/>
              </w:rPr>
              <w:t>0</w:t>
            </w:r>
            <w:r w:rsidR="00663CA0">
              <w:rPr>
                <w:rFonts w:ascii="Times New Roman" w:hAnsi="Times New Roman" w:cs="Times New Roman"/>
                <w:sz w:val="18"/>
                <w:szCs w:val="18"/>
                <w:lang w:val="ru-RU"/>
              </w:rPr>
              <w:t>5</w:t>
            </w:r>
          </w:p>
        </w:tc>
        <w:tc>
          <w:tcPr>
            <w:tcW w:w="1231" w:type="pct"/>
            <w:gridSpan w:val="2"/>
            <w:shd w:val="clear" w:color="auto" w:fill="auto"/>
            <w:vAlign w:val="center"/>
          </w:tcPr>
          <w:p w14:paraId="3E45BEEA" w14:textId="3C79B7A4" w:rsidR="005B77AE" w:rsidRPr="00487209" w:rsidRDefault="00663CA0" w:rsidP="005B77AE">
            <w:pPr>
              <w:spacing w:before="120"/>
              <w:ind w:right="67"/>
              <w:jc w:val="both"/>
              <w:rPr>
                <w:rFonts w:ascii="Times New Roman" w:eastAsia="Batang" w:hAnsi="Times New Roman" w:cs="Times New Roman"/>
                <w:sz w:val="18"/>
                <w:szCs w:val="18"/>
                <w:lang w:eastAsia="ko-KR"/>
              </w:rPr>
            </w:pPr>
            <w:r w:rsidRPr="00663CA0">
              <w:rPr>
                <w:rFonts w:ascii="Times New Roman" w:eastAsia="Batang" w:hAnsi="Times New Roman" w:cs="Times New Roman"/>
                <w:sz w:val="18"/>
                <w:szCs w:val="18"/>
                <w:lang w:eastAsia="ko-KR"/>
              </w:rPr>
              <w:t xml:space="preserve">Министар надлежан </w:t>
            </w:r>
            <w:r w:rsidR="005B77AE" w:rsidRPr="00487209">
              <w:rPr>
                <w:rFonts w:ascii="Times New Roman" w:eastAsia="Batang" w:hAnsi="Times New Roman" w:cs="Times New Roman"/>
                <w:sz w:val="18"/>
                <w:szCs w:val="18"/>
                <w:lang w:eastAsia="ko-KR"/>
              </w:rPr>
              <w:t>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садржај и врсте докумената о оцењивању и верификацији сталности перформанси у зависности од примењеног система оцењивања и верификације сталности перформанси утврђеног техничком спецификацијом или техничким прописом којим је обухваћен грађевински производ.</w:t>
            </w:r>
          </w:p>
        </w:tc>
        <w:tc>
          <w:tcPr>
            <w:tcW w:w="458" w:type="pct"/>
            <w:shd w:val="clear" w:color="auto" w:fill="auto"/>
            <w:vAlign w:val="center"/>
          </w:tcPr>
          <w:p w14:paraId="14B9DDF8" w14:textId="2724A1BD"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435D921F" w14:textId="0004745F"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4D4B93" w:rsidRPr="00487209">
              <w:rPr>
                <w:rFonts w:ascii="Times New Roman" w:hAnsi="Times New Roman" w:cs="Times New Roman"/>
                <w:sz w:val="18"/>
                <w:szCs w:val="18"/>
                <w:lang w:val="ru-RU"/>
              </w:rPr>
              <w:t>Т</w:t>
            </w:r>
            <w:r w:rsidR="004D4B93">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1.4.(a)</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бити пренета подзаконским актом предвиђеним овим законом. </w:t>
            </w:r>
          </w:p>
          <w:p w14:paraId="39852718"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44399FCE" w14:textId="77777777" w:rsidR="005B77AE" w:rsidRPr="00487209" w:rsidRDefault="005B77AE" w:rsidP="005B77AE">
            <w:pPr>
              <w:spacing w:before="120" w:after="120"/>
              <w:jc w:val="center"/>
              <w:rPr>
                <w:rFonts w:ascii="Times New Roman" w:hAnsi="Times New Roman" w:cs="Times New Roman"/>
                <w:sz w:val="18"/>
                <w:szCs w:val="18"/>
                <w:lang w:val="ru-RU"/>
              </w:rPr>
            </w:pPr>
          </w:p>
        </w:tc>
      </w:tr>
      <w:tr w:rsidR="00337554" w:rsidRPr="00487209" w14:paraId="0A693357" w14:textId="77777777" w:rsidTr="007D5144">
        <w:trPr>
          <w:trHeight w:val="1905"/>
          <w:jc w:val="center"/>
        </w:trPr>
        <w:tc>
          <w:tcPr>
            <w:tcW w:w="435" w:type="pct"/>
            <w:shd w:val="clear" w:color="auto" w:fill="auto"/>
            <w:vAlign w:val="center"/>
          </w:tcPr>
          <w:p w14:paraId="35553DDF" w14:textId="77777777" w:rsidR="005B77AE" w:rsidRPr="00487209" w:rsidRDefault="005B77AE" w:rsidP="005B77AE">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rPr>
              <w:t>ANNEX</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V</w:t>
            </w:r>
          </w:p>
          <w:p w14:paraId="22336D8E" w14:textId="77777777" w:rsidR="005B77AE" w:rsidRPr="00487209" w:rsidRDefault="005B77AE" w:rsidP="005B77AE">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1.4.(</w:t>
            </w:r>
            <w:r w:rsidRPr="00487209">
              <w:rPr>
                <w:rFonts w:ascii="Times New Roman" w:hAnsi="Times New Roman" w:cs="Times New Roman"/>
                <w:sz w:val="18"/>
                <w:szCs w:val="18"/>
              </w:rPr>
              <w:t>b</w:t>
            </w:r>
            <w:r w:rsidRPr="00487209">
              <w:rPr>
                <w:rFonts w:ascii="Times New Roman" w:hAnsi="Times New Roman" w:cs="Times New Roman"/>
                <w:sz w:val="18"/>
                <w:szCs w:val="18"/>
                <w:lang w:val="ru-RU"/>
              </w:rPr>
              <w:t>)</w:t>
            </w:r>
          </w:p>
        </w:tc>
        <w:tc>
          <w:tcPr>
            <w:tcW w:w="1369" w:type="pct"/>
            <w:gridSpan w:val="2"/>
            <w:shd w:val="clear" w:color="auto" w:fill="auto"/>
            <w:vAlign w:val="center"/>
          </w:tcPr>
          <w:p w14:paraId="29FE9663"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lang w:val="ru-RU"/>
              </w:rPr>
              <w:t>(</w:t>
            </w:r>
            <w:r w:rsidRPr="00487209">
              <w:rPr>
                <w:rFonts w:ascii="Times New Roman" w:hAnsi="Times New Roman" w:cs="Times New Roman"/>
                <w:sz w:val="18"/>
                <w:szCs w:val="18"/>
              </w:rPr>
              <w:t>b</w:t>
            </w:r>
            <w:r w:rsidRPr="00487209">
              <w:rPr>
                <w:rFonts w:ascii="Times New Roman" w:hAnsi="Times New Roman" w:cs="Times New Roman"/>
                <w:sz w:val="18"/>
                <w:szCs w:val="18"/>
                <w:lang w:val="ru-RU"/>
              </w:rPr>
              <w:t>)</w:t>
            </w:r>
            <w:r w:rsidRPr="00487209">
              <w:rPr>
                <w:rFonts w:ascii="Times New Roman" w:hAnsi="Times New Roman" w:cs="Times New Roman"/>
                <w:sz w:val="18"/>
                <w:szCs w:val="18"/>
              </w:rPr>
              <w:t> The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notified</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laboratory</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shall</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assess</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ru-RU"/>
              </w:rPr>
              <w:t xml:space="preserve"> </w:t>
            </w:r>
            <w:r w:rsidRPr="00487209">
              <w:rPr>
                <w:rFonts w:ascii="Times New Roman" w:hAnsi="Times New Roman" w:cs="Times New Roman"/>
                <w:sz w:val="18"/>
                <w:szCs w:val="18"/>
              </w:rPr>
              <w:t>performance on the basis of testing (based on sampling carried out by the manufacturer), calculation, tabulated values or descriptive documentation of the construction product.</w:t>
            </w:r>
          </w:p>
        </w:tc>
        <w:tc>
          <w:tcPr>
            <w:tcW w:w="429" w:type="pct"/>
            <w:shd w:val="clear" w:color="auto" w:fill="auto"/>
            <w:vAlign w:val="center"/>
          </w:tcPr>
          <w:p w14:paraId="3F45FD8C" w14:textId="77777777" w:rsidR="00663CA0" w:rsidRPr="00487209" w:rsidRDefault="00663CA0" w:rsidP="00663CA0">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647D700C" w14:textId="6193F8F1" w:rsidR="005B77AE" w:rsidRPr="00487209" w:rsidRDefault="00663CA0" w:rsidP="005B77A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w:t>
            </w:r>
            <w:r>
              <w:rPr>
                <w:rFonts w:ascii="Times New Roman" w:hAnsi="Times New Roman" w:cs="Times New Roman"/>
                <w:sz w:val="18"/>
                <w:szCs w:val="18"/>
                <w:lang w:val="ru-RU"/>
              </w:rPr>
              <w:t>05</w:t>
            </w:r>
          </w:p>
        </w:tc>
        <w:tc>
          <w:tcPr>
            <w:tcW w:w="1231" w:type="pct"/>
            <w:gridSpan w:val="2"/>
            <w:shd w:val="clear" w:color="auto" w:fill="auto"/>
            <w:vAlign w:val="center"/>
          </w:tcPr>
          <w:p w14:paraId="3B405633" w14:textId="0C25C3B8" w:rsidR="005B77AE" w:rsidRPr="00487209" w:rsidRDefault="00663CA0" w:rsidP="005B77AE">
            <w:pPr>
              <w:spacing w:before="120"/>
              <w:ind w:right="67"/>
              <w:jc w:val="both"/>
              <w:rPr>
                <w:rFonts w:ascii="Times New Roman" w:eastAsia="Batang" w:hAnsi="Times New Roman" w:cs="Times New Roman"/>
                <w:sz w:val="18"/>
                <w:szCs w:val="18"/>
                <w:lang w:eastAsia="ko-KR"/>
              </w:rPr>
            </w:pPr>
            <w:r w:rsidRPr="00663CA0">
              <w:rPr>
                <w:rFonts w:ascii="Times New Roman" w:eastAsia="Batang" w:hAnsi="Times New Roman" w:cs="Times New Roman"/>
                <w:sz w:val="18"/>
                <w:szCs w:val="18"/>
                <w:lang w:eastAsia="ko-KR"/>
              </w:rPr>
              <w:t xml:space="preserve">Министар надлежан </w:t>
            </w:r>
            <w:r w:rsidR="005B77AE" w:rsidRPr="00487209">
              <w:rPr>
                <w:rFonts w:ascii="Times New Roman" w:eastAsia="Batang" w:hAnsi="Times New Roman" w:cs="Times New Roman"/>
                <w:sz w:val="18"/>
                <w:szCs w:val="18"/>
                <w:lang w:eastAsia="ko-KR"/>
              </w:rPr>
              <w:t>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садржај и врсте докумената о оцењивању и верификацији сталности перформанси у зависности од примењеног система оцењивања и верификације сталности перформанси утврђеног техничком спецификацијом или техничким прописом којим је обухваћен грађевински производ.</w:t>
            </w:r>
          </w:p>
        </w:tc>
        <w:tc>
          <w:tcPr>
            <w:tcW w:w="458" w:type="pct"/>
            <w:shd w:val="clear" w:color="auto" w:fill="auto"/>
            <w:vAlign w:val="center"/>
          </w:tcPr>
          <w:p w14:paraId="2E37B433" w14:textId="6F92BC7B"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6B55B38A" w14:textId="4B3FB21A"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4D4B93" w:rsidRPr="00487209">
              <w:rPr>
                <w:rFonts w:ascii="Times New Roman" w:hAnsi="Times New Roman" w:cs="Times New Roman"/>
                <w:sz w:val="18"/>
                <w:szCs w:val="18"/>
                <w:lang w:val="ru-RU"/>
              </w:rPr>
              <w:t>Т</w:t>
            </w:r>
            <w:r w:rsidR="004D4B93">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1.4.(b)</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бити пренета подзаконским актом предвиђеним овим законом. </w:t>
            </w:r>
          </w:p>
          <w:p w14:paraId="2A08E1EB"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1CFC299"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2796F16B" w14:textId="77777777" w:rsidTr="007D5144">
        <w:trPr>
          <w:trHeight w:val="1970"/>
          <w:jc w:val="center"/>
        </w:trPr>
        <w:tc>
          <w:tcPr>
            <w:tcW w:w="435" w:type="pct"/>
            <w:shd w:val="clear" w:color="auto" w:fill="auto"/>
            <w:vAlign w:val="center"/>
          </w:tcPr>
          <w:p w14:paraId="00E33639"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shd w:val="clear" w:color="auto" w:fill="D9D9D9" w:themeFill="background1" w:themeFillShade="D9"/>
              </w:rPr>
              <w:lastRenderedPageBreak/>
              <w:t>A</w:t>
            </w:r>
            <w:r w:rsidRPr="00487209">
              <w:rPr>
                <w:rFonts w:ascii="Times New Roman" w:hAnsi="Times New Roman" w:cs="Times New Roman"/>
                <w:sz w:val="18"/>
                <w:szCs w:val="18"/>
              </w:rPr>
              <w:t>NNEX V</w:t>
            </w:r>
          </w:p>
          <w:p w14:paraId="27A3E33A"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1.5.(a)(i)</w:t>
            </w:r>
          </w:p>
        </w:tc>
        <w:tc>
          <w:tcPr>
            <w:tcW w:w="1369" w:type="pct"/>
            <w:gridSpan w:val="2"/>
            <w:shd w:val="clear" w:color="auto" w:fill="auto"/>
            <w:vAlign w:val="center"/>
          </w:tcPr>
          <w:p w14:paraId="5550FC97"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1.5.    System 4</w:t>
            </w:r>
          </w:p>
          <w:p w14:paraId="1EF70E01"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(a) The manufacturer shall carry out:</w:t>
            </w:r>
          </w:p>
          <w:p w14:paraId="06E0EFC5"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 an assessment of the performance of the construction product on the basis of testing, calculation, tabulated values or descriptive documentation of that product;</w:t>
            </w:r>
          </w:p>
        </w:tc>
        <w:tc>
          <w:tcPr>
            <w:tcW w:w="429" w:type="pct"/>
            <w:shd w:val="clear" w:color="auto" w:fill="auto"/>
            <w:vAlign w:val="center"/>
          </w:tcPr>
          <w:p w14:paraId="472D0B99" w14:textId="67A4AE5B" w:rsidR="00663CA0" w:rsidRPr="00487209" w:rsidRDefault="00663CA0" w:rsidP="00663CA0">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72DA9298" w14:textId="2622CA05" w:rsidR="005B77AE" w:rsidRPr="00487209" w:rsidRDefault="00663CA0" w:rsidP="00663CA0">
            <w:pPr>
              <w:spacing w:before="120" w:after="120"/>
              <w:jc w:val="center"/>
              <w:rPr>
                <w:rFonts w:ascii="Times New Roman" w:hAnsi="Times New Roman" w:cs="Times New Roman"/>
                <w:sz w:val="18"/>
                <w:szCs w:val="18"/>
                <w:lang w:val="sr-Latn-CS"/>
              </w:rPr>
            </w:pPr>
            <w:r w:rsidRPr="00487209">
              <w:rPr>
                <w:rFonts w:ascii="Times New Roman" w:hAnsi="Times New Roman" w:cs="Times New Roman"/>
                <w:sz w:val="18"/>
                <w:szCs w:val="18"/>
                <w:lang w:val="ru-RU"/>
              </w:rPr>
              <w:t>29.</w:t>
            </w:r>
            <w:r>
              <w:rPr>
                <w:rFonts w:ascii="Times New Roman" w:hAnsi="Times New Roman" w:cs="Times New Roman"/>
                <w:sz w:val="18"/>
                <w:szCs w:val="18"/>
                <w:lang w:val="ru-RU"/>
              </w:rPr>
              <w:t>05</w:t>
            </w:r>
          </w:p>
        </w:tc>
        <w:tc>
          <w:tcPr>
            <w:tcW w:w="1231" w:type="pct"/>
            <w:gridSpan w:val="2"/>
            <w:shd w:val="clear" w:color="auto" w:fill="auto"/>
            <w:vAlign w:val="center"/>
          </w:tcPr>
          <w:p w14:paraId="406459E7" w14:textId="2DBDD632" w:rsidR="005B77AE" w:rsidRPr="00487209" w:rsidRDefault="00663CA0" w:rsidP="005B77AE">
            <w:pPr>
              <w:spacing w:before="120"/>
              <w:ind w:right="67"/>
              <w:jc w:val="both"/>
              <w:rPr>
                <w:rFonts w:ascii="Times New Roman" w:eastAsia="Batang" w:hAnsi="Times New Roman" w:cs="Times New Roman"/>
                <w:sz w:val="18"/>
                <w:szCs w:val="18"/>
                <w:lang w:eastAsia="ko-KR"/>
              </w:rPr>
            </w:pPr>
            <w:r w:rsidRPr="00663CA0">
              <w:rPr>
                <w:rFonts w:ascii="Times New Roman" w:eastAsia="Batang" w:hAnsi="Times New Roman" w:cs="Times New Roman"/>
                <w:sz w:val="18"/>
                <w:szCs w:val="18"/>
                <w:lang w:eastAsia="ko-KR"/>
              </w:rPr>
              <w:t xml:space="preserve">Министар надлежан </w:t>
            </w:r>
            <w:r w:rsidR="005B77AE" w:rsidRPr="00487209">
              <w:rPr>
                <w:rFonts w:ascii="Times New Roman" w:eastAsia="Batang" w:hAnsi="Times New Roman" w:cs="Times New Roman"/>
                <w:sz w:val="18"/>
                <w:szCs w:val="18"/>
                <w:lang w:eastAsia="ko-KR"/>
              </w:rPr>
              <w:t>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садржај и врсте докумената о оцењивању и верификацији сталности перформанси у зависности од примењеног система оцењивања и верификације сталности перформанси утврђеног техничком спецификацијом или техничким прописом којим је обухваћен грађевински производ.</w:t>
            </w:r>
          </w:p>
        </w:tc>
        <w:tc>
          <w:tcPr>
            <w:tcW w:w="458" w:type="pct"/>
            <w:shd w:val="clear" w:color="auto" w:fill="auto"/>
            <w:vAlign w:val="center"/>
          </w:tcPr>
          <w:p w14:paraId="64D9BD3F" w14:textId="5E0DF2FD"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582FAC53" w14:textId="57557748"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4D4B93" w:rsidRPr="00487209">
              <w:rPr>
                <w:rFonts w:ascii="Times New Roman" w:hAnsi="Times New Roman" w:cs="Times New Roman"/>
                <w:sz w:val="18"/>
                <w:szCs w:val="18"/>
                <w:lang w:val="ru-RU"/>
              </w:rPr>
              <w:t>Т</w:t>
            </w:r>
            <w:r w:rsidR="004D4B93">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1.5.(a)(i)</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бити пренета подзаконским актом предвиђеним овим законом. </w:t>
            </w:r>
          </w:p>
          <w:p w14:paraId="103DFAEC"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34CFEBD4"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10B0964B" w14:textId="77777777" w:rsidTr="007D5144">
        <w:trPr>
          <w:trHeight w:val="1734"/>
          <w:jc w:val="center"/>
        </w:trPr>
        <w:tc>
          <w:tcPr>
            <w:tcW w:w="435" w:type="pct"/>
            <w:shd w:val="clear" w:color="auto" w:fill="auto"/>
            <w:vAlign w:val="center"/>
          </w:tcPr>
          <w:p w14:paraId="64B861B2"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ANNEX V</w:t>
            </w:r>
          </w:p>
          <w:p w14:paraId="1088E2FA"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1.5.(a)(ii)</w:t>
            </w:r>
          </w:p>
        </w:tc>
        <w:tc>
          <w:tcPr>
            <w:tcW w:w="1369" w:type="pct"/>
            <w:gridSpan w:val="2"/>
            <w:shd w:val="clear" w:color="auto" w:fill="auto"/>
            <w:vAlign w:val="center"/>
          </w:tcPr>
          <w:p w14:paraId="6E784737"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(ii) factory production control.</w:t>
            </w:r>
          </w:p>
        </w:tc>
        <w:tc>
          <w:tcPr>
            <w:tcW w:w="429" w:type="pct"/>
            <w:shd w:val="clear" w:color="auto" w:fill="auto"/>
            <w:vAlign w:val="center"/>
          </w:tcPr>
          <w:p w14:paraId="13F27A5D" w14:textId="77777777" w:rsidR="00663CA0" w:rsidRPr="00487209" w:rsidRDefault="00663CA0" w:rsidP="00663CA0">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1A1C6A5C" w14:textId="00E1E8C0" w:rsidR="005B77AE" w:rsidRPr="00487209" w:rsidRDefault="00663CA0" w:rsidP="005B77A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w:t>
            </w:r>
            <w:r>
              <w:rPr>
                <w:rFonts w:ascii="Times New Roman" w:hAnsi="Times New Roman" w:cs="Times New Roman"/>
                <w:sz w:val="18"/>
                <w:szCs w:val="18"/>
                <w:lang w:val="ru-RU"/>
              </w:rPr>
              <w:t>05</w:t>
            </w:r>
          </w:p>
        </w:tc>
        <w:tc>
          <w:tcPr>
            <w:tcW w:w="1231" w:type="pct"/>
            <w:gridSpan w:val="2"/>
            <w:shd w:val="clear" w:color="auto" w:fill="auto"/>
            <w:vAlign w:val="center"/>
          </w:tcPr>
          <w:p w14:paraId="4F2908DD" w14:textId="0F38CC76" w:rsidR="005B77AE" w:rsidRPr="00487209" w:rsidRDefault="005B77AE" w:rsidP="005B77AE">
            <w:pPr>
              <w:spacing w:before="120"/>
              <w:ind w:right="67"/>
              <w:jc w:val="both"/>
              <w:rPr>
                <w:rFonts w:ascii="Times New Roman" w:eastAsia="Batang" w:hAnsi="Times New Roman" w:cs="Times New Roman"/>
                <w:sz w:val="18"/>
                <w:szCs w:val="18"/>
                <w:lang w:eastAsia="ko-KR"/>
              </w:rPr>
            </w:pPr>
            <w:r w:rsidRPr="00487209">
              <w:rPr>
                <w:rFonts w:ascii="Times New Roman" w:eastAsia="Batang" w:hAnsi="Times New Roman" w:cs="Times New Roman"/>
                <w:sz w:val="18"/>
                <w:szCs w:val="18"/>
                <w:lang w:eastAsia="ko-KR"/>
              </w:rPr>
              <w:t xml:space="preserve">Министарство надлежно 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садржај и врсте докумената о оцењивању и верификацији сталности перформанси у зависности од примењеног система оцењивања и верификације сталности </w:t>
            </w:r>
            <w:r w:rsidRPr="00487209">
              <w:rPr>
                <w:rFonts w:ascii="Times New Roman" w:eastAsia="Batang" w:hAnsi="Times New Roman" w:cs="Times New Roman"/>
                <w:sz w:val="18"/>
                <w:szCs w:val="18"/>
                <w:lang w:eastAsia="ko-KR"/>
              </w:rPr>
              <w:lastRenderedPageBreak/>
              <w:t>перформанси утврђеног техничком спецификацијом или техничким прописом којим је обухваћен грађевински производ.</w:t>
            </w:r>
          </w:p>
        </w:tc>
        <w:tc>
          <w:tcPr>
            <w:tcW w:w="458" w:type="pct"/>
            <w:shd w:val="clear" w:color="auto" w:fill="auto"/>
            <w:vAlign w:val="center"/>
          </w:tcPr>
          <w:p w14:paraId="7445DE06" w14:textId="61C227E6"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НУ</w:t>
            </w:r>
          </w:p>
        </w:tc>
        <w:tc>
          <w:tcPr>
            <w:tcW w:w="598" w:type="pct"/>
            <w:gridSpan w:val="2"/>
            <w:shd w:val="clear" w:color="auto" w:fill="auto"/>
            <w:vAlign w:val="center"/>
          </w:tcPr>
          <w:p w14:paraId="7081866E" w14:textId="6D65DAF7"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4D4B93" w:rsidRPr="00487209">
              <w:rPr>
                <w:rFonts w:ascii="Times New Roman" w:hAnsi="Times New Roman" w:cs="Times New Roman"/>
                <w:sz w:val="18"/>
                <w:szCs w:val="18"/>
                <w:lang w:val="ru-RU"/>
              </w:rPr>
              <w:t>Т</w:t>
            </w:r>
            <w:r w:rsidR="004D4B93">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1.5.(a)(ii)</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бити пренета подзаконским </w:t>
            </w:r>
            <w:r w:rsidRPr="00487209">
              <w:rPr>
                <w:rFonts w:ascii="Times New Roman" w:hAnsi="Times New Roman" w:cs="Times New Roman"/>
                <w:sz w:val="18"/>
                <w:szCs w:val="18"/>
                <w:lang w:val="ru-RU"/>
              </w:rPr>
              <w:lastRenderedPageBreak/>
              <w:t xml:space="preserve">актом предвиђеним овим законом. </w:t>
            </w:r>
          </w:p>
          <w:p w14:paraId="376380EB"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F559135"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2AD00B2F" w14:textId="77777777" w:rsidTr="007D5144">
        <w:trPr>
          <w:trHeight w:val="1480"/>
          <w:jc w:val="center"/>
        </w:trPr>
        <w:tc>
          <w:tcPr>
            <w:tcW w:w="435" w:type="pct"/>
            <w:shd w:val="clear" w:color="auto" w:fill="auto"/>
            <w:vAlign w:val="center"/>
          </w:tcPr>
          <w:p w14:paraId="61826E6C"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V</w:t>
            </w:r>
          </w:p>
          <w:p w14:paraId="63D30165"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1.5.(b)</w:t>
            </w:r>
          </w:p>
        </w:tc>
        <w:tc>
          <w:tcPr>
            <w:tcW w:w="1369" w:type="pct"/>
            <w:gridSpan w:val="2"/>
            <w:shd w:val="clear" w:color="auto" w:fill="auto"/>
            <w:vAlign w:val="center"/>
          </w:tcPr>
          <w:p w14:paraId="30E96991"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(b) No tasks require the intervention of notified bodies.</w:t>
            </w:r>
          </w:p>
        </w:tc>
        <w:tc>
          <w:tcPr>
            <w:tcW w:w="429" w:type="pct"/>
            <w:shd w:val="clear" w:color="auto" w:fill="auto"/>
            <w:vAlign w:val="center"/>
          </w:tcPr>
          <w:p w14:paraId="2F134550" w14:textId="77777777" w:rsidR="00663CA0" w:rsidRPr="00487209" w:rsidRDefault="00663CA0" w:rsidP="00663CA0">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2779C542" w14:textId="7C2B9ED3" w:rsidR="005B77AE" w:rsidRPr="00487209" w:rsidRDefault="00663CA0" w:rsidP="005B77A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29.</w:t>
            </w:r>
            <w:r>
              <w:rPr>
                <w:rFonts w:ascii="Times New Roman" w:hAnsi="Times New Roman" w:cs="Times New Roman"/>
                <w:sz w:val="18"/>
                <w:szCs w:val="18"/>
                <w:lang w:val="ru-RU"/>
              </w:rPr>
              <w:t>05</w:t>
            </w:r>
          </w:p>
        </w:tc>
        <w:tc>
          <w:tcPr>
            <w:tcW w:w="1231" w:type="pct"/>
            <w:gridSpan w:val="2"/>
            <w:shd w:val="clear" w:color="auto" w:fill="auto"/>
            <w:vAlign w:val="center"/>
          </w:tcPr>
          <w:p w14:paraId="059146A7" w14:textId="4434F103" w:rsidR="005B77AE" w:rsidRPr="00487209" w:rsidRDefault="00663CA0" w:rsidP="005B77AE">
            <w:pPr>
              <w:spacing w:before="120"/>
              <w:ind w:right="67"/>
              <w:jc w:val="both"/>
              <w:rPr>
                <w:rFonts w:ascii="Times New Roman" w:eastAsia="Batang" w:hAnsi="Times New Roman" w:cs="Times New Roman"/>
                <w:sz w:val="18"/>
                <w:szCs w:val="18"/>
                <w:lang w:eastAsia="ko-KR"/>
              </w:rPr>
            </w:pPr>
            <w:r w:rsidRPr="00663CA0">
              <w:rPr>
                <w:rFonts w:ascii="Times New Roman" w:eastAsia="Batang" w:hAnsi="Times New Roman" w:cs="Times New Roman"/>
                <w:sz w:val="18"/>
                <w:szCs w:val="18"/>
                <w:lang w:eastAsia="ko-KR"/>
              </w:rPr>
              <w:t xml:space="preserve">Министар надлежан </w:t>
            </w:r>
            <w:r w:rsidR="005B77AE" w:rsidRPr="00487209">
              <w:rPr>
                <w:rFonts w:ascii="Times New Roman" w:eastAsia="Batang" w:hAnsi="Times New Roman" w:cs="Times New Roman"/>
                <w:sz w:val="18"/>
                <w:szCs w:val="18"/>
                <w:lang w:eastAsia="ko-KR"/>
              </w:rPr>
              <w:t>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садржај и врсте докумената о оцењивању и верификацији сталности перформанси у зависности од примењеног система оцењивања и верификације сталности перформанси утврђеног техничком спецификацијом или техничким прописом којим је обухваћен грађевински производ.</w:t>
            </w:r>
          </w:p>
        </w:tc>
        <w:tc>
          <w:tcPr>
            <w:tcW w:w="458" w:type="pct"/>
            <w:shd w:val="clear" w:color="auto" w:fill="auto"/>
            <w:vAlign w:val="center"/>
          </w:tcPr>
          <w:p w14:paraId="315027B2" w14:textId="51084851"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НУ</w:t>
            </w:r>
          </w:p>
        </w:tc>
        <w:tc>
          <w:tcPr>
            <w:tcW w:w="598" w:type="pct"/>
            <w:gridSpan w:val="2"/>
            <w:shd w:val="clear" w:color="auto" w:fill="auto"/>
            <w:vAlign w:val="center"/>
          </w:tcPr>
          <w:p w14:paraId="45CB1F32" w14:textId="21EF2F3B"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4D4B93" w:rsidRPr="00487209">
              <w:rPr>
                <w:rFonts w:ascii="Times New Roman" w:hAnsi="Times New Roman" w:cs="Times New Roman"/>
                <w:sz w:val="18"/>
                <w:szCs w:val="18"/>
                <w:lang w:val="ru-RU"/>
              </w:rPr>
              <w:t>Т</w:t>
            </w:r>
            <w:r w:rsidR="004D4B93">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1.5.(b)</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бити пренета подзаконским актом предвиђеним овим законом. </w:t>
            </w:r>
          </w:p>
          <w:p w14:paraId="6B0FA5E3"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25BE794"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6FCFAB88" w14:textId="77777777" w:rsidTr="007D5144">
        <w:trPr>
          <w:trHeight w:val="629"/>
          <w:jc w:val="center"/>
        </w:trPr>
        <w:tc>
          <w:tcPr>
            <w:tcW w:w="435" w:type="pct"/>
            <w:shd w:val="clear" w:color="auto" w:fill="auto"/>
            <w:vAlign w:val="center"/>
          </w:tcPr>
          <w:p w14:paraId="0A49CB91"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ANNEX V</w:t>
            </w:r>
          </w:p>
          <w:p w14:paraId="4C1323B6"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1.6.</w:t>
            </w:r>
          </w:p>
        </w:tc>
        <w:tc>
          <w:tcPr>
            <w:tcW w:w="1369" w:type="pct"/>
            <w:gridSpan w:val="2"/>
            <w:shd w:val="clear" w:color="auto" w:fill="auto"/>
            <w:vAlign w:val="center"/>
          </w:tcPr>
          <w:p w14:paraId="154DD323"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p>
          <w:p w14:paraId="65A9AD45"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1.6.    Construction products for which a European Technical Assessment has been issued</w:t>
            </w:r>
          </w:p>
          <w:p w14:paraId="39691BD0"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 xml:space="preserve">Notified bodies undertaking tasks under Systems 1+, 1 and 3 as well as manufacturers undertaking tasks under Systems 2+ and 4 shall consider the European Technical Assessment issued for the construction product in question as the assessment of the performance of that product. Notified bodies </w:t>
            </w:r>
            <w:r w:rsidRPr="00487209">
              <w:rPr>
                <w:rFonts w:ascii="Times New Roman" w:hAnsi="Times New Roman" w:cs="Times New Roman"/>
                <w:sz w:val="18"/>
                <w:szCs w:val="18"/>
              </w:rPr>
              <w:lastRenderedPageBreak/>
              <w:t>and manufacturers shall therefore not undertake the tasks referred to in points 1.1.(b)(i), 1.2.(b)(i), 1.3.(a)(i), 1.4.(b) and 1.5.(a)(i) respectively.</w:t>
            </w:r>
          </w:p>
        </w:tc>
        <w:tc>
          <w:tcPr>
            <w:tcW w:w="429" w:type="pct"/>
            <w:shd w:val="clear" w:color="auto" w:fill="auto"/>
            <w:vAlign w:val="center"/>
          </w:tcPr>
          <w:p w14:paraId="0C787ECE" w14:textId="4734E919" w:rsidR="00AE0984" w:rsidRDefault="005B77AE" w:rsidP="005B77AE">
            <w:pPr>
              <w:spacing w:before="120" w:after="120"/>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lastRenderedPageBreak/>
              <w:t>01</w:t>
            </w:r>
          </w:p>
          <w:p w14:paraId="0A8D8013" w14:textId="18EDDD5F" w:rsidR="005B77AE" w:rsidRPr="00487209" w:rsidRDefault="005B77AE" w:rsidP="005B77AE">
            <w:pPr>
              <w:spacing w:before="120" w:after="120"/>
              <w:jc w:val="center"/>
              <w:rPr>
                <w:rFonts w:ascii="Times New Roman" w:hAnsi="Times New Roman" w:cs="Times New Roman"/>
                <w:sz w:val="18"/>
                <w:szCs w:val="18"/>
                <w:lang w:val="ru-RU"/>
              </w:rPr>
            </w:pPr>
          </w:p>
          <w:p w14:paraId="236E8D98" w14:textId="597EDEAE" w:rsidR="005B77AE" w:rsidRPr="00487209" w:rsidRDefault="005B77AE" w:rsidP="00663CA0">
            <w:pPr>
              <w:spacing w:before="120" w:after="120"/>
              <w:ind w:firstLine="5"/>
              <w:jc w:val="center"/>
              <w:rPr>
                <w:rFonts w:ascii="Times New Roman" w:hAnsi="Times New Roman" w:cs="Times New Roman"/>
                <w:sz w:val="18"/>
                <w:szCs w:val="18"/>
              </w:rPr>
            </w:pPr>
            <w:r w:rsidRPr="00487209">
              <w:rPr>
                <w:rFonts w:ascii="Times New Roman" w:hAnsi="Times New Roman" w:cs="Times New Roman"/>
                <w:sz w:val="18"/>
                <w:szCs w:val="18"/>
                <w:lang w:val="ru-RU"/>
              </w:rPr>
              <w:t>29.</w:t>
            </w:r>
            <w:r w:rsidR="00663CA0">
              <w:rPr>
                <w:rFonts w:ascii="Times New Roman" w:hAnsi="Times New Roman" w:cs="Times New Roman"/>
                <w:sz w:val="18"/>
                <w:szCs w:val="18"/>
                <w:lang w:val="ru-RU"/>
              </w:rPr>
              <w:t>05</w:t>
            </w:r>
          </w:p>
        </w:tc>
        <w:tc>
          <w:tcPr>
            <w:tcW w:w="1231" w:type="pct"/>
            <w:gridSpan w:val="2"/>
            <w:shd w:val="clear" w:color="auto" w:fill="auto"/>
            <w:vAlign w:val="center"/>
          </w:tcPr>
          <w:p w14:paraId="0D08E4D2" w14:textId="7EC14296" w:rsidR="005B77AE" w:rsidRPr="00487209" w:rsidRDefault="005B77AE" w:rsidP="005B77AE">
            <w:pPr>
              <w:spacing w:before="120"/>
              <w:ind w:right="67"/>
              <w:jc w:val="both"/>
              <w:rPr>
                <w:rFonts w:ascii="Times New Roman" w:eastAsia="Batang" w:hAnsi="Times New Roman" w:cs="Times New Roman"/>
                <w:sz w:val="18"/>
                <w:szCs w:val="18"/>
                <w:lang w:eastAsia="ko-KR"/>
              </w:rPr>
            </w:pPr>
            <w:r w:rsidRPr="00487209">
              <w:rPr>
                <w:rFonts w:ascii="Times New Roman" w:eastAsia="Batang" w:hAnsi="Times New Roman" w:cs="Times New Roman"/>
                <w:sz w:val="18"/>
                <w:szCs w:val="18"/>
                <w:lang w:eastAsia="ko-KR"/>
              </w:rPr>
              <w:t xml:space="preserve">Министарство надлежно 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оцењивањe и верификацију сталности перформанси и садржај и врсте докумената о оцењивању и верификацији сталности перформанси у зависности од примењеног система оцењивања и верификације сталности </w:t>
            </w:r>
            <w:r w:rsidRPr="00487209">
              <w:rPr>
                <w:rFonts w:ascii="Times New Roman" w:eastAsia="Batang" w:hAnsi="Times New Roman" w:cs="Times New Roman"/>
                <w:sz w:val="18"/>
                <w:szCs w:val="18"/>
                <w:lang w:eastAsia="ko-KR"/>
              </w:rPr>
              <w:lastRenderedPageBreak/>
              <w:t>перформанси утврђеног техничком спецификацијом или техничким прописом којим је обухваћен грађевински производ.</w:t>
            </w:r>
          </w:p>
        </w:tc>
        <w:tc>
          <w:tcPr>
            <w:tcW w:w="458" w:type="pct"/>
            <w:shd w:val="clear" w:color="auto" w:fill="auto"/>
            <w:vAlign w:val="center"/>
          </w:tcPr>
          <w:p w14:paraId="293F060F" w14:textId="610181E9"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lastRenderedPageBreak/>
              <w:t>НУ</w:t>
            </w:r>
          </w:p>
        </w:tc>
        <w:tc>
          <w:tcPr>
            <w:tcW w:w="598" w:type="pct"/>
            <w:gridSpan w:val="2"/>
            <w:shd w:val="clear" w:color="auto" w:fill="auto"/>
            <w:vAlign w:val="center"/>
          </w:tcPr>
          <w:p w14:paraId="11E1C35B" w14:textId="732E2096" w:rsidR="005B77AE" w:rsidRPr="00487209" w:rsidRDefault="005B77AE" w:rsidP="005B77AE">
            <w:pPr>
              <w:spacing w:before="120" w:after="120"/>
              <w:ind w:firstLine="21"/>
              <w:jc w:val="both"/>
              <w:rPr>
                <w:rFonts w:ascii="Times New Roman" w:hAnsi="Times New Roman" w:cs="Times New Roman"/>
                <w:sz w:val="18"/>
                <w:szCs w:val="18"/>
                <w:lang w:val="ru-RU"/>
              </w:rPr>
            </w:pPr>
            <w:r w:rsidRPr="00487209">
              <w:rPr>
                <w:rFonts w:ascii="Times New Roman" w:hAnsi="Times New Roman" w:cs="Times New Roman"/>
                <w:sz w:val="18"/>
                <w:szCs w:val="18"/>
                <w:lang w:val="ru-RU"/>
              </w:rPr>
              <w:t xml:space="preserve">Не постоји одредба </w:t>
            </w:r>
            <w:r w:rsidR="0073105A">
              <w:rPr>
                <w:rFonts w:ascii="Times New Roman" w:hAnsi="Times New Roman" w:cs="Times New Roman"/>
                <w:sz w:val="18"/>
                <w:szCs w:val="18"/>
                <w:lang w:val="ru-RU"/>
              </w:rPr>
              <w:t>Предлог</w:t>
            </w:r>
            <w:r w:rsidRPr="00487209">
              <w:rPr>
                <w:rFonts w:ascii="Times New Roman" w:hAnsi="Times New Roman" w:cs="Times New Roman"/>
                <w:sz w:val="18"/>
                <w:szCs w:val="18"/>
                <w:lang w:val="ru-RU"/>
              </w:rPr>
              <w:t xml:space="preserve">а закона о грађевинским производима која се може упоредити са </w:t>
            </w:r>
            <w:r w:rsidR="004D4B93" w:rsidRPr="00487209">
              <w:rPr>
                <w:rFonts w:ascii="Times New Roman" w:hAnsi="Times New Roman" w:cs="Times New Roman"/>
                <w:sz w:val="18"/>
                <w:szCs w:val="18"/>
                <w:lang w:val="ru-RU"/>
              </w:rPr>
              <w:t>Т</w:t>
            </w:r>
            <w:r w:rsidR="004D4B93">
              <w:rPr>
                <w:rFonts w:ascii="Times New Roman" w:hAnsi="Times New Roman" w:cs="Times New Roman"/>
                <w:sz w:val="18"/>
                <w:szCs w:val="18"/>
                <w:lang w:val="ru-RU"/>
              </w:rPr>
              <w:t xml:space="preserve">ачком </w:t>
            </w:r>
            <w:r w:rsidRPr="00487209">
              <w:rPr>
                <w:rFonts w:ascii="Times New Roman" w:hAnsi="Times New Roman" w:cs="Times New Roman"/>
                <w:sz w:val="18"/>
                <w:szCs w:val="18"/>
              </w:rPr>
              <w:t>1.5.(c)</w:t>
            </w:r>
            <w:r w:rsidRPr="00487209">
              <w:rPr>
                <w:rFonts w:ascii="Times New Roman" w:hAnsi="Times New Roman" w:cs="Times New Roman"/>
                <w:sz w:val="18"/>
                <w:szCs w:val="18"/>
                <w:lang w:val="ru-RU"/>
              </w:rPr>
              <w:t xml:space="preserve"> Анекса </w:t>
            </w:r>
            <w:r w:rsidRPr="00487209">
              <w:rPr>
                <w:rFonts w:ascii="Times New Roman" w:hAnsi="Times New Roman" w:cs="Times New Roman"/>
                <w:sz w:val="18"/>
                <w:szCs w:val="18"/>
              </w:rPr>
              <w:t>V</w:t>
            </w:r>
            <w:r w:rsidRPr="00487209">
              <w:rPr>
                <w:rFonts w:ascii="Times New Roman" w:hAnsi="Times New Roman" w:cs="Times New Roman"/>
                <w:sz w:val="18"/>
                <w:szCs w:val="18"/>
                <w:lang w:val="ru-RU"/>
              </w:rPr>
              <w:t xml:space="preserve">  Уредбе 305/2011 (ЕУ). Одредба ће бити пренета подзаконским </w:t>
            </w:r>
            <w:r w:rsidRPr="00487209">
              <w:rPr>
                <w:rFonts w:ascii="Times New Roman" w:hAnsi="Times New Roman" w:cs="Times New Roman"/>
                <w:sz w:val="18"/>
                <w:szCs w:val="18"/>
                <w:lang w:val="ru-RU"/>
              </w:rPr>
              <w:lastRenderedPageBreak/>
              <w:t xml:space="preserve">актом предвиђеним овим законом. </w:t>
            </w:r>
          </w:p>
          <w:p w14:paraId="71D84902" w14:textId="77777777" w:rsidR="005B77AE" w:rsidRPr="00487209" w:rsidRDefault="005B77AE" w:rsidP="005B77AE">
            <w:pPr>
              <w:spacing w:before="120" w:after="120"/>
              <w:ind w:firstLine="21"/>
              <w:jc w:val="both"/>
              <w:rPr>
                <w:rFonts w:ascii="Times New Roman" w:hAnsi="Times New Roman" w:cs="Times New Roman"/>
                <w:sz w:val="18"/>
                <w:szCs w:val="18"/>
                <w:lang w:val="ru-RU"/>
              </w:rPr>
            </w:pPr>
          </w:p>
        </w:tc>
        <w:tc>
          <w:tcPr>
            <w:tcW w:w="480" w:type="pct"/>
            <w:shd w:val="clear" w:color="auto" w:fill="auto"/>
            <w:vAlign w:val="center"/>
          </w:tcPr>
          <w:p w14:paraId="1175D095" w14:textId="77777777" w:rsidR="005B77AE" w:rsidRPr="00487209" w:rsidRDefault="005B77AE" w:rsidP="005B77AE">
            <w:pPr>
              <w:spacing w:before="120" w:after="120"/>
              <w:jc w:val="center"/>
              <w:rPr>
                <w:rFonts w:ascii="Times New Roman" w:hAnsi="Times New Roman" w:cs="Times New Roman"/>
                <w:sz w:val="18"/>
                <w:szCs w:val="18"/>
                <w:lang w:val="ru-RU"/>
              </w:rPr>
            </w:pPr>
          </w:p>
        </w:tc>
      </w:tr>
      <w:tr w:rsidR="00337554" w:rsidRPr="00487209" w14:paraId="20D04911" w14:textId="77777777" w:rsidTr="007D5144">
        <w:trPr>
          <w:trHeight w:val="1480"/>
          <w:jc w:val="center"/>
        </w:trPr>
        <w:tc>
          <w:tcPr>
            <w:tcW w:w="435" w:type="pct"/>
            <w:shd w:val="clear" w:color="auto" w:fill="auto"/>
            <w:vAlign w:val="center"/>
          </w:tcPr>
          <w:p w14:paraId="0CF48495" w14:textId="77777777"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rPr>
              <w:lastRenderedPageBreak/>
              <w:t>ANNEX</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V</w:t>
            </w:r>
          </w:p>
          <w:p w14:paraId="1B8F0B7E" w14:textId="77777777"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2. (1)</w:t>
            </w:r>
          </w:p>
        </w:tc>
        <w:tc>
          <w:tcPr>
            <w:tcW w:w="1369" w:type="pct"/>
            <w:gridSpan w:val="2"/>
            <w:shd w:val="clear" w:color="auto" w:fill="auto"/>
            <w:vAlign w:val="center"/>
          </w:tcPr>
          <w:p w14:paraId="59B89F90"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lang w:val="sr-Cyrl-CS"/>
              </w:rPr>
              <w:t>2.</w:t>
            </w:r>
            <w:r w:rsidRPr="00487209">
              <w:rPr>
                <w:rFonts w:ascii="Times New Roman" w:hAnsi="Times New Roman" w:cs="Times New Roman"/>
                <w:sz w:val="18"/>
                <w:szCs w:val="18"/>
              </w:rPr>
              <w:t>   BODIES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INVOLVED</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IN</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THE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ASSESSMENT</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AND</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VERIFICATION OF CONSTANCY OF PERFORMANCE</w:t>
            </w:r>
          </w:p>
          <w:p w14:paraId="1ACE3965"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With respect to the function of notified bodies involved in the assessment and verification of constancy of performance for construction products, distinction shall be made between:</w:t>
            </w:r>
          </w:p>
          <w:p w14:paraId="747CA89C"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(1) product certification body: a body notified, in accordance with Chapter VII, to carry out constancy of performance certification;</w:t>
            </w:r>
          </w:p>
        </w:tc>
        <w:tc>
          <w:tcPr>
            <w:tcW w:w="429" w:type="pct"/>
            <w:shd w:val="clear" w:color="auto" w:fill="auto"/>
            <w:vAlign w:val="center"/>
          </w:tcPr>
          <w:p w14:paraId="07485007" w14:textId="0AE3621C" w:rsidR="00AE0984" w:rsidRDefault="00AE0984" w:rsidP="005B77AE">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ru-RU"/>
              </w:rPr>
              <w:t>01</w:t>
            </w:r>
          </w:p>
          <w:p w14:paraId="63AA93DD" w14:textId="77777777" w:rsidR="00AE0984" w:rsidRDefault="00AE0984" w:rsidP="005B77AE">
            <w:pPr>
              <w:spacing w:before="120" w:after="120"/>
              <w:ind w:firstLine="5"/>
              <w:jc w:val="center"/>
              <w:rPr>
                <w:rFonts w:ascii="Times New Roman" w:hAnsi="Times New Roman" w:cs="Times New Roman"/>
                <w:sz w:val="18"/>
                <w:szCs w:val="18"/>
                <w:lang w:val="sr-Cyrl-CS"/>
              </w:rPr>
            </w:pPr>
          </w:p>
          <w:p w14:paraId="2B223310" w14:textId="2E99F722" w:rsidR="005B77AE" w:rsidRPr="00487209" w:rsidRDefault="005B77AE" w:rsidP="005B77AE">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29.03.1)</w:t>
            </w:r>
          </w:p>
          <w:p w14:paraId="31F08B13" w14:textId="77777777" w:rsidR="005B77AE" w:rsidRPr="00487209" w:rsidRDefault="005B77AE" w:rsidP="005B77AE">
            <w:pPr>
              <w:spacing w:before="120" w:after="120"/>
              <w:ind w:firstLine="5"/>
              <w:rPr>
                <w:rFonts w:ascii="Times New Roman" w:hAnsi="Times New Roman" w:cs="Times New Roman"/>
                <w:sz w:val="18"/>
                <w:szCs w:val="18"/>
                <w:lang w:val="sr-Cyrl-CS"/>
              </w:rPr>
            </w:pPr>
          </w:p>
        </w:tc>
        <w:tc>
          <w:tcPr>
            <w:tcW w:w="1231" w:type="pct"/>
            <w:gridSpan w:val="2"/>
            <w:shd w:val="clear" w:color="auto" w:fill="auto"/>
            <w:vAlign w:val="center"/>
          </w:tcPr>
          <w:p w14:paraId="596D1C8A" w14:textId="77777777" w:rsidR="005B77AE" w:rsidRPr="00487209" w:rsidRDefault="005B77AE" w:rsidP="005B77AE">
            <w:pPr>
              <w:spacing w:before="120"/>
              <w:ind w:right="-23"/>
              <w:rPr>
                <w:rFonts w:ascii="Times New Roman" w:hAnsi="Times New Roman" w:cs="Times New Roman"/>
                <w:sz w:val="18"/>
                <w:szCs w:val="18"/>
                <w:lang w:eastAsia="hr-HR"/>
              </w:rPr>
            </w:pPr>
            <w:r w:rsidRPr="00487209">
              <w:rPr>
                <w:rFonts w:ascii="Times New Roman" w:eastAsia="Batang" w:hAnsi="Times New Roman" w:cs="Times New Roman"/>
                <w:sz w:val="18"/>
                <w:szCs w:val="18"/>
                <w:lang w:eastAsia="ko-KR"/>
              </w:rPr>
              <w:t xml:space="preserve">У зависности од система </w:t>
            </w:r>
            <w:r w:rsidRPr="00487209">
              <w:rPr>
                <w:rFonts w:ascii="Times New Roman" w:hAnsi="Times New Roman" w:cs="Times New Roman"/>
                <w:sz w:val="18"/>
                <w:szCs w:val="18"/>
                <w:lang w:eastAsia="hr-HR"/>
              </w:rPr>
              <w:t xml:space="preserve">оцењивања и верфикације сталности перформанси који се спроводи именовано тело за оцењивање и верификацију сталности перформанси може бити: </w:t>
            </w:r>
          </w:p>
          <w:p w14:paraId="751BC5F6" w14:textId="4EBA6016" w:rsidR="005B77AE" w:rsidRPr="00487209" w:rsidRDefault="005B77AE" w:rsidP="005B77AE">
            <w:pPr>
              <w:pStyle w:val="ListParagraph"/>
              <w:numPr>
                <w:ilvl w:val="0"/>
                <w:numId w:val="84"/>
              </w:numPr>
              <w:spacing w:before="120"/>
              <w:ind w:right="-23"/>
              <w:rPr>
                <w:rFonts w:eastAsia="Batang"/>
                <w:sz w:val="18"/>
                <w:szCs w:val="18"/>
                <w:lang w:eastAsia="ko-KR"/>
              </w:rPr>
            </w:pPr>
            <w:r w:rsidRPr="00487209">
              <w:rPr>
                <w:rFonts w:eastAsia="Batang"/>
                <w:sz w:val="18"/>
                <w:szCs w:val="18"/>
                <w:lang w:val="sr-Latn-BA" w:eastAsia="ko-KR"/>
              </w:rPr>
              <w:t>именовано сертификационо тело за производ</w:t>
            </w:r>
            <w:r w:rsidRPr="00487209">
              <w:rPr>
                <w:rFonts w:eastAsia="Batang"/>
                <w:sz w:val="18"/>
                <w:szCs w:val="18"/>
                <w:lang w:eastAsia="ko-KR"/>
              </w:rPr>
              <w:t>;</w:t>
            </w:r>
          </w:p>
        </w:tc>
        <w:tc>
          <w:tcPr>
            <w:tcW w:w="458" w:type="pct"/>
            <w:shd w:val="clear" w:color="auto" w:fill="auto"/>
            <w:vAlign w:val="center"/>
          </w:tcPr>
          <w:p w14:paraId="458674CA" w14:textId="77777777"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523B3E20"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45CB3C2C"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36A26265" w14:textId="77777777" w:rsidTr="007D5144">
        <w:trPr>
          <w:trHeight w:val="1621"/>
          <w:jc w:val="center"/>
        </w:trPr>
        <w:tc>
          <w:tcPr>
            <w:tcW w:w="435" w:type="pct"/>
            <w:shd w:val="clear" w:color="auto" w:fill="auto"/>
            <w:vAlign w:val="center"/>
          </w:tcPr>
          <w:p w14:paraId="718FC5EC"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ANNEX V</w:t>
            </w:r>
          </w:p>
          <w:p w14:paraId="33A8EA24"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2. (2)</w:t>
            </w:r>
          </w:p>
        </w:tc>
        <w:tc>
          <w:tcPr>
            <w:tcW w:w="1369" w:type="pct"/>
            <w:gridSpan w:val="2"/>
            <w:shd w:val="clear" w:color="auto" w:fill="auto"/>
            <w:vAlign w:val="center"/>
          </w:tcPr>
          <w:p w14:paraId="722B4735"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(2) factory production control certification body: a body notified, in accordance with Chapter VII, to carry out factory production control certification;</w:t>
            </w:r>
          </w:p>
        </w:tc>
        <w:tc>
          <w:tcPr>
            <w:tcW w:w="429" w:type="pct"/>
            <w:shd w:val="clear" w:color="auto" w:fill="auto"/>
            <w:vAlign w:val="center"/>
          </w:tcPr>
          <w:p w14:paraId="5B8E6A29" w14:textId="06C01981" w:rsidR="00AE0984" w:rsidRDefault="00AE0984" w:rsidP="005B77AE">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ru-RU"/>
              </w:rPr>
              <w:t>01</w:t>
            </w:r>
          </w:p>
          <w:p w14:paraId="4536B5D0" w14:textId="77777777" w:rsidR="00AE0984" w:rsidRDefault="00AE0984" w:rsidP="005B77AE">
            <w:pPr>
              <w:spacing w:before="120" w:after="120"/>
              <w:ind w:firstLine="5"/>
              <w:jc w:val="center"/>
              <w:rPr>
                <w:rFonts w:ascii="Times New Roman" w:hAnsi="Times New Roman" w:cs="Times New Roman"/>
                <w:sz w:val="18"/>
                <w:szCs w:val="18"/>
                <w:lang w:val="sr-Cyrl-CS"/>
              </w:rPr>
            </w:pPr>
          </w:p>
          <w:p w14:paraId="4DC31D11" w14:textId="7E595C4B" w:rsidR="005B77AE" w:rsidRPr="00487209" w:rsidRDefault="005B77AE" w:rsidP="005B77AE">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29.03.2)</w:t>
            </w:r>
          </w:p>
          <w:p w14:paraId="767E28F6" w14:textId="77777777" w:rsidR="005B77AE" w:rsidRPr="00487209" w:rsidRDefault="005B77AE" w:rsidP="005B77AE">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67AD735E" w14:textId="4DA614F2" w:rsidR="005B77AE" w:rsidRPr="00487209" w:rsidRDefault="005B77AE" w:rsidP="005B77AE">
            <w:pPr>
              <w:spacing w:before="120"/>
              <w:ind w:left="745" w:right="-23" w:hanging="350"/>
              <w:rPr>
                <w:rFonts w:eastAsia="Batang"/>
                <w:sz w:val="18"/>
                <w:szCs w:val="18"/>
                <w:lang w:eastAsia="ko-KR"/>
              </w:rPr>
            </w:pPr>
            <w:r w:rsidRPr="00487209">
              <w:rPr>
                <w:rFonts w:ascii="Times New Roman" w:eastAsia="Batang" w:hAnsi="Times New Roman" w:cs="Times New Roman"/>
                <w:sz w:val="18"/>
                <w:szCs w:val="18"/>
                <w:lang w:val="sr-Cyrl-CS" w:eastAsia="ko-KR"/>
              </w:rPr>
              <w:t>2.)</w:t>
            </w:r>
            <w:r w:rsidRPr="00487209">
              <w:rPr>
                <w:rFonts w:eastAsia="Batang"/>
                <w:sz w:val="18"/>
                <w:szCs w:val="18"/>
                <w:lang w:val="sr-Cyrl-CS" w:eastAsia="ko-KR"/>
              </w:rPr>
              <w:t xml:space="preserve"> </w:t>
            </w:r>
            <w:r w:rsidRPr="00487209">
              <w:rPr>
                <w:rFonts w:ascii="Times New Roman" w:eastAsia="Batang" w:hAnsi="Times New Roman" w:cs="Times New Roman"/>
                <w:sz w:val="18"/>
                <w:szCs w:val="18"/>
                <w:lang w:val="sr-Latn-BA" w:eastAsia="ko-KR"/>
              </w:rPr>
              <w:t>именовано сертификационо тело за фабричку контролу производње</w:t>
            </w:r>
            <w:r w:rsidRPr="00487209">
              <w:rPr>
                <w:rFonts w:ascii="Times New Roman" w:eastAsia="Batang" w:hAnsi="Times New Roman" w:cs="Times New Roman"/>
                <w:sz w:val="18"/>
                <w:szCs w:val="18"/>
                <w:lang w:eastAsia="ko-KR"/>
              </w:rPr>
              <w:t xml:space="preserve"> или</w:t>
            </w:r>
            <w:r w:rsidRPr="00487209">
              <w:rPr>
                <w:rFonts w:eastAsia="Batang"/>
                <w:sz w:val="18"/>
                <w:szCs w:val="18"/>
                <w:lang w:eastAsia="ko-KR"/>
              </w:rPr>
              <w:t xml:space="preserve"> </w:t>
            </w:r>
          </w:p>
        </w:tc>
        <w:tc>
          <w:tcPr>
            <w:tcW w:w="458" w:type="pct"/>
            <w:shd w:val="clear" w:color="auto" w:fill="auto"/>
            <w:vAlign w:val="center"/>
          </w:tcPr>
          <w:p w14:paraId="042FD8EF" w14:textId="77777777"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3AA1FEFF"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3C062FC"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3C18E963" w14:textId="77777777" w:rsidTr="007D5144">
        <w:trPr>
          <w:trHeight w:val="1635"/>
          <w:jc w:val="center"/>
        </w:trPr>
        <w:tc>
          <w:tcPr>
            <w:tcW w:w="435" w:type="pct"/>
            <w:shd w:val="clear" w:color="auto" w:fill="auto"/>
            <w:vAlign w:val="center"/>
          </w:tcPr>
          <w:p w14:paraId="0EA5987B"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Annex V</w:t>
            </w:r>
          </w:p>
          <w:p w14:paraId="01D76DB8"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2. (3)</w:t>
            </w:r>
          </w:p>
        </w:tc>
        <w:tc>
          <w:tcPr>
            <w:tcW w:w="1369" w:type="pct"/>
            <w:gridSpan w:val="2"/>
            <w:shd w:val="clear" w:color="auto" w:fill="auto"/>
            <w:vAlign w:val="center"/>
          </w:tcPr>
          <w:p w14:paraId="4098E6D0"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(3) laboratory: a body notified, in accordance with Chapter VII, to measure, examine, test, calculate or otherwise assess the performance of construction products.</w:t>
            </w:r>
          </w:p>
        </w:tc>
        <w:tc>
          <w:tcPr>
            <w:tcW w:w="429" w:type="pct"/>
            <w:shd w:val="clear" w:color="auto" w:fill="auto"/>
            <w:vAlign w:val="center"/>
          </w:tcPr>
          <w:p w14:paraId="58255773" w14:textId="731EEE1E" w:rsidR="00AE0984" w:rsidRDefault="00AE0984" w:rsidP="005B77AE">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ru-RU"/>
              </w:rPr>
              <w:t>01</w:t>
            </w:r>
          </w:p>
          <w:p w14:paraId="13DBFDAB" w14:textId="77777777" w:rsidR="00AE0984" w:rsidRDefault="00AE0984" w:rsidP="005B77AE">
            <w:pPr>
              <w:spacing w:before="120" w:after="120"/>
              <w:ind w:firstLine="5"/>
              <w:jc w:val="center"/>
              <w:rPr>
                <w:rFonts w:ascii="Times New Roman" w:hAnsi="Times New Roman" w:cs="Times New Roman"/>
                <w:sz w:val="18"/>
                <w:szCs w:val="18"/>
                <w:lang w:val="sr-Cyrl-CS"/>
              </w:rPr>
            </w:pPr>
          </w:p>
          <w:p w14:paraId="0619FDCB" w14:textId="03FCC9F2" w:rsidR="005B77AE" w:rsidRPr="00487209" w:rsidRDefault="005B77AE" w:rsidP="005B77AE">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29.03.3)</w:t>
            </w:r>
          </w:p>
          <w:p w14:paraId="3D7974C7" w14:textId="77777777" w:rsidR="005B77AE" w:rsidRPr="00487209" w:rsidRDefault="005B77AE" w:rsidP="005B77AE">
            <w:pPr>
              <w:spacing w:before="120" w:after="120"/>
              <w:ind w:firstLine="5"/>
              <w:rPr>
                <w:rFonts w:ascii="Times New Roman" w:hAnsi="Times New Roman" w:cs="Times New Roman"/>
                <w:sz w:val="18"/>
                <w:szCs w:val="18"/>
                <w:lang w:val="ru-RU"/>
              </w:rPr>
            </w:pPr>
          </w:p>
        </w:tc>
        <w:tc>
          <w:tcPr>
            <w:tcW w:w="1231" w:type="pct"/>
            <w:gridSpan w:val="2"/>
            <w:shd w:val="clear" w:color="auto" w:fill="auto"/>
            <w:vAlign w:val="center"/>
          </w:tcPr>
          <w:p w14:paraId="14CACD0F" w14:textId="7DA2CFF9" w:rsidR="005B77AE" w:rsidRPr="00487209" w:rsidRDefault="005B77AE" w:rsidP="005B77AE">
            <w:pPr>
              <w:pStyle w:val="ListParagraph"/>
              <w:numPr>
                <w:ilvl w:val="0"/>
                <w:numId w:val="85"/>
              </w:numPr>
              <w:spacing w:before="120"/>
              <w:ind w:right="-23"/>
              <w:rPr>
                <w:rFonts w:eastAsia="Batang"/>
                <w:sz w:val="18"/>
                <w:szCs w:val="18"/>
                <w:lang w:eastAsia="ko-KR"/>
              </w:rPr>
            </w:pPr>
            <w:r w:rsidRPr="00487209">
              <w:rPr>
                <w:rFonts w:eastAsia="Batang"/>
                <w:sz w:val="18"/>
                <w:szCs w:val="18"/>
                <w:lang w:val="sr-Latn-BA" w:eastAsia="ko-KR"/>
              </w:rPr>
              <w:t>именована лабораторија</w:t>
            </w:r>
            <w:r w:rsidRPr="00487209">
              <w:rPr>
                <w:rFonts w:eastAsia="Batang"/>
                <w:sz w:val="18"/>
                <w:szCs w:val="18"/>
                <w:lang w:eastAsia="ko-KR"/>
              </w:rPr>
              <w:t>.</w:t>
            </w:r>
          </w:p>
        </w:tc>
        <w:tc>
          <w:tcPr>
            <w:tcW w:w="458" w:type="pct"/>
            <w:shd w:val="clear" w:color="auto" w:fill="auto"/>
            <w:vAlign w:val="center"/>
          </w:tcPr>
          <w:p w14:paraId="43297597" w14:textId="77777777"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28910417"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E569EDA"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29208FDD" w14:textId="77777777" w:rsidTr="007D5144">
        <w:trPr>
          <w:trHeight w:val="2060"/>
          <w:jc w:val="center"/>
        </w:trPr>
        <w:tc>
          <w:tcPr>
            <w:tcW w:w="435" w:type="pct"/>
            <w:shd w:val="clear" w:color="auto" w:fill="auto"/>
            <w:vAlign w:val="center"/>
          </w:tcPr>
          <w:p w14:paraId="22BE4CCA"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lastRenderedPageBreak/>
              <w:t>ANNEX V</w:t>
            </w:r>
          </w:p>
          <w:p w14:paraId="7994A258"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3.1.</w:t>
            </w:r>
          </w:p>
        </w:tc>
        <w:tc>
          <w:tcPr>
            <w:tcW w:w="1369" w:type="pct"/>
            <w:gridSpan w:val="2"/>
            <w:shd w:val="clear" w:color="auto" w:fill="auto"/>
            <w:vAlign w:val="center"/>
          </w:tcPr>
          <w:p w14:paraId="630A4E13"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3.   HORIZONTAL NOTIFICATIONS: CASES OF ESSENTIAL CHARACTERISTICS WHERE REFERENCE TO A RELEVANT HARMONISED TECHNICAL SPECIFICATION IS NOT REQUIRED</w:t>
            </w:r>
          </w:p>
          <w:p w14:paraId="59AA9C82" w14:textId="77E618E5"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1. Reaction to fire</w:t>
            </w:r>
          </w:p>
        </w:tc>
        <w:tc>
          <w:tcPr>
            <w:tcW w:w="429" w:type="pct"/>
            <w:shd w:val="clear" w:color="auto" w:fill="auto"/>
            <w:vAlign w:val="center"/>
          </w:tcPr>
          <w:p w14:paraId="460DEBFA" w14:textId="41497EAE" w:rsidR="00AE0984" w:rsidRDefault="00AE0984" w:rsidP="005B77AE">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ru-RU"/>
              </w:rPr>
              <w:t>01</w:t>
            </w:r>
          </w:p>
          <w:p w14:paraId="733F54E9" w14:textId="77777777" w:rsidR="00AE0984" w:rsidRDefault="00AE0984" w:rsidP="005B77AE">
            <w:pPr>
              <w:spacing w:before="120" w:after="120"/>
              <w:ind w:firstLine="5"/>
              <w:jc w:val="center"/>
              <w:rPr>
                <w:rFonts w:ascii="Times New Roman" w:hAnsi="Times New Roman" w:cs="Times New Roman"/>
                <w:sz w:val="18"/>
                <w:szCs w:val="18"/>
                <w:lang w:val="sr-Cyrl-CS"/>
              </w:rPr>
            </w:pPr>
          </w:p>
          <w:p w14:paraId="3D791667" w14:textId="2B4AE4FC" w:rsidR="005B77AE" w:rsidRPr="00487209" w:rsidRDefault="005B77AE" w:rsidP="005B77AE">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5.04.1)</w:t>
            </w:r>
          </w:p>
          <w:p w14:paraId="026D1C46" w14:textId="2289C947" w:rsidR="005B77AE" w:rsidRPr="00487209" w:rsidRDefault="005B77AE" w:rsidP="005B77AE">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135763F4" w14:textId="77777777" w:rsidR="005B77AE" w:rsidRPr="00487209" w:rsidRDefault="005B77AE" w:rsidP="005B77AE">
            <w:pPr>
              <w:tabs>
                <w:tab w:val="left" w:pos="643"/>
              </w:tabs>
              <w:spacing w:before="120"/>
              <w:ind w:right="-23"/>
              <w:jc w:val="both"/>
              <w:outlineLvl w:val="3"/>
              <w:rPr>
                <w:rFonts w:ascii="Times New Roman" w:eastAsia="Batang" w:hAnsi="Times New Roman" w:cs="Times New Roman"/>
                <w:sz w:val="18"/>
                <w:szCs w:val="18"/>
                <w:lang w:eastAsia="ko-KR"/>
              </w:rPr>
            </w:pPr>
            <w:r w:rsidRPr="00487209">
              <w:rPr>
                <w:rFonts w:ascii="Times New Roman" w:eastAsia="Batang" w:hAnsi="Times New Roman" w:cs="Times New Roman"/>
                <w:sz w:val="18"/>
                <w:szCs w:val="18"/>
                <w:lang w:eastAsia="ko-KR"/>
              </w:rPr>
              <w:t xml:space="preserve">Случајеви битних карактеристика када није неопходно упућивање на одговарајућу техничку спецификацију или технички пропис су: </w:t>
            </w:r>
          </w:p>
          <w:p w14:paraId="471B93BB" w14:textId="6ED0EB9D" w:rsidR="005B77AE" w:rsidRPr="00487209" w:rsidRDefault="005B77AE" w:rsidP="005B77AE">
            <w:pPr>
              <w:pStyle w:val="Style11"/>
              <w:numPr>
                <w:ilvl w:val="0"/>
                <w:numId w:val="87"/>
              </w:numPr>
              <w:spacing w:before="240" w:line="240" w:lineRule="auto"/>
              <w:ind w:right="-23"/>
              <w:rPr>
                <w:rFonts w:ascii="Times New Roman" w:hAnsi="Times New Roman"/>
                <w:sz w:val="18"/>
                <w:szCs w:val="18"/>
                <w:lang w:val="sr-Cyrl-CS"/>
              </w:rPr>
            </w:pPr>
            <w:r w:rsidRPr="00487209">
              <w:rPr>
                <w:rFonts w:ascii="Times New Roman" w:hAnsi="Times New Roman"/>
                <w:sz w:val="18"/>
                <w:szCs w:val="18"/>
                <w:lang w:val="sr-Cyrl-CS"/>
              </w:rPr>
              <w:t>Реакција на пожар</w:t>
            </w:r>
          </w:p>
        </w:tc>
        <w:tc>
          <w:tcPr>
            <w:tcW w:w="458" w:type="pct"/>
            <w:shd w:val="clear" w:color="auto" w:fill="auto"/>
            <w:vAlign w:val="center"/>
          </w:tcPr>
          <w:p w14:paraId="07FF3BD6" w14:textId="77777777"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65A73E7B"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C14E84C" w14:textId="77777777" w:rsidR="005B77AE" w:rsidRPr="00487209" w:rsidRDefault="005B77AE" w:rsidP="005B77AE">
            <w:pPr>
              <w:spacing w:before="120" w:after="120"/>
              <w:jc w:val="center"/>
              <w:rPr>
                <w:rFonts w:ascii="Times New Roman" w:hAnsi="Times New Roman" w:cs="Times New Roman"/>
                <w:sz w:val="18"/>
                <w:szCs w:val="18"/>
              </w:rPr>
            </w:pPr>
          </w:p>
        </w:tc>
      </w:tr>
      <w:tr w:rsidR="00337554" w:rsidRPr="00487209" w14:paraId="5B025D12" w14:textId="77777777" w:rsidTr="007D5144">
        <w:trPr>
          <w:trHeight w:val="953"/>
          <w:jc w:val="center"/>
        </w:trPr>
        <w:tc>
          <w:tcPr>
            <w:tcW w:w="435" w:type="pct"/>
            <w:shd w:val="clear" w:color="auto" w:fill="auto"/>
            <w:vAlign w:val="center"/>
          </w:tcPr>
          <w:p w14:paraId="613BEC79"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ANNEX V</w:t>
            </w:r>
          </w:p>
          <w:p w14:paraId="52EBB9F8" w14:textId="77777777" w:rsidR="005B77AE" w:rsidRPr="00487209" w:rsidRDefault="005B77AE" w:rsidP="005B77AE">
            <w:pPr>
              <w:spacing w:before="120" w:after="120"/>
              <w:jc w:val="center"/>
              <w:rPr>
                <w:rFonts w:ascii="Times New Roman" w:hAnsi="Times New Roman" w:cs="Times New Roman"/>
                <w:sz w:val="18"/>
                <w:szCs w:val="18"/>
              </w:rPr>
            </w:pPr>
            <w:r w:rsidRPr="00487209">
              <w:rPr>
                <w:rFonts w:ascii="Times New Roman" w:hAnsi="Times New Roman" w:cs="Times New Roman"/>
                <w:sz w:val="18"/>
                <w:szCs w:val="18"/>
              </w:rPr>
              <w:t>3.2.</w:t>
            </w:r>
          </w:p>
        </w:tc>
        <w:tc>
          <w:tcPr>
            <w:tcW w:w="1369" w:type="pct"/>
            <w:gridSpan w:val="2"/>
            <w:shd w:val="clear" w:color="auto" w:fill="auto"/>
            <w:vAlign w:val="center"/>
          </w:tcPr>
          <w:p w14:paraId="384A3B08" w14:textId="77777777" w:rsidR="005B77AE" w:rsidRPr="00487209" w:rsidRDefault="005B77AE" w:rsidP="005B77AE">
            <w:pPr>
              <w:spacing w:before="100" w:beforeAutospacing="1" w:after="100" w:afterAutospacing="1"/>
              <w:jc w:val="both"/>
              <w:rPr>
                <w:rFonts w:ascii="Times New Roman" w:hAnsi="Times New Roman" w:cs="Times New Roman"/>
                <w:sz w:val="18"/>
                <w:szCs w:val="18"/>
              </w:rPr>
            </w:pPr>
            <w:r w:rsidRPr="00487209">
              <w:rPr>
                <w:rFonts w:ascii="Times New Roman" w:hAnsi="Times New Roman" w:cs="Times New Roman"/>
                <w:sz w:val="18"/>
                <w:szCs w:val="18"/>
              </w:rPr>
              <w:t>2. Resistance to fire</w:t>
            </w:r>
          </w:p>
        </w:tc>
        <w:tc>
          <w:tcPr>
            <w:tcW w:w="429" w:type="pct"/>
            <w:shd w:val="clear" w:color="auto" w:fill="auto"/>
            <w:vAlign w:val="center"/>
          </w:tcPr>
          <w:p w14:paraId="36664002" w14:textId="2CE683AD" w:rsidR="00AE0984" w:rsidRDefault="00AE0984" w:rsidP="005B77AE">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ru-RU"/>
              </w:rPr>
              <w:t>01</w:t>
            </w:r>
          </w:p>
          <w:p w14:paraId="09284878" w14:textId="4A6F99A6" w:rsidR="005B77AE" w:rsidRPr="00487209" w:rsidRDefault="005B77AE" w:rsidP="005B77AE">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5.04.2)</w:t>
            </w:r>
          </w:p>
        </w:tc>
        <w:tc>
          <w:tcPr>
            <w:tcW w:w="1231" w:type="pct"/>
            <w:gridSpan w:val="2"/>
            <w:shd w:val="clear" w:color="auto" w:fill="auto"/>
            <w:vAlign w:val="center"/>
          </w:tcPr>
          <w:p w14:paraId="28CC8127" w14:textId="186A7502" w:rsidR="005B77AE" w:rsidRPr="00487209" w:rsidRDefault="005B77AE" w:rsidP="005B77AE">
            <w:pPr>
              <w:pStyle w:val="Style11"/>
              <w:numPr>
                <w:ilvl w:val="0"/>
                <w:numId w:val="87"/>
              </w:numPr>
              <w:tabs>
                <w:tab w:val="left" w:pos="590"/>
              </w:tabs>
              <w:spacing w:before="240" w:line="240" w:lineRule="auto"/>
              <w:ind w:right="-23"/>
              <w:rPr>
                <w:rFonts w:ascii="Times New Roman" w:hAnsi="Times New Roman"/>
                <w:sz w:val="18"/>
                <w:szCs w:val="18"/>
                <w:lang w:val="sr-Cyrl-CS"/>
              </w:rPr>
            </w:pPr>
            <w:r w:rsidRPr="00487209">
              <w:rPr>
                <w:rStyle w:val="FontStyle42"/>
                <w:rFonts w:ascii="Times New Roman" w:hAnsi="Times New Roman" w:cs="Times New Roman"/>
                <w:sz w:val="18"/>
                <w:szCs w:val="18"/>
                <w:lang w:val="sr-Cyrl-CS"/>
              </w:rPr>
              <w:t>Отпорност на пожар</w:t>
            </w:r>
          </w:p>
        </w:tc>
        <w:tc>
          <w:tcPr>
            <w:tcW w:w="458" w:type="pct"/>
            <w:shd w:val="clear" w:color="auto" w:fill="auto"/>
            <w:vAlign w:val="center"/>
          </w:tcPr>
          <w:p w14:paraId="48837FA6" w14:textId="77777777"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77C4CBE8"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53CF83DB" w14:textId="77777777" w:rsidR="005B77AE" w:rsidRPr="00487209" w:rsidRDefault="005B77AE" w:rsidP="005B77AE">
            <w:pPr>
              <w:spacing w:before="120" w:after="120"/>
              <w:jc w:val="center"/>
              <w:rPr>
                <w:rFonts w:ascii="Times New Roman" w:hAnsi="Times New Roman" w:cs="Times New Roman"/>
                <w:sz w:val="18"/>
                <w:szCs w:val="18"/>
                <w:lang w:val="sr-Cyrl-CS"/>
              </w:rPr>
            </w:pPr>
          </w:p>
        </w:tc>
      </w:tr>
      <w:tr w:rsidR="00337554" w:rsidRPr="00487209" w14:paraId="28F621EF" w14:textId="77777777" w:rsidTr="007D5144">
        <w:trPr>
          <w:trHeight w:val="698"/>
          <w:jc w:val="center"/>
        </w:trPr>
        <w:tc>
          <w:tcPr>
            <w:tcW w:w="435" w:type="pct"/>
            <w:shd w:val="clear" w:color="auto" w:fill="auto"/>
            <w:vAlign w:val="center"/>
          </w:tcPr>
          <w:p w14:paraId="04B966B1" w14:textId="77777777"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rPr>
              <w:t>ANNEX</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V</w:t>
            </w:r>
          </w:p>
          <w:p w14:paraId="57A53E09" w14:textId="77777777"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3.3.</w:t>
            </w:r>
          </w:p>
        </w:tc>
        <w:tc>
          <w:tcPr>
            <w:tcW w:w="1369" w:type="pct"/>
            <w:gridSpan w:val="2"/>
            <w:shd w:val="clear" w:color="auto" w:fill="auto"/>
            <w:vAlign w:val="center"/>
          </w:tcPr>
          <w:p w14:paraId="7949BFC6" w14:textId="77777777" w:rsidR="005B77AE" w:rsidRPr="00487209" w:rsidRDefault="005B77AE" w:rsidP="005B77AE">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3.</w:t>
            </w:r>
            <w:r w:rsidRPr="00487209">
              <w:rPr>
                <w:rFonts w:ascii="Times New Roman" w:hAnsi="Times New Roman" w:cs="Times New Roman"/>
                <w:sz w:val="18"/>
                <w:szCs w:val="18"/>
              </w:rPr>
              <w:t> External</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fire</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performance</w:t>
            </w:r>
          </w:p>
        </w:tc>
        <w:tc>
          <w:tcPr>
            <w:tcW w:w="429" w:type="pct"/>
            <w:shd w:val="clear" w:color="auto" w:fill="auto"/>
            <w:vAlign w:val="center"/>
          </w:tcPr>
          <w:p w14:paraId="3FFD5C98" w14:textId="1175CF70" w:rsidR="00AE0984" w:rsidRDefault="00AE0984" w:rsidP="005B77AE">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ru-RU"/>
              </w:rPr>
              <w:t>01</w:t>
            </w:r>
          </w:p>
          <w:p w14:paraId="4CE978D2" w14:textId="2540BF73" w:rsidR="005B77AE" w:rsidRPr="00487209" w:rsidRDefault="005B77AE" w:rsidP="005B77AE">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5.04.3)</w:t>
            </w:r>
          </w:p>
          <w:p w14:paraId="7CBF6033" w14:textId="53DD56B4" w:rsidR="005B77AE" w:rsidRPr="00487209" w:rsidRDefault="005B77AE" w:rsidP="005B77AE">
            <w:pPr>
              <w:spacing w:before="120" w:after="120"/>
              <w:ind w:firstLine="5"/>
              <w:jc w:val="center"/>
              <w:rPr>
                <w:rFonts w:ascii="Times New Roman" w:hAnsi="Times New Roman" w:cs="Times New Roman"/>
                <w:sz w:val="18"/>
                <w:szCs w:val="18"/>
                <w:lang w:val="ru-RU"/>
              </w:rPr>
            </w:pPr>
          </w:p>
        </w:tc>
        <w:tc>
          <w:tcPr>
            <w:tcW w:w="1231" w:type="pct"/>
            <w:gridSpan w:val="2"/>
            <w:shd w:val="clear" w:color="auto" w:fill="auto"/>
            <w:vAlign w:val="center"/>
          </w:tcPr>
          <w:p w14:paraId="54DA7B10" w14:textId="77777777" w:rsidR="005B77AE" w:rsidRPr="00487209" w:rsidRDefault="005B77AE" w:rsidP="005B77AE">
            <w:pPr>
              <w:pStyle w:val="Style11"/>
              <w:numPr>
                <w:ilvl w:val="0"/>
                <w:numId w:val="87"/>
              </w:numPr>
              <w:tabs>
                <w:tab w:val="left" w:pos="590"/>
              </w:tabs>
              <w:spacing w:before="240" w:line="240" w:lineRule="auto"/>
              <w:ind w:right="-23"/>
              <w:rPr>
                <w:rFonts w:ascii="Times New Roman" w:hAnsi="Times New Roman"/>
                <w:sz w:val="18"/>
                <w:szCs w:val="18"/>
                <w:lang w:val="sr-Cyrl-CS"/>
              </w:rPr>
            </w:pPr>
            <w:r w:rsidRPr="00487209">
              <w:rPr>
                <w:rFonts w:ascii="Times New Roman" w:hAnsi="Times New Roman"/>
                <w:sz w:val="18"/>
                <w:szCs w:val="18"/>
                <w:lang w:val="sr-Cyrl-CS"/>
              </w:rPr>
              <w:t>Перформансе при спољашњем пожару</w:t>
            </w:r>
          </w:p>
          <w:p w14:paraId="5CAFFC70" w14:textId="77777777" w:rsidR="005B77AE" w:rsidRPr="00487209" w:rsidRDefault="005B77AE" w:rsidP="005B77AE">
            <w:pPr>
              <w:pStyle w:val="Style11"/>
              <w:tabs>
                <w:tab w:val="left" w:pos="590"/>
              </w:tabs>
              <w:spacing w:before="240" w:line="240" w:lineRule="auto"/>
              <w:ind w:right="-23" w:firstLine="0"/>
              <w:rPr>
                <w:rFonts w:ascii="Times New Roman" w:hAnsi="Times New Roman"/>
                <w:sz w:val="18"/>
                <w:szCs w:val="18"/>
                <w:lang w:val="sr-Cyrl-CS"/>
              </w:rPr>
            </w:pPr>
          </w:p>
        </w:tc>
        <w:tc>
          <w:tcPr>
            <w:tcW w:w="458" w:type="pct"/>
            <w:shd w:val="clear" w:color="auto" w:fill="auto"/>
            <w:vAlign w:val="center"/>
          </w:tcPr>
          <w:p w14:paraId="6674368B" w14:textId="77777777"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gridSpan w:val="2"/>
            <w:shd w:val="clear" w:color="auto" w:fill="auto"/>
            <w:vAlign w:val="center"/>
          </w:tcPr>
          <w:p w14:paraId="135D54E1"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7E8E022B" w14:textId="77777777" w:rsidR="005B77AE" w:rsidRPr="00487209" w:rsidRDefault="005B77AE" w:rsidP="005B77AE">
            <w:pPr>
              <w:spacing w:before="120" w:after="120"/>
              <w:jc w:val="center"/>
              <w:rPr>
                <w:rFonts w:ascii="Times New Roman" w:hAnsi="Times New Roman" w:cs="Times New Roman"/>
                <w:sz w:val="18"/>
                <w:szCs w:val="18"/>
                <w:lang w:val="sr-Cyrl-CS"/>
              </w:rPr>
            </w:pPr>
          </w:p>
        </w:tc>
      </w:tr>
    </w:tbl>
    <w:p w14:paraId="06786884" w14:textId="77777777" w:rsidR="00AE0984" w:rsidRDefault="00AE0984">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3608"/>
        <w:gridCol w:w="1131"/>
        <w:gridCol w:w="3244"/>
        <w:gridCol w:w="1207"/>
        <w:gridCol w:w="1576"/>
        <w:gridCol w:w="1265"/>
      </w:tblGrid>
      <w:tr w:rsidR="00337554" w:rsidRPr="00487209" w14:paraId="1D3D0CFA" w14:textId="77777777" w:rsidTr="007D5144">
        <w:trPr>
          <w:trHeight w:val="714"/>
          <w:jc w:val="center"/>
        </w:trPr>
        <w:tc>
          <w:tcPr>
            <w:tcW w:w="435" w:type="pct"/>
            <w:shd w:val="clear" w:color="auto" w:fill="auto"/>
            <w:vAlign w:val="center"/>
          </w:tcPr>
          <w:p w14:paraId="0580A079" w14:textId="16278DD2"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rPr>
              <w:lastRenderedPageBreak/>
              <w:t>ANNEX</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V</w:t>
            </w:r>
          </w:p>
          <w:p w14:paraId="329902D9" w14:textId="77777777"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3.4.</w:t>
            </w:r>
          </w:p>
        </w:tc>
        <w:tc>
          <w:tcPr>
            <w:tcW w:w="1369" w:type="pct"/>
            <w:shd w:val="clear" w:color="auto" w:fill="auto"/>
            <w:vAlign w:val="center"/>
          </w:tcPr>
          <w:p w14:paraId="330EFDD9" w14:textId="77777777" w:rsidR="005B77AE" w:rsidRPr="00487209" w:rsidRDefault="005B77AE" w:rsidP="005B77AE">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4.</w:t>
            </w:r>
            <w:r w:rsidRPr="00487209">
              <w:rPr>
                <w:rFonts w:ascii="Times New Roman" w:hAnsi="Times New Roman" w:cs="Times New Roman"/>
                <w:sz w:val="18"/>
                <w:szCs w:val="18"/>
              </w:rPr>
              <w:t> Acoustic</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performance</w:t>
            </w:r>
          </w:p>
        </w:tc>
        <w:tc>
          <w:tcPr>
            <w:tcW w:w="429" w:type="pct"/>
            <w:shd w:val="clear" w:color="auto" w:fill="auto"/>
            <w:vAlign w:val="center"/>
          </w:tcPr>
          <w:p w14:paraId="4CAD20C3" w14:textId="77777777" w:rsidR="00AE0984" w:rsidRDefault="00AE0984" w:rsidP="005B77AE">
            <w:pPr>
              <w:spacing w:before="120" w:after="120"/>
              <w:ind w:firstLine="5"/>
              <w:jc w:val="center"/>
              <w:rPr>
                <w:rFonts w:ascii="Times New Roman" w:hAnsi="Times New Roman" w:cs="Times New Roman"/>
                <w:sz w:val="18"/>
                <w:szCs w:val="18"/>
                <w:lang w:val="ru-RU"/>
              </w:rPr>
            </w:pPr>
            <w:r w:rsidRPr="00487209">
              <w:rPr>
                <w:rFonts w:ascii="Times New Roman" w:hAnsi="Times New Roman" w:cs="Times New Roman"/>
                <w:sz w:val="18"/>
                <w:szCs w:val="18"/>
                <w:lang w:val="ru-RU"/>
              </w:rPr>
              <w:t>01</w:t>
            </w:r>
          </w:p>
          <w:p w14:paraId="2312D75B" w14:textId="58B71AFD" w:rsidR="005B77AE" w:rsidRPr="00487209" w:rsidRDefault="005B77AE" w:rsidP="005B77AE">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5.04.4)</w:t>
            </w:r>
          </w:p>
          <w:p w14:paraId="1FC1D311" w14:textId="50C44490" w:rsidR="005B77AE" w:rsidRPr="00487209" w:rsidRDefault="005B77AE" w:rsidP="005B77AE">
            <w:pPr>
              <w:spacing w:before="120" w:after="120"/>
              <w:ind w:firstLine="5"/>
              <w:jc w:val="center"/>
              <w:rPr>
                <w:rFonts w:ascii="Times New Roman" w:hAnsi="Times New Roman" w:cs="Times New Roman"/>
                <w:sz w:val="18"/>
                <w:szCs w:val="18"/>
                <w:lang w:val="ru-RU"/>
              </w:rPr>
            </w:pPr>
          </w:p>
        </w:tc>
        <w:tc>
          <w:tcPr>
            <w:tcW w:w="1231" w:type="pct"/>
            <w:shd w:val="clear" w:color="auto" w:fill="auto"/>
            <w:vAlign w:val="center"/>
          </w:tcPr>
          <w:p w14:paraId="69CAEE5E" w14:textId="77777777" w:rsidR="005B77AE" w:rsidRPr="00487209" w:rsidRDefault="005B77AE" w:rsidP="005B77AE">
            <w:pPr>
              <w:pStyle w:val="Style11"/>
              <w:numPr>
                <w:ilvl w:val="0"/>
                <w:numId w:val="87"/>
              </w:numPr>
              <w:tabs>
                <w:tab w:val="left" w:pos="590"/>
              </w:tabs>
              <w:spacing w:before="240" w:line="240" w:lineRule="auto"/>
              <w:ind w:right="-23"/>
              <w:rPr>
                <w:rFonts w:ascii="Times New Roman" w:hAnsi="Times New Roman"/>
                <w:sz w:val="18"/>
                <w:szCs w:val="18"/>
                <w:lang w:val="sr-Cyrl-CS"/>
              </w:rPr>
            </w:pPr>
            <w:r w:rsidRPr="00487209">
              <w:rPr>
                <w:rFonts w:ascii="Times New Roman" w:hAnsi="Times New Roman"/>
                <w:sz w:val="18"/>
                <w:szCs w:val="18"/>
                <w:lang w:val="sr-Cyrl-CS"/>
              </w:rPr>
              <w:t>Апсорпција буке</w:t>
            </w:r>
          </w:p>
          <w:p w14:paraId="29277905" w14:textId="77777777" w:rsidR="005B77AE" w:rsidRPr="00487209" w:rsidRDefault="005B77AE" w:rsidP="005B77AE">
            <w:pPr>
              <w:pStyle w:val="Style11"/>
              <w:tabs>
                <w:tab w:val="left" w:pos="590"/>
              </w:tabs>
              <w:spacing w:before="240" w:line="240" w:lineRule="auto"/>
              <w:ind w:right="-23" w:firstLine="0"/>
              <w:rPr>
                <w:rFonts w:ascii="Times New Roman" w:hAnsi="Times New Roman"/>
                <w:sz w:val="18"/>
                <w:szCs w:val="18"/>
                <w:lang w:val="sr-Cyrl-CS"/>
              </w:rPr>
            </w:pPr>
          </w:p>
        </w:tc>
        <w:tc>
          <w:tcPr>
            <w:tcW w:w="458" w:type="pct"/>
            <w:shd w:val="clear" w:color="auto" w:fill="auto"/>
            <w:vAlign w:val="center"/>
          </w:tcPr>
          <w:p w14:paraId="6A5A8BBB" w14:textId="77777777"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shd w:val="clear" w:color="auto" w:fill="auto"/>
            <w:vAlign w:val="center"/>
          </w:tcPr>
          <w:p w14:paraId="2EAF79C0"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1CDE750C" w14:textId="77777777" w:rsidR="005B77AE" w:rsidRPr="00487209" w:rsidRDefault="005B77AE" w:rsidP="005B77AE">
            <w:pPr>
              <w:spacing w:before="120" w:after="120"/>
              <w:jc w:val="center"/>
              <w:rPr>
                <w:rFonts w:ascii="Times New Roman" w:hAnsi="Times New Roman" w:cs="Times New Roman"/>
                <w:sz w:val="18"/>
                <w:szCs w:val="18"/>
                <w:lang w:val="sr-Cyrl-CS"/>
              </w:rPr>
            </w:pPr>
          </w:p>
        </w:tc>
      </w:tr>
      <w:tr w:rsidR="00337554" w:rsidRPr="00487209" w14:paraId="28CBB0C1" w14:textId="77777777" w:rsidTr="007D5144">
        <w:trPr>
          <w:trHeight w:val="744"/>
          <w:jc w:val="center"/>
        </w:trPr>
        <w:tc>
          <w:tcPr>
            <w:tcW w:w="435" w:type="pct"/>
            <w:shd w:val="clear" w:color="auto" w:fill="auto"/>
            <w:vAlign w:val="center"/>
          </w:tcPr>
          <w:p w14:paraId="4A278E77" w14:textId="77777777"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rPr>
              <w:t>ANNEX</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V</w:t>
            </w:r>
          </w:p>
          <w:p w14:paraId="6A91352F" w14:textId="77777777"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3.5.</w:t>
            </w:r>
          </w:p>
        </w:tc>
        <w:tc>
          <w:tcPr>
            <w:tcW w:w="1369" w:type="pct"/>
            <w:shd w:val="clear" w:color="auto" w:fill="auto"/>
            <w:vAlign w:val="center"/>
          </w:tcPr>
          <w:p w14:paraId="5FB230A0" w14:textId="77777777" w:rsidR="005B77AE" w:rsidRPr="00487209" w:rsidRDefault="005B77AE" w:rsidP="005B77AE">
            <w:pPr>
              <w:spacing w:before="100" w:beforeAutospacing="1" w:after="100" w:afterAutospacing="1"/>
              <w:jc w:val="both"/>
              <w:rPr>
                <w:rFonts w:ascii="Times New Roman" w:hAnsi="Times New Roman" w:cs="Times New Roman"/>
                <w:sz w:val="18"/>
                <w:szCs w:val="18"/>
                <w:lang w:val="sr-Cyrl-CS"/>
              </w:rPr>
            </w:pPr>
            <w:r w:rsidRPr="00487209">
              <w:rPr>
                <w:rFonts w:ascii="Times New Roman" w:hAnsi="Times New Roman" w:cs="Times New Roman"/>
                <w:sz w:val="18"/>
                <w:szCs w:val="18"/>
                <w:lang w:val="sr-Cyrl-CS"/>
              </w:rPr>
              <w:t>5.</w:t>
            </w:r>
            <w:r w:rsidRPr="00487209">
              <w:rPr>
                <w:rFonts w:ascii="Times New Roman" w:hAnsi="Times New Roman" w:cs="Times New Roman"/>
                <w:sz w:val="18"/>
                <w:szCs w:val="18"/>
              </w:rPr>
              <w:t> Emissions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of</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dangerous</w:t>
            </w:r>
            <w:r w:rsidRPr="00487209">
              <w:rPr>
                <w:rFonts w:ascii="Times New Roman" w:hAnsi="Times New Roman" w:cs="Times New Roman"/>
                <w:sz w:val="18"/>
                <w:szCs w:val="18"/>
                <w:lang w:val="sr-Cyrl-CS"/>
              </w:rPr>
              <w:t xml:space="preserve"> </w:t>
            </w:r>
            <w:r w:rsidRPr="00487209">
              <w:rPr>
                <w:rFonts w:ascii="Times New Roman" w:hAnsi="Times New Roman" w:cs="Times New Roman"/>
                <w:sz w:val="18"/>
                <w:szCs w:val="18"/>
              </w:rPr>
              <w:t>substances</w:t>
            </w:r>
          </w:p>
        </w:tc>
        <w:tc>
          <w:tcPr>
            <w:tcW w:w="429" w:type="pct"/>
            <w:shd w:val="clear" w:color="auto" w:fill="auto"/>
            <w:vAlign w:val="center"/>
          </w:tcPr>
          <w:p w14:paraId="4DBBE1FB" w14:textId="783CC846" w:rsidR="00AE0984" w:rsidRDefault="00AE0984" w:rsidP="005B77AE">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ru-RU"/>
              </w:rPr>
              <w:t>01</w:t>
            </w:r>
          </w:p>
          <w:p w14:paraId="6688CDBF" w14:textId="3AD663B5" w:rsidR="005B77AE" w:rsidRPr="00487209" w:rsidRDefault="005B77AE" w:rsidP="005B77AE">
            <w:pPr>
              <w:spacing w:before="120" w:after="120"/>
              <w:ind w:firstLine="5"/>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5.04.5)</w:t>
            </w:r>
          </w:p>
          <w:p w14:paraId="739D39F6" w14:textId="6FC26208" w:rsidR="005B77AE" w:rsidRPr="00487209" w:rsidRDefault="005B77AE" w:rsidP="005B77AE">
            <w:pPr>
              <w:spacing w:before="120" w:after="120"/>
              <w:ind w:firstLine="5"/>
              <w:jc w:val="center"/>
              <w:rPr>
                <w:rFonts w:ascii="Times New Roman" w:hAnsi="Times New Roman" w:cs="Times New Roman"/>
                <w:sz w:val="18"/>
                <w:szCs w:val="18"/>
                <w:lang w:val="ru-RU"/>
              </w:rPr>
            </w:pPr>
          </w:p>
        </w:tc>
        <w:tc>
          <w:tcPr>
            <w:tcW w:w="1231" w:type="pct"/>
            <w:shd w:val="clear" w:color="auto" w:fill="auto"/>
            <w:vAlign w:val="center"/>
          </w:tcPr>
          <w:p w14:paraId="694F2634" w14:textId="6BCD31A1" w:rsidR="005B77AE" w:rsidRPr="00487209" w:rsidRDefault="005B77AE" w:rsidP="005B77AE">
            <w:pPr>
              <w:pStyle w:val="Style11"/>
              <w:numPr>
                <w:ilvl w:val="0"/>
                <w:numId w:val="87"/>
              </w:numPr>
              <w:tabs>
                <w:tab w:val="left" w:pos="590"/>
              </w:tabs>
              <w:spacing w:before="240" w:line="240" w:lineRule="auto"/>
              <w:ind w:right="-23"/>
              <w:rPr>
                <w:rFonts w:ascii="Times New Roman" w:hAnsi="Times New Roman"/>
                <w:sz w:val="18"/>
                <w:szCs w:val="18"/>
              </w:rPr>
            </w:pPr>
            <w:r w:rsidRPr="00487209">
              <w:rPr>
                <w:rFonts w:ascii="Times New Roman" w:hAnsi="Times New Roman"/>
                <w:sz w:val="18"/>
                <w:szCs w:val="18"/>
                <w:lang w:val="sr-Cyrl-CS"/>
              </w:rPr>
              <w:t>Емисија опасних материја</w:t>
            </w:r>
          </w:p>
          <w:p w14:paraId="1C797BF3" w14:textId="77777777" w:rsidR="005B77AE" w:rsidRPr="00487209" w:rsidRDefault="005B77AE" w:rsidP="005B77AE">
            <w:pPr>
              <w:rPr>
                <w:rFonts w:ascii="Times New Roman" w:hAnsi="Times New Roman" w:cs="Times New Roman"/>
                <w:sz w:val="18"/>
                <w:szCs w:val="18"/>
                <w:lang w:val="sr-Latn-BA" w:eastAsia="ko-KR"/>
              </w:rPr>
            </w:pPr>
          </w:p>
        </w:tc>
        <w:tc>
          <w:tcPr>
            <w:tcW w:w="458" w:type="pct"/>
            <w:shd w:val="clear" w:color="auto" w:fill="auto"/>
            <w:vAlign w:val="center"/>
          </w:tcPr>
          <w:p w14:paraId="7B94D1B2" w14:textId="77777777" w:rsidR="005B77AE" w:rsidRPr="00487209" w:rsidRDefault="005B77AE" w:rsidP="005B77AE">
            <w:pPr>
              <w:spacing w:before="120" w:after="120"/>
              <w:jc w:val="center"/>
              <w:rPr>
                <w:rFonts w:ascii="Times New Roman" w:hAnsi="Times New Roman" w:cs="Times New Roman"/>
                <w:sz w:val="18"/>
                <w:szCs w:val="18"/>
                <w:lang w:val="sr-Cyrl-CS"/>
              </w:rPr>
            </w:pPr>
            <w:r w:rsidRPr="00487209">
              <w:rPr>
                <w:rFonts w:ascii="Times New Roman" w:hAnsi="Times New Roman" w:cs="Times New Roman"/>
                <w:sz w:val="18"/>
                <w:szCs w:val="18"/>
                <w:lang w:val="sr-Cyrl-CS"/>
              </w:rPr>
              <w:t>ПУ</w:t>
            </w:r>
          </w:p>
        </w:tc>
        <w:tc>
          <w:tcPr>
            <w:tcW w:w="598" w:type="pct"/>
            <w:shd w:val="clear" w:color="auto" w:fill="auto"/>
            <w:vAlign w:val="center"/>
          </w:tcPr>
          <w:p w14:paraId="173D9141" w14:textId="77777777" w:rsidR="005B77AE" w:rsidRPr="00487209" w:rsidRDefault="005B77AE" w:rsidP="005B77AE">
            <w:pPr>
              <w:spacing w:before="120" w:after="120"/>
              <w:ind w:firstLine="21"/>
              <w:jc w:val="center"/>
              <w:rPr>
                <w:rFonts w:ascii="Times New Roman" w:hAnsi="Times New Roman" w:cs="Times New Roman"/>
                <w:sz w:val="18"/>
                <w:szCs w:val="18"/>
                <w:lang w:val="ru-RU"/>
              </w:rPr>
            </w:pPr>
          </w:p>
        </w:tc>
        <w:tc>
          <w:tcPr>
            <w:tcW w:w="480" w:type="pct"/>
            <w:shd w:val="clear" w:color="auto" w:fill="auto"/>
            <w:vAlign w:val="center"/>
          </w:tcPr>
          <w:p w14:paraId="2FFA1A32" w14:textId="77777777" w:rsidR="005B77AE" w:rsidRPr="00487209" w:rsidRDefault="005B77AE" w:rsidP="005B77AE">
            <w:pPr>
              <w:spacing w:before="120" w:after="120"/>
              <w:jc w:val="center"/>
              <w:rPr>
                <w:rFonts w:ascii="Times New Roman" w:hAnsi="Times New Roman" w:cs="Times New Roman"/>
                <w:sz w:val="18"/>
                <w:szCs w:val="18"/>
                <w:lang w:val="sr-Cyrl-CS"/>
              </w:rPr>
            </w:pPr>
          </w:p>
        </w:tc>
      </w:tr>
    </w:tbl>
    <w:p w14:paraId="2948A59F" w14:textId="77777777" w:rsidR="0069681D" w:rsidRPr="00487209" w:rsidRDefault="0069681D" w:rsidP="006C6323">
      <w:pPr>
        <w:pStyle w:val="FootnoteText"/>
        <w:spacing w:before="120" w:after="120"/>
        <w:ind w:firstLine="680"/>
        <w:rPr>
          <w:rFonts w:ascii="Times New Roman" w:hAnsi="Times New Roman" w:cs="Times New Roman"/>
          <w:sz w:val="18"/>
          <w:szCs w:val="18"/>
          <w:lang w:val="sr-Cyrl-CS"/>
        </w:rPr>
      </w:pPr>
    </w:p>
    <w:sectPr w:rsidR="0069681D" w:rsidRPr="00487209" w:rsidSect="00845AC6">
      <w:footerReference w:type="even" r:id="rId9"/>
      <w:footerReference w:type="default" r:id="rId10"/>
      <w:pgSz w:w="15840" w:h="12240" w:orient="landscape"/>
      <w:pgMar w:top="1800" w:right="1440" w:bottom="180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E45AC" w14:textId="77777777" w:rsidR="00986496" w:rsidRDefault="00986496">
      <w:r>
        <w:separator/>
      </w:r>
    </w:p>
  </w:endnote>
  <w:endnote w:type="continuationSeparator" w:id="0">
    <w:p w14:paraId="101F3EFE" w14:textId="77777777" w:rsidR="00986496" w:rsidRDefault="0098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ECADD" w14:textId="77777777" w:rsidR="008D53F2" w:rsidRDefault="008D53F2" w:rsidP="000D2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594345" w14:textId="77777777" w:rsidR="008D53F2" w:rsidRDefault="008D53F2" w:rsidP="001012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1C759" w14:textId="77DD09F0" w:rsidR="008D53F2" w:rsidRDefault="008D53F2" w:rsidP="000D2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E1C">
      <w:rPr>
        <w:rStyle w:val="PageNumber"/>
        <w:noProof/>
      </w:rPr>
      <w:t>2</w:t>
    </w:r>
    <w:r>
      <w:rPr>
        <w:rStyle w:val="PageNumber"/>
      </w:rPr>
      <w:fldChar w:fldCharType="end"/>
    </w:r>
  </w:p>
  <w:p w14:paraId="7CC97061" w14:textId="77777777" w:rsidR="008D53F2" w:rsidRDefault="008D53F2" w:rsidP="001012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6722D" w14:textId="77777777" w:rsidR="00986496" w:rsidRDefault="00986496">
      <w:r>
        <w:separator/>
      </w:r>
    </w:p>
  </w:footnote>
  <w:footnote w:type="continuationSeparator" w:id="0">
    <w:p w14:paraId="6686FC46" w14:textId="77777777" w:rsidR="00986496" w:rsidRDefault="00986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AA31B4"/>
    <w:lvl w:ilvl="0">
      <w:numFmt w:val="bullet"/>
      <w:lvlText w:val="*"/>
      <w:lvlJc w:val="left"/>
      <w:pPr>
        <w:ind w:left="0" w:firstLine="0"/>
      </w:pPr>
    </w:lvl>
  </w:abstractNum>
  <w:abstractNum w:abstractNumId="1">
    <w:nsid w:val="018E64FC"/>
    <w:multiLevelType w:val="hybridMultilevel"/>
    <w:tmpl w:val="841ED69A"/>
    <w:lvl w:ilvl="0" w:tplc="8D20AC9A">
      <w:start w:val="1"/>
      <w:numFmt w:val="decimal"/>
      <w:lvlText w:val="%1)"/>
      <w:lvlJc w:val="left"/>
      <w:pPr>
        <w:ind w:left="644" w:hanging="360"/>
      </w:pPr>
      <w:rPr>
        <w:b w:val="0"/>
        <w:sz w:val="18"/>
        <w:szCs w:val="18"/>
      </w:rPr>
    </w:lvl>
    <w:lvl w:ilvl="1" w:tplc="0C1A0019">
      <w:start w:val="1"/>
      <w:numFmt w:val="lowerLetter"/>
      <w:lvlText w:val="%2."/>
      <w:lvlJc w:val="left"/>
      <w:pPr>
        <w:ind w:left="1364" w:hanging="360"/>
      </w:pPr>
    </w:lvl>
    <w:lvl w:ilvl="2" w:tplc="0C1A001B">
      <w:start w:val="1"/>
      <w:numFmt w:val="lowerRoman"/>
      <w:lvlText w:val="%3."/>
      <w:lvlJc w:val="right"/>
      <w:pPr>
        <w:ind w:left="2084" w:hanging="180"/>
      </w:pPr>
    </w:lvl>
    <w:lvl w:ilvl="3" w:tplc="0C1A000F">
      <w:start w:val="1"/>
      <w:numFmt w:val="decimal"/>
      <w:lvlText w:val="%4."/>
      <w:lvlJc w:val="left"/>
      <w:pPr>
        <w:ind w:left="2804" w:hanging="360"/>
      </w:pPr>
    </w:lvl>
    <w:lvl w:ilvl="4" w:tplc="0C1A0019">
      <w:start w:val="1"/>
      <w:numFmt w:val="lowerLetter"/>
      <w:lvlText w:val="%5."/>
      <w:lvlJc w:val="left"/>
      <w:pPr>
        <w:ind w:left="3524" w:hanging="360"/>
      </w:pPr>
    </w:lvl>
    <w:lvl w:ilvl="5" w:tplc="0C1A001B">
      <w:start w:val="1"/>
      <w:numFmt w:val="lowerRoman"/>
      <w:lvlText w:val="%6."/>
      <w:lvlJc w:val="right"/>
      <w:pPr>
        <w:ind w:left="4244" w:hanging="180"/>
      </w:pPr>
    </w:lvl>
    <w:lvl w:ilvl="6" w:tplc="0C1A000F">
      <w:start w:val="1"/>
      <w:numFmt w:val="decimal"/>
      <w:lvlText w:val="%7."/>
      <w:lvlJc w:val="left"/>
      <w:pPr>
        <w:ind w:left="4964" w:hanging="360"/>
      </w:pPr>
    </w:lvl>
    <w:lvl w:ilvl="7" w:tplc="0C1A0019">
      <w:start w:val="1"/>
      <w:numFmt w:val="lowerLetter"/>
      <w:lvlText w:val="%8."/>
      <w:lvlJc w:val="left"/>
      <w:pPr>
        <w:ind w:left="5684" w:hanging="360"/>
      </w:pPr>
    </w:lvl>
    <w:lvl w:ilvl="8" w:tplc="0C1A001B">
      <w:start w:val="1"/>
      <w:numFmt w:val="lowerRoman"/>
      <w:lvlText w:val="%9."/>
      <w:lvlJc w:val="right"/>
      <w:pPr>
        <w:ind w:left="6404" w:hanging="180"/>
      </w:pPr>
    </w:lvl>
  </w:abstractNum>
  <w:abstractNum w:abstractNumId="2">
    <w:nsid w:val="025A53DE"/>
    <w:multiLevelType w:val="hybridMultilevel"/>
    <w:tmpl w:val="667E73FA"/>
    <w:lvl w:ilvl="0" w:tplc="CCA21760">
      <w:start w:val="1"/>
      <w:numFmt w:val="decimal"/>
      <w:lvlText w:val="%1)"/>
      <w:lvlJc w:val="left"/>
      <w:pPr>
        <w:ind w:left="720" w:hanging="360"/>
      </w:pPr>
      <w:rPr>
        <w:rFonts w:hint="default"/>
        <w:b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
    <w:nsid w:val="0A78616D"/>
    <w:multiLevelType w:val="hybridMultilevel"/>
    <w:tmpl w:val="D9680188"/>
    <w:lvl w:ilvl="0" w:tplc="04090011">
      <w:start w:val="1"/>
      <w:numFmt w:val="decimal"/>
      <w:lvlText w:val="%1)"/>
      <w:lvlJc w:val="left"/>
      <w:pPr>
        <w:ind w:left="1080" w:hanging="360"/>
      </w:pPr>
      <w:rPr>
        <w:rFonts w:hint="default"/>
        <w:b w:val="0"/>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4">
    <w:nsid w:val="0B7D6852"/>
    <w:multiLevelType w:val="hybridMultilevel"/>
    <w:tmpl w:val="D6503A54"/>
    <w:lvl w:ilvl="0" w:tplc="D8248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952F2"/>
    <w:multiLevelType w:val="hybridMultilevel"/>
    <w:tmpl w:val="932EAE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42B0F"/>
    <w:multiLevelType w:val="hybridMultilevel"/>
    <w:tmpl w:val="18EC9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B6ACC"/>
    <w:multiLevelType w:val="hybridMultilevel"/>
    <w:tmpl w:val="C87EFF5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2BC6143"/>
    <w:multiLevelType w:val="hybridMultilevel"/>
    <w:tmpl w:val="4A728FEA"/>
    <w:lvl w:ilvl="0" w:tplc="AC083C64">
      <w:start w:val="1"/>
      <w:numFmt w:val="decimal"/>
      <w:lvlText w:val="%1)"/>
      <w:lvlJc w:val="left"/>
      <w:pPr>
        <w:ind w:left="720" w:hanging="360"/>
      </w:pPr>
      <w:rPr>
        <w:rFonts w:hint="default"/>
        <w:b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9">
    <w:nsid w:val="134206BA"/>
    <w:multiLevelType w:val="hybridMultilevel"/>
    <w:tmpl w:val="A7E0E0BA"/>
    <w:lvl w:ilvl="0" w:tplc="A524DFD6">
      <w:start w:val="1"/>
      <w:numFmt w:val="lowerLetter"/>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0">
    <w:nsid w:val="136361E7"/>
    <w:multiLevelType w:val="hybridMultilevel"/>
    <w:tmpl w:val="71E4A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454822"/>
    <w:multiLevelType w:val="hybridMultilevel"/>
    <w:tmpl w:val="20689A8C"/>
    <w:lvl w:ilvl="0" w:tplc="54DA8B4E">
      <w:start w:val="1"/>
      <w:numFmt w:val="decimal"/>
      <w:lvlText w:val="%1)"/>
      <w:lvlJc w:val="left"/>
      <w:pPr>
        <w:ind w:left="720" w:hanging="360"/>
      </w:pPr>
      <w:rPr>
        <w:rFonts w:ascii="Times New Roman" w:hAnsi="Times New Roman" w:hint="default"/>
        <w:color w:val="800080"/>
        <w:sz w:val="18"/>
        <w:szCs w:val="18"/>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2">
    <w:nsid w:val="162B3016"/>
    <w:multiLevelType w:val="hybridMultilevel"/>
    <w:tmpl w:val="353E05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69C1D37"/>
    <w:multiLevelType w:val="hybridMultilevel"/>
    <w:tmpl w:val="96D287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1D0787"/>
    <w:multiLevelType w:val="hybridMultilevel"/>
    <w:tmpl w:val="07C0A1CC"/>
    <w:lvl w:ilvl="0" w:tplc="8A9E62FC">
      <w:start w:val="1"/>
      <w:numFmt w:val="decimal"/>
      <w:lvlText w:val="%1)"/>
      <w:lvlJc w:val="left"/>
      <w:pPr>
        <w:ind w:left="720" w:hanging="360"/>
      </w:pPr>
      <w:rPr>
        <w:rFonts w:ascii="Times New Roman" w:eastAsia="Batang"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D1763D"/>
    <w:multiLevelType w:val="hybridMultilevel"/>
    <w:tmpl w:val="AA946BE2"/>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6">
    <w:nsid w:val="1BBC4056"/>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17">
    <w:nsid w:val="1E6C5439"/>
    <w:multiLevelType w:val="hybridMultilevel"/>
    <w:tmpl w:val="96D287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944405"/>
    <w:multiLevelType w:val="hybridMultilevel"/>
    <w:tmpl w:val="96D287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315B02"/>
    <w:multiLevelType w:val="hybridMultilevel"/>
    <w:tmpl w:val="A54CD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927C8F"/>
    <w:multiLevelType w:val="hybridMultilevel"/>
    <w:tmpl w:val="49D01496"/>
    <w:lvl w:ilvl="0" w:tplc="3CBC8B9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86088F"/>
    <w:multiLevelType w:val="hybridMultilevel"/>
    <w:tmpl w:val="2EFE2D32"/>
    <w:lvl w:ilvl="0" w:tplc="04090011">
      <w:start w:val="1"/>
      <w:numFmt w:val="decimal"/>
      <w:lvlText w:val="%1)"/>
      <w:lvlJc w:val="left"/>
      <w:pPr>
        <w:ind w:left="4755" w:hanging="360"/>
      </w:pPr>
      <w:rPr>
        <w:rFonts w:hint="default"/>
        <w:color w:val="008000"/>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22">
    <w:nsid w:val="241E47F0"/>
    <w:multiLevelType w:val="hybridMultilevel"/>
    <w:tmpl w:val="00CCF6E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nsid w:val="24B8513D"/>
    <w:multiLevelType w:val="hybridMultilevel"/>
    <w:tmpl w:val="D0362740"/>
    <w:lvl w:ilvl="0" w:tplc="241A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9D0A5C"/>
    <w:multiLevelType w:val="hybridMultilevel"/>
    <w:tmpl w:val="973687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5851"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D67F9D"/>
    <w:multiLevelType w:val="hybridMultilevel"/>
    <w:tmpl w:val="FE8CF944"/>
    <w:lvl w:ilvl="0" w:tplc="04090011">
      <w:start w:val="1"/>
      <w:numFmt w:val="decimal"/>
      <w:lvlText w:val="%1)"/>
      <w:lvlJc w:val="left"/>
      <w:pPr>
        <w:ind w:left="3196" w:hanging="360"/>
      </w:pPr>
      <w:rPr>
        <w:rFonts w:hint="default"/>
        <w:b w:val="0"/>
      </w:rPr>
    </w:lvl>
    <w:lvl w:ilvl="1" w:tplc="0C1A0019" w:tentative="1">
      <w:start w:val="1"/>
      <w:numFmt w:val="lowerLetter"/>
      <w:lvlText w:val="%2."/>
      <w:lvlJc w:val="left"/>
      <w:pPr>
        <w:ind w:left="1790" w:hanging="360"/>
      </w:pPr>
    </w:lvl>
    <w:lvl w:ilvl="2" w:tplc="0C1A001B" w:tentative="1">
      <w:start w:val="1"/>
      <w:numFmt w:val="lowerRoman"/>
      <w:lvlText w:val="%3."/>
      <w:lvlJc w:val="right"/>
      <w:pPr>
        <w:ind w:left="2510" w:hanging="180"/>
      </w:pPr>
    </w:lvl>
    <w:lvl w:ilvl="3" w:tplc="0C1A000F" w:tentative="1">
      <w:start w:val="1"/>
      <w:numFmt w:val="decimal"/>
      <w:lvlText w:val="%4."/>
      <w:lvlJc w:val="left"/>
      <w:pPr>
        <w:ind w:left="3230" w:hanging="360"/>
      </w:pPr>
    </w:lvl>
    <w:lvl w:ilvl="4" w:tplc="0C1A0019" w:tentative="1">
      <w:start w:val="1"/>
      <w:numFmt w:val="lowerLetter"/>
      <w:lvlText w:val="%5."/>
      <w:lvlJc w:val="left"/>
      <w:pPr>
        <w:ind w:left="3950" w:hanging="360"/>
      </w:pPr>
    </w:lvl>
    <w:lvl w:ilvl="5" w:tplc="0C1A001B" w:tentative="1">
      <w:start w:val="1"/>
      <w:numFmt w:val="lowerRoman"/>
      <w:lvlText w:val="%6."/>
      <w:lvlJc w:val="right"/>
      <w:pPr>
        <w:ind w:left="4670" w:hanging="180"/>
      </w:pPr>
    </w:lvl>
    <w:lvl w:ilvl="6" w:tplc="0C1A000F" w:tentative="1">
      <w:start w:val="1"/>
      <w:numFmt w:val="decimal"/>
      <w:lvlText w:val="%7."/>
      <w:lvlJc w:val="left"/>
      <w:pPr>
        <w:ind w:left="5390" w:hanging="360"/>
      </w:pPr>
    </w:lvl>
    <w:lvl w:ilvl="7" w:tplc="0C1A0019" w:tentative="1">
      <w:start w:val="1"/>
      <w:numFmt w:val="lowerLetter"/>
      <w:lvlText w:val="%8."/>
      <w:lvlJc w:val="left"/>
      <w:pPr>
        <w:ind w:left="6110" w:hanging="360"/>
      </w:pPr>
    </w:lvl>
    <w:lvl w:ilvl="8" w:tplc="0C1A001B" w:tentative="1">
      <w:start w:val="1"/>
      <w:numFmt w:val="lowerRoman"/>
      <w:lvlText w:val="%9."/>
      <w:lvlJc w:val="right"/>
      <w:pPr>
        <w:ind w:left="6830" w:hanging="180"/>
      </w:pPr>
    </w:lvl>
  </w:abstractNum>
  <w:abstractNum w:abstractNumId="26">
    <w:nsid w:val="29A427CA"/>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27">
    <w:nsid w:val="2A3569D0"/>
    <w:multiLevelType w:val="hybridMultilevel"/>
    <w:tmpl w:val="E078F41A"/>
    <w:lvl w:ilvl="0" w:tplc="310CEFCE">
      <w:start w:val="2"/>
      <w:numFmt w:val="decimal"/>
      <w:lvlText w:val="%1."/>
      <w:legacy w:legacy="1" w:legacySpace="0" w:legacyIndent="432"/>
      <w:lvlJc w:val="left"/>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3C6608"/>
    <w:multiLevelType w:val="hybridMultilevel"/>
    <w:tmpl w:val="ED6CE0D6"/>
    <w:lvl w:ilvl="0" w:tplc="0E3C5A12">
      <w:start w:val="1"/>
      <w:numFmt w:val="decimal"/>
      <w:lvlText w:val="%1)"/>
      <w:lvlJc w:val="left"/>
      <w:pPr>
        <w:ind w:left="720" w:hanging="360"/>
      </w:pPr>
      <w:rPr>
        <w:rFonts w:hint="default"/>
        <w:b w:val="0"/>
        <w:sz w:val="18"/>
        <w:szCs w:val="18"/>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9">
    <w:nsid w:val="2B910C06"/>
    <w:multiLevelType w:val="hybridMultilevel"/>
    <w:tmpl w:val="49D01496"/>
    <w:lvl w:ilvl="0" w:tplc="3CBC8B9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B62D04"/>
    <w:multiLevelType w:val="hybridMultilevel"/>
    <w:tmpl w:val="353E05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D124F03"/>
    <w:multiLevelType w:val="hybridMultilevel"/>
    <w:tmpl w:val="A1F6069A"/>
    <w:lvl w:ilvl="0" w:tplc="B5B8F204">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2">
    <w:nsid w:val="2F947E7F"/>
    <w:multiLevelType w:val="hybridMultilevel"/>
    <w:tmpl w:val="49D01496"/>
    <w:lvl w:ilvl="0" w:tplc="3CBC8B9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5C6AAE"/>
    <w:multiLevelType w:val="hybridMultilevel"/>
    <w:tmpl w:val="D9FAF46E"/>
    <w:lvl w:ilvl="0" w:tplc="2DC0A43A">
      <w:start w:val="1"/>
      <w:numFmt w:val="decimal"/>
      <w:lvlText w:val="%1."/>
      <w:lvlJc w:val="left"/>
      <w:pPr>
        <w:ind w:left="1996" w:hanging="360"/>
      </w:pPr>
      <w:rPr>
        <w:rFonts w:hint="default"/>
        <w:sz w:val="18"/>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4">
    <w:nsid w:val="30C0694C"/>
    <w:multiLevelType w:val="hybridMultilevel"/>
    <w:tmpl w:val="D4683390"/>
    <w:lvl w:ilvl="0" w:tplc="B5B8F204">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5">
    <w:nsid w:val="3104242A"/>
    <w:multiLevelType w:val="hybridMultilevel"/>
    <w:tmpl w:val="667E73FA"/>
    <w:lvl w:ilvl="0" w:tplc="CCA21760">
      <w:start w:val="1"/>
      <w:numFmt w:val="decimal"/>
      <w:lvlText w:val="%1)"/>
      <w:lvlJc w:val="left"/>
      <w:pPr>
        <w:ind w:left="720" w:hanging="360"/>
      </w:pPr>
      <w:rPr>
        <w:rFonts w:hint="default"/>
        <w:b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6">
    <w:nsid w:val="32522347"/>
    <w:multiLevelType w:val="hybridMultilevel"/>
    <w:tmpl w:val="353E05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2C148EC"/>
    <w:multiLevelType w:val="hybridMultilevel"/>
    <w:tmpl w:val="C6E4B1EC"/>
    <w:lvl w:ilvl="0" w:tplc="04090011">
      <w:start w:val="1"/>
      <w:numFmt w:val="decimal"/>
      <w:lvlText w:val="%1)"/>
      <w:lvlJc w:val="left"/>
      <w:pPr>
        <w:ind w:left="1080" w:hanging="360"/>
      </w:pPr>
      <w:rPr>
        <w:rFonts w:hint="default"/>
        <w:b w:val="0"/>
      </w:rPr>
    </w:lvl>
    <w:lvl w:ilvl="1" w:tplc="CBDC61B2">
      <w:start w:val="1"/>
      <w:numFmt w:val="decimal"/>
      <w:lvlText w:val="%2."/>
      <w:lvlJc w:val="left"/>
      <w:pPr>
        <w:ind w:left="1800" w:hanging="360"/>
      </w:pPr>
      <w:rPr>
        <w:rFonts w:ascii="Times New Roman" w:hAnsi="Times New Roman" w:cs="Times New Roman" w:hint="default"/>
      </w:r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8">
    <w:nsid w:val="32F05C25"/>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39">
    <w:nsid w:val="349E5F3B"/>
    <w:multiLevelType w:val="hybridMultilevel"/>
    <w:tmpl w:val="D4683390"/>
    <w:lvl w:ilvl="0" w:tplc="B5B8F204">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0">
    <w:nsid w:val="358910A1"/>
    <w:multiLevelType w:val="hybridMultilevel"/>
    <w:tmpl w:val="3398C3EA"/>
    <w:lvl w:ilvl="0" w:tplc="7318BF02">
      <w:start w:val="1"/>
      <w:numFmt w:val="decimal"/>
      <w:lvlText w:val="%1."/>
      <w:lvlJc w:val="left"/>
      <w:pPr>
        <w:ind w:left="1996" w:hanging="360"/>
      </w:pPr>
      <w:rPr>
        <w:rFonts w:hint="default"/>
        <w:sz w:val="18"/>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1">
    <w:nsid w:val="36D661D8"/>
    <w:multiLevelType w:val="hybridMultilevel"/>
    <w:tmpl w:val="EE724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4E760F"/>
    <w:multiLevelType w:val="hybridMultilevel"/>
    <w:tmpl w:val="63345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B7778B8"/>
    <w:multiLevelType w:val="hybridMultilevel"/>
    <w:tmpl w:val="667E73FA"/>
    <w:lvl w:ilvl="0" w:tplc="CCA21760">
      <w:start w:val="1"/>
      <w:numFmt w:val="decimal"/>
      <w:lvlText w:val="%1)"/>
      <w:lvlJc w:val="left"/>
      <w:pPr>
        <w:ind w:left="720" w:hanging="360"/>
      </w:pPr>
      <w:rPr>
        <w:rFonts w:hint="default"/>
        <w:b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4">
    <w:nsid w:val="3E91023B"/>
    <w:multiLevelType w:val="hybridMultilevel"/>
    <w:tmpl w:val="CE36A96C"/>
    <w:lvl w:ilvl="0" w:tplc="4420CAA0">
      <w:start w:val="1"/>
      <w:numFmt w:val="upperLetter"/>
      <w:lvlText w:val="%1."/>
      <w:lvlJc w:val="left"/>
      <w:pPr>
        <w:ind w:left="1440" w:hanging="72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7DA795A">
      <w:start w:val="1"/>
      <w:numFmt w:val="decimal"/>
      <w:lvlText w:val="%4)"/>
      <w:lvlJc w:val="left"/>
      <w:pPr>
        <w:ind w:left="3240" w:hanging="360"/>
      </w:pPr>
      <w:rPr>
        <w:rFonts w:hint="default"/>
        <w:color w:val="FFC00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203305A"/>
    <w:multiLevelType w:val="singleLevel"/>
    <w:tmpl w:val="58FA09B8"/>
    <w:lvl w:ilvl="0">
      <w:start w:val="1"/>
      <w:numFmt w:val="decimal"/>
      <w:lvlText w:val="%1."/>
      <w:legacy w:legacy="1" w:legacySpace="0" w:legacyIndent="254"/>
      <w:lvlJc w:val="left"/>
      <w:pPr>
        <w:ind w:left="0" w:firstLine="0"/>
      </w:pPr>
      <w:rPr>
        <w:rFonts w:ascii="Book Antiqua" w:hAnsi="Book Antiqua" w:hint="default"/>
      </w:rPr>
    </w:lvl>
  </w:abstractNum>
  <w:abstractNum w:abstractNumId="46">
    <w:nsid w:val="432644A2"/>
    <w:multiLevelType w:val="hybridMultilevel"/>
    <w:tmpl w:val="674AE30E"/>
    <w:lvl w:ilvl="0" w:tplc="85768FF8">
      <w:start w:val="1"/>
      <w:numFmt w:val="decimal"/>
      <w:lvlText w:val="(%1)"/>
      <w:lvlJc w:val="left"/>
      <w:pPr>
        <w:ind w:left="1996" w:hanging="360"/>
      </w:pPr>
      <w:rPr>
        <w:rFonts w:ascii="Book Antiqua" w:hAnsi="Book Antiqua" w:hint="default"/>
        <w:sz w:val="18"/>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7">
    <w:nsid w:val="440E7D2D"/>
    <w:multiLevelType w:val="hybridMultilevel"/>
    <w:tmpl w:val="ED6CE0D6"/>
    <w:lvl w:ilvl="0" w:tplc="0E3C5A12">
      <w:start w:val="1"/>
      <w:numFmt w:val="decimal"/>
      <w:lvlText w:val="%1)"/>
      <w:lvlJc w:val="left"/>
      <w:pPr>
        <w:ind w:left="720" w:hanging="360"/>
      </w:pPr>
      <w:rPr>
        <w:rFonts w:hint="default"/>
        <w:b w:val="0"/>
        <w:sz w:val="18"/>
        <w:szCs w:val="18"/>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8">
    <w:nsid w:val="447D4240"/>
    <w:multiLevelType w:val="hybridMultilevel"/>
    <w:tmpl w:val="BEE012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D4213A"/>
    <w:multiLevelType w:val="hybridMultilevel"/>
    <w:tmpl w:val="DC3A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5F69B5"/>
    <w:multiLevelType w:val="hybridMultilevel"/>
    <w:tmpl w:val="F5FED446"/>
    <w:lvl w:ilvl="0" w:tplc="0234D996">
      <w:start w:val="1"/>
      <w:numFmt w:val="decimal"/>
      <w:lvlText w:val="%1."/>
      <w:lvlJc w:val="left"/>
      <w:pPr>
        <w:ind w:left="975" w:hanging="9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9465360"/>
    <w:multiLevelType w:val="hybridMultilevel"/>
    <w:tmpl w:val="9C863F5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4B1645C6"/>
    <w:multiLevelType w:val="hybridMultilevel"/>
    <w:tmpl w:val="ED6CE0D6"/>
    <w:lvl w:ilvl="0" w:tplc="0E3C5A12">
      <w:start w:val="1"/>
      <w:numFmt w:val="decimal"/>
      <w:lvlText w:val="%1)"/>
      <w:lvlJc w:val="left"/>
      <w:pPr>
        <w:ind w:left="720" w:hanging="360"/>
      </w:pPr>
      <w:rPr>
        <w:rFonts w:hint="default"/>
        <w:b w:val="0"/>
        <w:sz w:val="18"/>
        <w:szCs w:val="18"/>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53">
    <w:nsid w:val="4B467CEB"/>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54">
    <w:nsid w:val="4EAA23B5"/>
    <w:multiLevelType w:val="hybridMultilevel"/>
    <w:tmpl w:val="0D7808FA"/>
    <w:lvl w:ilvl="0" w:tplc="B7C80954">
      <w:start w:val="1"/>
      <w:numFmt w:val="decimal"/>
      <w:lvlText w:val="%1)"/>
      <w:lvlJc w:val="left"/>
      <w:pPr>
        <w:ind w:left="1077" w:hanging="360"/>
      </w:pPr>
      <w:rPr>
        <w:sz w:val="18"/>
        <w:szCs w:val="18"/>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5">
    <w:nsid w:val="4FD605D3"/>
    <w:multiLevelType w:val="hybridMultilevel"/>
    <w:tmpl w:val="45BA7EFE"/>
    <w:lvl w:ilvl="0" w:tplc="207A6418">
      <w:start w:val="2"/>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6">
    <w:nsid w:val="50911633"/>
    <w:multiLevelType w:val="hybridMultilevel"/>
    <w:tmpl w:val="4D063250"/>
    <w:lvl w:ilvl="0" w:tplc="A674194C">
      <w:start w:val="1"/>
      <w:numFmt w:val="decimal"/>
      <w:lvlText w:val="%1)"/>
      <w:lvlJc w:val="left"/>
      <w:pPr>
        <w:ind w:left="720" w:hanging="360"/>
      </w:pPr>
      <w:rPr>
        <w:rFonts w:ascii="Times New Roman" w:hAnsi="Times New Roman" w:hint="default"/>
        <w:color w:val="800080"/>
        <w:sz w:val="18"/>
        <w:szCs w:val="18"/>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57">
    <w:nsid w:val="50D65CFB"/>
    <w:multiLevelType w:val="hybridMultilevel"/>
    <w:tmpl w:val="7E948D96"/>
    <w:lvl w:ilvl="0" w:tplc="DA1E6E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8D41C4"/>
    <w:multiLevelType w:val="hybridMultilevel"/>
    <w:tmpl w:val="C5D4100E"/>
    <w:lvl w:ilvl="0" w:tplc="85768FF8">
      <w:start w:val="1"/>
      <w:numFmt w:val="decimal"/>
      <w:lvlText w:val="(%1)"/>
      <w:lvlJc w:val="left"/>
      <w:pPr>
        <w:ind w:left="1996" w:hanging="360"/>
      </w:pPr>
      <w:rPr>
        <w:rFonts w:ascii="Book Antiqua" w:hAnsi="Book Antiqua"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9">
    <w:nsid w:val="52FA777C"/>
    <w:multiLevelType w:val="hybridMultilevel"/>
    <w:tmpl w:val="49D01496"/>
    <w:lvl w:ilvl="0" w:tplc="3CBC8B9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3286BE8"/>
    <w:multiLevelType w:val="hybridMultilevel"/>
    <w:tmpl w:val="D9FAF46E"/>
    <w:lvl w:ilvl="0" w:tplc="2DC0A43A">
      <w:start w:val="1"/>
      <w:numFmt w:val="decimal"/>
      <w:lvlText w:val="%1."/>
      <w:lvlJc w:val="left"/>
      <w:pPr>
        <w:ind w:left="1996" w:hanging="360"/>
      </w:pPr>
      <w:rPr>
        <w:rFonts w:hint="default"/>
        <w:sz w:val="18"/>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1">
    <w:nsid w:val="55A1571D"/>
    <w:multiLevelType w:val="hybridMultilevel"/>
    <w:tmpl w:val="674AE30E"/>
    <w:lvl w:ilvl="0" w:tplc="85768FF8">
      <w:start w:val="1"/>
      <w:numFmt w:val="decimal"/>
      <w:lvlText w:val="(%1)"/>
      <w:lvlJc w:val="left"/>
      <w:pPr>
        <w:ind w:left="1996" w:hanging="360"/>
      </w:pPr>
      <w:rPr>
        <w:rFonts w:ascii="Book Antiqua" w:hAnsi="Book Antiqua" w:hint="default"/>
        <w:sz w:val="18"/>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2">
    <w:nsid w:val="56636674"/>
    <w:multiLevelType w:val="hybridMultilevel"/>
    <w:tmpl w:val="80083DB6"/>
    <w:lvl w:ilvl="0" w:tplc="CEF88526">
      <w:start w:val="1"/>
      <w:numFmt w:val="decimal"/>
      <w:lvlText w:val="%1)"/>
      <w:lvlJc w:val="left"/>
      <w:pPr>
        <w:ind w:left="365" w:hanging="360"/>
      </w:pPr>
      <w:rPr>
        <w:rFonts w:hint="default"/>
      </w:rPr>
    </w:lvl>
    <w:lvl w:ilvl="1" w:tplc="0C1A0019" w:tentative="1">
      <w:start w:val="1"/>
      <w:numFmt w:val="lowerLetter"/>
      <w:lvlText w:val="%2."/>
      <w:lvlJc w:val="left"/>
      <w:pPr>
        <w:ind w:left="1085" w:hanging="360"/>
      </w:pPr>
    </w:lvl>
    <w:lvl w:ilvl="2" w:tplc="0C1A001B" w:tentative="1">
      <w:start w:val="1"/>
      <w:numFmt w:val="lowerRoman"/>
      <w:lvlText w:val="%3."/>
      <w:lvlJc w:val="right"/>
      <w:pPr>
        <w:ind w:left="1805" w:hanging="180"/>
      </w:pPr>
    </w:lvl>
    <w:lvl w:ilvl="3" w:tplc="0C1A000F" w:tentative="1">
      <w:start w:val="1"/>
      <w:numFmt w:val="decimal"/>
      <w:lvlText w:val="%4."/>
      <w:lvlJc w:val="left"/>
      <w:pPr>
        <w:ind w:left="2525" w:hanging="360"/>
      </w:pPr>
    </w:lvl>
    <w:lvl w:ilvl="4" w:tplc="0C1A0019" w:tentative="1">
      <w:start w:val="1"/>
      <w:numFmt w:val="lowerLetter"/>
      <w:lvlText w:val="%5."/>
      <w:lvlJc w:val="left"/>
      <w:pPr>
        <w:ind w:left="3245" w:hanging="360"/>
      </w:pPr>
    </w:lvl>
    <w:lvl w:ilvl="5" w:tplc="0C1A001B" w:tentative="1">
      <w:start w:val="1"/>
      <w:numFmt w:val="lowerRoman"/>
      <w:lvlText w:val="%6."/>
      <w:lvlJc w:val="right"/>
      <w:pPr>
        <w:ind w:left="3965" w:hanging="180"/>
      </w:pPr>
    </w:lvl>
    <w:lvl w:ilvl="6" w:tplc="0C1A000F" w:tentative="1">
      <w:start w:val="1"/>
      <w:numFmt w:val="decimal"/>
      <w:lvlText w:val="%7."/>
      <w:lvlJc w:val="left"/>
      <w:pPr>
        <w:ind w:left="4685" w:hanging="360"/>
      </w:pPr>
    </w:lvl>
    <w:lvl w:ilvl="7" w:tplc="0C1A0019" w:tentative="1">
      <w:start w:val="1"/>
      <w:numFmt w:val="lowerLetter"/>
      <w:lvlText w:val="%8."/>
      <w:lvlJc w:val="left"/>
      <w:pPr>
        <w:ind w:left="5405" w:hanging="360"/>
      </w:pPr>
    </w:lvl>
    <w:lvl w:ilvl="8" w:tplc="0C1A001B" w:tentative="1">
      <w:start w:val="1"/>
      <w:numFmt w:val="lowerRoman"/>
      <w:lvlText w:val="%9."/>
      <w:lvlJc w:val="right"/>
      <w:pPr>
        <w:ind w:left="6125" w:hanging="180"/>
      </w:pPr>
    </w:lvl>
  </w:abstractNum>
  <w:abstractNum w:abstractNumId="63">
    <w:nsid w:val="574955F6"/>
    <w:multiLevelType w:val="multilevel"/>
    <w:tmpl w:val="57167E12"/>
    <w:lvl w:ilvl="0">
      <w:start w:val="1"/>
      <w:numFmt w:val="decimal"/>
      <w:lvlText w:val="%1."/>
      <w:legacy w:legacy="1" w:legacySpace="0" w:legacyIndent="427"/>
      <w:lvlJc w:val="left"/>
      <w:pPr>
        <w:ind w:left="0" w:firstLine="0"/>
      </w:pPr>
      <w:rPr>
        <w:rFonts w:ascii="Book Antiqua" w:hAnsi="Book Antiqua" w:hint="default"/>
      </w:r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4">
    <w:nsid w:val="5B9F2715"/>
    <w:multiLevelType w:val="hybridMultilevel"/>
    <w:tmpl w:val="ED1AAD3C"/>
    <w:lvl w:ilvl="0" w:tplc="AABC7BF6">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5">
    <w:nsid w:val="5D234663"/>
    <w:multiLevelType w:val="hybridMultilevel"/>
    <w:tmpl w:val="ED0C8AFE"/>
    <w:lvl w:ilvl="0" w:tplc="0158FCD2">
      <w:start w:val="3"/>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F045FBC"/>
    <w:multiLevelType w:val="hybridMultilevel"/>
    <w:tmpl w:val="0866AACA"/>
    <w:lvl w:ilvl="0" w:tplc="47A27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FEB77C3"/>
    <w:multiLevelType w:val="hybridMultilevel"/>
    <w:tmpl w:val="F7C2901E"/>
    <w:lvl w:ilvl="0" w:tplc="3C5CE6A6">
      <w:start w:val="1"/>
      <w:numFmt w:val="decimal"/>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68">
    <w:nsid w:val="616A63E7"/>
    <w:multiLevelType w:val="hybridMultilevel"/>
    <w:tmpl w:val="180CD896"/>
    <w:lvl w:ilvl="0" w:tplc="85768FF8">
      <w:start w:val="1"/>
      <w:numFmt w:val="decimal"/>
      <w:lvlText w:val="(%1)"/>
      <w:lvlJc w:val="left"/>
      <w:pPr>
        <w:ind w:left="720" w:hanging="360"/>
      </w:pPr>
      <w:rPr>
        <w:rFonts w:ascii="Book Antiqua" w:hAnsi="Book Antiqua" w:hint="default"/>
      </w:rPr>
    </w:lvl>
    <w:lvl w:ilvl="1" w:tplc="241A0019">
      <w:start w:val="1"/>
      <w:numFmt w:val="lowerLetter"/>
      <w:lvlText w:val="%2."/>
      <w:lvlJc w:val="left"/>
      <w:pPr>
        <w:ind w:left="1440" w:hanging="360"/>
      </w:pPr>
    </w:lvl>
    <w:lvl w:ilvl="2" w:tplc="85768FF8">
      <w:start w:val="1"/>
      <w:numFmt w:val="decimal"/>
      <w:lvlText w:val="(%3)"/>
      <w:lvlJc w:val="left"/>
      <w:pPr>
        <w:ind w:left="2160" w:hanging="180"/>
      </w:pPr>
      <w:rPr>
        <w:rFonts w:ascii="Book Antiqua" w:hAnsi="Book Antiqua" w:hint="default"/>
      </w:r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9">
    <w:nsid w:val="61CA518B"/>
    <w:multiLevelType w:val="hybridMultilevel"/>
    <w:tmpl w:val="0CCAF0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0">
    <w:nsid w:val="64682D04"/>
    <w:multiLevelType w:val="hybridMultilevel"/>
    <w:tmpl w:val="9336F21C"/>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1">
    <w:nsid w:val="65B227F9"/>
    <w:multiLevelType w:val="hybridMultilevel"/>
    <w:tmpl w:val="9578B2CA"/>
    <w:lvl w:ilvl="0" w:tplc="57EC6EF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72">
    <w:nsid w:val="678B118D"/>
    <w:multiLevelType w:val="hybridMultilevel"/>
    <w:tmpl w:val="4A728FEA"/>
    <w:lvl w:ilvl="0" w:tplc="AC083C64">
      <w:start w:val="1"/>
      <w:numFmt w:val="decimal"/>
      <w:lvlText w:val="%1)"/>
      <w:lvlJc w:val="left"/>
      <w:pPr>
        <w:ind w:left="720" w:hanging="360"/>
      </w:pPr>
      <w:rPr>
        <w:rFonts w:hint="default"/>
        <w:b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73">
    <w:nsid w:val="68D2071D"/>
    <w:multiLevelType w:val="hybridMultilevel"/>
    <w:tmpl w:val="800CBA74"/>
    <w:lvl w:ilvl="0" w:tplc="B5B8F204">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4">
    <w:nsid w:val="68FC5261"/>
    <w:multiLevelType w:val="hybridMultilevel"/>
    <w:tmpl w:val="62EC8F96"/>
    <w:lvl w:ilvl="0" w:tplc="01FA3220">
      <w:start w:val="3"/>
      <w:numFmt w:val="bullet"/>
      <w:lvlText w:val="-"/>
      <w:lvlJc w:val="left"/>
      <w:pPr>
        <w:ind w:left="720" w:hanging="360"/>
      </w:pPr>
      <w:rPr>
        <w:rFonts w:ascii="Times New Roman" w:eastAsia="Calibr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75">
    <w:nsid w:val="6B624B26"/>
    <w:multiLevelType w:val="multilevel"/>
    <w:tmpl w:val="57167E12"/>
    <w:lvl w:ilvl="0">
      <w:start w:val="1"/>
      <w:numFmt w:val="decimal"/>
      <w:lvlText w:val="%1."/>
      <w:legacy w:legacy="1" w:legacySpace="0" w:legacyIndent="427"/>
      <w:lvlJc w:val="left"/>
      <w:pPr>
        <w:ind w:left="0" w:firstLine="0"/>
      </w:pPr>
      <w:rPr>
        <w:rFonts w:ascii="Book Antiqua" w:hAnsi="Book Antiqua" w:hint="default"/>
      </w:r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6">
    <w:nsid w:val="6C7768A5"/>
    <w:multiLevelType w:val="hybridMultilevel"/>
    <w:tmpl w:val="9336F21C"/>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7">
    <w:nsid w:val="6D175A30"/>
    <w:multiLevelType w:val="multilevel"/>
    <w:tmpl w:val="D77E81B2"/>
    <w:lvl w:ilvl="0">
      <w:start w:val="1"/>
      <w:numFmt w:val="decimal"/>
      <w:lvlText w:val="%1."/>
      <w:lvlJc w:val="left"/>
      <w:pPr>
        <w:ind w:left="720" w:hanging="360"/>
      </w:pPr>
      <w:rPr>
        <w:rFonts w:cs="Arial" w:hint="default"/>
        <w:color w:val="008000"/>
        <w:sz w:val="22"/>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440" w:hanging="108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nsid w:val="6D2B5208"/>
    <w:multiLevelType w:val="hybridMultilevel"/>
    <w:tmpl w:val="0D7808FA"/>
    <w:lvl w:ilvl="0" w:tplc="B7C80954">
      <w:start w:val="1"/>
      <w:numFmt w:val="decimal"/>
      <w:lvlText w:val="%1)"/>
      <w:lvlJc w:val="left"/>
      <w:pPr>
        <w:ind w:left="1077" w:hanging="360"/>
      </w:pPr>
      <w:rPr>
        <w:sz w:val="18"/>
        <w:szCs w:val="18"/>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9">
    <w:nsid w:val="6DE35CE4"/>
    <w:multiLevelType w:val="hybridMultilevel"/>
    <w:tmpl w:val="915E4758"/>
    <w:lvl w:ilvl="0" w:tplc="4F5A9028">
      <w:start w:val="1"/>
      <w:numFmt w:val="decimal"/>
      <w:lvlText w:val="%1)"/>
      <w:lvlJc w:val="left"/>
      <w:pPr>
        <w:ind w:left="720" w:hanging="360"/>
      </w:pPr>
      <w:rPr>
        <w:rFonts w:hint="default"/>
        <w:b w:val="0"/>
        <w:i w:val="0"/>
        <w:sz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80">
    <w:nsid w:val="6EB864C1"/>
    <w:multiLevelType w:val="hybridMultilevel"/>
    <w:tmpl w:val="FA2C02B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D24D4A"/>
    <w:multiLevelType w:val="hybridMultilevel"/>
    <w:tmpl w:val="96D287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6264E6"/>
    <w:multiLevelType w:val="hybridMultilevel"/>
    <w:tmpl w:val="41142EAE"/>
    <w:lvl w:ilvl="0" w:tplc="D8248F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2FA31B7"/>
    <w:multiLevelType w:val="hybridMultilevel"/>
    <w:tmpl w:val="96D287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4E7066B"/>
    <w:multiLevelType w:val="hybridMultilevel"/>
    <w:tmpl w:val="ED6CE0D6"/>
    <w:lvl w:ilvl="0" w:tplc="0E3C5A12">
      <w:start w:val="1"/>
      <w:numFmt w:val="decimal"/>
      <w:lvlText w:val="%1)"/>
      <w:lvlJc w:val="left"/>
      <w:pPr>
        <w:ind w:left="720" w:hanging="360"/>
      </w:pPr>
      <w:rPr>
        <w:rFonts w:hint="default"/>
        <w:b w:val="0"/>
        <w:sz w:val="18"/>
        <w:szCs w:val="18"/>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85">
    <w:nsid w:val="77B10851"/>
    <w:multiLevelType w:val="hybridMultilevel"/>
    <w:tmpl w:val="ED6CE0D6"/>
    <w:lvl w:ilvl="0" w:tplc="0E3C5A12">
      <w:start w:val="1"/>
      <w:numFmt w:val="decimal"/>
      <w:lvlText w:val="%1)"/>
      <w:lvlJc w:val="left"/>
      <w:pPr>
        <w:ind w:left="720" w:hanging="360"/>
      </w:pPr>
      <w:rPr>
        <w:rFonts w:hint="default"/>
        <w:b w:val="0"/>
        <w:sz w:val="18"/>
        <w:szCs w:val="18"/>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86">
    <w:nsid w:val="78C570BE"/>
    <w:multiLevelType w:val="hybridMultilevel"/>
    <w:tmpl w:val="7D48B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AC10B5E"/>
    <w:multiLevelType w:val="hybridMultilevel"/>
    <w:tmpl w:val="D974BC98"/>
    <w:lvl w:ilvl="0" w:tplc="AEC076AA">
      <w:start w:val="2"/>
      <w:numFmt w:val="decimal"/>
      <w:lvlText w:val="%1)"/>
      <w:lvlJc w:val="left"/>
      <w:pPr>
        <w:ind w:left="1077" w:hanging="360"/>
      </w:pPr>
      <w:rPr>
        <w:rFonts w:hint="default"/>
        <w:color w:val="auto"/>
        <w:sz w:val="18"/>
        <w:szCs w:val="18"/>
        <w:vertAlign w:val="baseline"/>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88">
    <w:nsid w:val="7BE607EA"/>
    <w:multiLevelType w:val="hybridMultilevel"/>
    <w:tmpl w:val="D4683390"/>
    <w:lvl w:ilvl="0" w:tplc="B5B8F204">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9">
    <w:nsid w:val="7D47503B"/>
    <w:multiLevelType w:val="hybridMultilevel"/>
    <w:tmpl w:val="D5F494D4"/>
    <w:lvl w:ilvl="0" w:tplc="F6DE450C">
      <w:start w:val="1"/>
      <w:numFmt w:val="decimalZero"/>
      <w:lvlText w:val="%1."/>
      <w:lvlJc w:val="left"/>
      <w:pPr>
        <w:ind w:left="720" w:hanging="360"/>
      </w:pPr>
      <w:rPr>
        <w:rFonts w:hint="default"/>
        <w:b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90">
    <w:nsid w:val="7D945A1B"/>
    <w:multiLevelType w:val="hybridMultilevel"/>
    <w:tmpl w:val="EF52B98C"/>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DDB02E2"/>
    <w:multiLevelType w:val="hybridMultilevel"/>
    <w:tmpl w:val="4A728FEA"/>
    <w:lvl w:ilvl="0" w:tplc="AC083C64">
      <w:start w:val="1"/>
      <w:numFmt w:val="decimal"/>
      <w:lvlText w:val="%1)"/>
      <w:lvlJc w:val="left"/>
      <w:pPr>
        <w:ind w:left="720" w:hanging="360"/>
      </w:pPr>
      <w:rPr>
        <w:rFonts w:hint="default"/>
        <w:b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92">
    <w:nsid w:val="7EB657F7"/>
    <w:multiLevelType w:val="hybridMultilevel"/>
    <w:tmpl w:val="49D01496"/>
    <w:lvl w:ilvl="0" w:tplc="3CBC8B9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82"/>
  </w:num>
  <w:num w:numId="3">
    <w:abstractNumId w:val="91"/>
  </w:num>
  <w:num w:numId="4">
    <w:abstractNumId w:val="2"/>
  </w:num>
  <w:num w:numId="5">
    <w:abstractNumId w:val="35"/>
  </w:num>
  <w:num w:numId="6">
    <w:abstractNumId w:val="43"/>
  </w:num>
  <w:num w:numId="7">
    <w:abstractNumId w:val="59"/>
  </w:num>
  <w:num w:numId="8">
    <w:abstractNumId w:val="46"/>
  </w:num>
  <w:num w:numId="9">
    <w:abstractNumId w:val="62"/>
  </w:num>
  <w:num w:numId="10">
    <w:abstractNumId w:val="33"/>
  </w:num>
  <w:num w:numId="11">
    <w:abstractNumId w:val="60"/>
  </w:num>
  <w:num w:numId="12">
    <w:abstractNumId w:val="85"/>
  </w:num>
  <w:num w:numId="13">
    <w:abstractNumId w:val="28"/>
  </w:num>
  <w:num w:numId="14">
    <w:abstractNumId w:val="52"/>
  </w:num>
  <w:num w:numId="15">
    <w:abstractNumId w:val="47"/>
  </w:num>
  <w:num w:numId="16">
    <w:abstractNumId w:val="9"/>
  </w:num>
  <w:num w:numId="17">
    <w:abstractNumId w:val="65"/>
  </w:num>
  <w:num w:numId="18">
    <w:abstractNumId w:val="40"/>
  </w:num>
  <w:num w:numId="19">
    <w:abstractNumId w:val="89"/>
  </w:num>
  <w:num w:numId="20">
    <w:abstractNumId w:val="17"/>
  </w:num>
  <w:num w:numId="21">
    <w:abstractNumId w:val="76"/>
  </w:num>
  <w:num w:numId="22">
    <w:abstractNumId w:val="6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num>
  <w:num w:numId="26">
    <w:abstractNumId w:val="26"/>
    <w:lvlOverride w:ilvl="0">
      <w:startOverride w:val="1"/>
    </w:lvlOverride>
  </w:num>
  <w:num w:numId="27">
    <w:abstractNumId w:val="7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num>
  <w:num w:numId="2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num>
  <w:num w:numId="31">
    <w:abstractNumId w:val="45"/>
    <w:lvlOverride w:ilvl="0">
      <w:startOverride w:val="1"/>
    </w:lvlOverride>
  </w:num>
  <w:num w:numId="32">
    <w:abstractNumId w:val="38"/>
  </w:num>
  <w:num w:numId="33">
    <w:abstractNumId w:val="53"/>
  </w:num>
  <w:num w:numId="34">
    <w:abstractNumId w:val="78"/>
  </w:num>
  <w:num w:numId="35">
    <w:abstractNumId w:val="54"/>
  </w:num>
  <w:num w:numId="36">
    <w:abstractNumId w:val="87"/>
  </w:num>
  <w:num w:numId="37">
    <w:abstractNumId w:val="21"/>
  </w:num>
  <w:num w:numId="38">
    <w:abstractNumId w:val="84"/>
  </w:num>
  <w:num w:numId="39">
    <w:abstractNumId w:val="27"/>
  </w:num>
  <w:num w:numId="40">
    <w:abstractNumId w:val="11"/>
  </w:num>
  <w:num w:numId="41">
    <w:abstractNumId w:val="56"/>
  </w:num>
  <w:num w:numId="42">
    <w:abstractNumId w:val="6"/>
  </w:num>
  <w:num w:numId="43">
    <w:abstractNumId w:val="70"/>
  </w:num>
  <w:num w:numId="44">
    <w:abstractNumId w:val="1"/>
  </w:num>
  <w:num w:numId="45">
    <w:abstractNumId w:val="13"/>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 w:ilvl="0">
        <w:numFmt w:val="bullet"/>
        <w:lvlText w:val="—"/>
        <w:lvlJc w:val="left"/>
        <w:pPr>
          <w:ind w:left="0" w:firstLine="0"/>
        </w:pPr>
        <w:rPr>
          <w:rFonts w:ascii="Book Antiqua" w:hAnsi="Book Antiqua" w:hint="default"/>
        </w:rPr>
      </w:lvl>
    </w:lvlOverride>
  </w:num>
  <w:num w:numId="48">
    <w:abstractNumId w:val="74"/>
  </w:num>
  <w:num w:numId="49">
    <w:abstractNumId w:val="72"/>
  </w:num>
  <w:num w:numId="50">
    <w:abstractNumId w:val="8"/>
  </w:num>
  <w:num w:numId="51">
    <w:abstractNumId w:val="3"/>
  </w:num>
  <w:num w:numId="52">
    <w:abstractNumId w:val="25"/>
  </w:num>
  <w:num w:numId="53">
    <w:abstractNumId w:val="42"/>
  </w:num>
  <w:num w:numId="54">
    <w:abstractNumId w:val="36"/>
  </w:num>
  <w:num w:numId="55">
    <w:abstractNumId w:val="12"/>
  </w:num>
  <w:num w:numId="56">
    <w:abstractNumId w:val="30"/>
  </w:num>
  <w:num w:numId="57">
    <w:abstractNumId w:val="51"/>
  </w:num>
  <w:num w:numId="58">
    <w:abstractNumId w:val="90"/>
  </w:num>
  <w:num w:numId="59">
    <w:abstractNumId w:val="18"/>
  </w:num>
  <w:num w:numId="60">
    <w:abstractNumId w:val="83"/>
  </w:num>
  <w:num w:numId="61">
    <w:abstractNumId w:val="14"/>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num>
  <w:num w:numId="64">
    <w:abstractNumId w:val="81"/>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8"/>
  </w:num>
  <w:num w:numId="69">
    <w:abstractNumId w:val="61"/>
  </w:num>
  <w:num w:numId="70">
    <w:abstractNumId w:val="55"/>
  </w:num>
  <w:num w:numId="71">
    <w:abstractNumId w:val="31"/>
  </w:num>
  <w:num w:numId="72">
    <w:abstractNumId w:val="20"/>
  </w:num>
  <w:num w:numId="73">
    <w:abstractNumId w:val="64"/>
  </w:num>
  <w:num w:numId="74">
    <w:abstractNumId w:val="29"/>
  </w:num>
  <w:num w:numId="75">
    <w:abstractNumId w:val="32"/>
  </w:num>
  <w:num w:numId="76">
    <w:abstractNumId w:val="92"/>
  </w:num>
  <w:num w:numId="77">
    <w:abstractNumId w:val="39"/>
  </w:num>
  <w:num w:numId="78">
    <w:abstractNumId w:val="34"/>
  </w:num>
  <w:num w:numId="79">
    <w:abstractNumId w:val="88"/>
  </w:num>
  <w:num w:numId="80">
    <w:abstractNumId w:val="58"/>
  </w:num>
  <w:num w:numId="81">
    <w:abstractNumId w:val="24"/>
  </w:num>
  <w:num w:numId="82">
    <w:abstractNumId w:val="44"/>
  </w:num>
  <w:num w:numId="83">
    <w:abstractNumId w:val="23"/>
  </w:num>
  <w:num w:numId="84">
    <w:abstractNumId w:val="66"/>
  </w:num>
  <w:num w:numId="85">
    <w:abstractNumId w:val="57"/>
  </w:num>
  <w:num w:numId="86">
    <w:abstractNumId w:val="45"/>
  </w:num>
  <w:num w:numId="87">
    <w:abstractNumId w:val="67"/>
  </w:num>
  <w:num w:numId="88">
    <w:abstractNumId w:val="73"/>
  </w:num>
  <w:num w:numId="89">
    <w:abstractNumId w:val="41"/>
  </w:num>
  <w:num w:numId="90">
    <w:abstractNumId w:val="48"/>
  </w:num>
  <w:num w:numId="91">
    <w:abstractNumId w:val="80"/>
  </w:num>
  <w:num w:numId="92">
    <w:abstractNumId w:val="86"/>
  </w:num>
  <w:num w:numId="93">
    <w:abstractNumId w:val="5"/>
  </w:num>
  <w:num w:numId="94">
    <w:abstractNumId w:val="10"/>
  </w:num>
  <w:num w:numId="95">
    <w:abstractNumId w:val="71"/>
  </w:num>
  <w:num w:numId="96">
    <w:abstractNumId w:val="49"/>
  </w:num>
  <w:num w:numId="97">
    <w:abstractNumId w:val="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8C"/>
    <w:rsid w:val="00000070"/>
    <w:rsid w:val="00000343"/>
    <w:rsid w:val="00000A23"/>
    <w:rsid w:val="00000C60"/>
    <w:rsid w:val="00000F7C"/>
    <w:rsid w:val="00001BC5"/>
    <w:rsid w:val="0000215D"/>
    <w:rsid w:val="00002CD9"/>
    <w:rsid w:val="00004036"/>
    <w:rsid w:val="00004591"/>
    <w:rsid w:val="00006522"/>
    <w:rsid w:val="000075D9"/>
    <w:rsid w:val="00007B10"/>
    <w:rsid w:val="0001022B"/>
    <w:rsid w:val="00010658"/>
    <w:rsid w:val="000106A9"/>
    <w:rsid w:val="00010804"/>
    <w:rsid w:val="00010B86"/>
    <w:rsid w:val="00011A50"/>
    <w:rsid w:val="0001280A"/>
    <w:rsid w:val="00012E94"/>
    <w:rsid w:val="00013112"/>
    <w:rsid w:val="00013180"/>
    <w:rsid w:val="00013A69"/>
    <w:rsid w:val="00014341"/>
    <w:rsid w:val="000145D5"/>
    <w:rsid w:val="00014B95"/>
    <w:rsid w:val="000150FD"/>
    <w:rsid w:val="0001515C"/>
    <w:rsid w:val="0001520F"/>
    <w:rsid w:val="00015E05"/>
    <w:rsid w:val="00015F0D"/>
    <w:rsid w:val="00016368"/>
    <w:rsid w:val="00016FBC"/>
    <w:rsid w:val="000174C1"/>
    <w:rsid w:val="0001781A"/>
    <w:rsid w:val="00017C1A"/>
    <w:rsid w:val="00020723"/>
    <w:rsid w:val="00020A39"/>
    <w:rsid w:val="00020F34"/>
    <w:rsid w:val="000213CB"/>
    <w:rsid w:val="00021F20"/>
    <w:rsid w:val="00022355"/>
    <w:rsid w:val="00022723"/>
    <w:rsid w:val="00022879"/>
    <w:rsid w:val="00022F13"/>
    <w:rsid w:val="00023872"/>
    <w:rsid w:val="000244FC"/>
    <w:rsid w:val="00025F95"/>
    <w:rsid w:val="0002602C"/>
    <w:rsid w:val="000266C0"/>
    <w:rsid w:val="00026905"/>
    <w:rsid w:val="0002726A"/>
    <w:rsid w:val="00027630"/>
    <w:rsid w:val="00027A3C"/>
    <w:rsid w:val="00027CC3"/>
    <w:rsid w:val="00027DC8"/>
    <w:rsid w:val="000301C4"/>
    <w:rsid w:val="00030B39"/>
    <w:rsid w:val="00030F68"/>
    <w:rsid w:val="00030F85"/>
    <w:rsid w:val="00030F92"/>
    <w:rsid w:val="000311B1"/>
    <w:rsid w:val="00031CE1"/>
    <w:rsid w:val="0003470B"/>
    <w:rsid w:val="000347A3"/>
    <w:rsid w:val="00034B4D"/>
    <w:rsid w:val="000355D7"/>
    <w:rsid w:val="00036387"/>
    <w:rsid w:val="000365A5"/>
    <w:rsid w:val="00036649"/>
    <w:rsid w:val="00037448"/>
    <w:rsid w:val="000400AE"/>
    <w:rsid w:val="0004096D"/>
    <w:rsid w:val="00040987"/>
    <w:rsid w:val="00041253"/>
    <w:rsid w:val="000414D5"/>
    <w:rsid w:val="0004271E"/>
    <w:rsid w:val="00042ABD"/>
    <w:rsid w:val="00043D36"/>
    <w:rsid w:val="00043DF8"/>
    <w:rsid w:val="00046993"/>
    <w:rsid w:val="0004716D"/>
    <w:rsid w:val="0004785E"/>
    <w:rsid w:val="0005017C"/>
    <w:rsid w:val="00051955"/>
    <w:rsid w:val="00051CB2"/>
    <w:rsid w:val="00051F1F"/>
    <w:rsid w:val="000531D3"/>
    <w:rsid w:val="00053312"/>
    <w:rsid w:val="000538B6"/>
    <w:rsid w:val="00054308"/>
    <w:rsid w:val="00055843"/>
    <w:rsid w:val="00055C7C"/>
    <w:rsid w:val="00055E00"/>
    <w:rsid w:val="00056197"/>
    <w:rsid w:val="000568E7"/>
    <w:rsid w:val="00056A65"/>
    <w:rsid w:val="00056F11"/>
    <w:rsid w:val="00056FC7"/>
    <w:rsid w:val="00057075"/>
    <w:rsid w:val="0005710C"/>
    <w:rsid w:val="00060097"/>
    <w:rsid w:val="0006037C"/>
    <w:rsid w:val="00060C10"/>
    <w:rsid w:val="00062E0A"/>
    <w:rsid w:val="00064210"/>
    <w:rsid w:val="00065EFE"/>
    <w:rsid w:val="00065F90"/>
    <w:rsid w:val="000665E3"/>
    <w:rsid w:val="000666B0"/>
    <w:rsid w:val="00067447"/>
    <w:rsid w:val="000674C6"/>
    <w:rsid w:val="00072318"/>
    <w:rsid w:val="00073675"/>
    <w:rsid w:val="00073EA1"/>
    <w:rsid w:val="00074882"/>
    <w:rsid w:val="00074E2D"/>
    <w:rsid w:val="0007584B"/>
    <w:rsid w:val="00075936"/>
    <w:rsid w:val="000764EA"/>
    <w:rsid w:val="00076998"/>
    <w:rsid w:val="00076D23"/>
    <w:rsid w:val="000771DD"/>
    <w:rsid w:val="00077D4C"/>
    <w:rsid w:val="0008045E"/>
    <w:rsid w:val="000807FE"/>
    <w:rsid w:val="00080B7B"/>
    <w:rsid w:val="00080F10"/>
    <w:rsid w:val="00080F17"/>
    <w:rsid w:val="00081226"/>
    <w:rsid w:val="00081DCD"/>
    <w:rsid w:val="0008253B"/>
    <w:rsid w:val="00082F18"/>
    <w:rsid w:val="0008395A"/>
    <w:rsid w:val="00083D8E"/>
    <w:rsid w:val="0008403A"/>
    <w:rsid w:val="0008414A"/>
    <w:rsid w:val="000847D9"/>
    <w:rsid w:val="00084849"/>
    <w:rsid w:val="000849EA"/>
    <w:rsid w:val="00084E3F"/>
    <w:rsid w:val="000853EF"/>
    <w:rsid w:val="0008641B"/>
    <w:rsid w:val="00086614"/>
    <w:rsid w:val="00086B09"/>
    <w:rsid w:val="00087218"/>
    <w:rsid w:val="00090997"/>
    <w:rsid w:val="00090BAF"/>
    <w:rsid w:val="00091258"/>
    <w:rsid w:val="000912F9"/>
    <w:rsid w:val="00092BC6"/>
    <w:rsid w:val="00093596"/>
    <w:rsid w:val="0009360B"/>
    <w:rsid w:val="00093614"/>
    <w:rsid w:val="000961B0"/>
    <w:rsid w:val="0009656A"/>
    <w:rsid w:val="000972B6"/>
    <w:rsid w:val="00097E68"/>
    <w:rsid w:val="000A140D"/>
    <w:rsid w:val="000A1A44"/>
    <w:rsid w:val="000A2394"/>
    <w:rsid w:val="000A3CD5"/>
    <w:rsid w:val="000A5264"/>
    <w:rsid w:val="000A5BCE"/>
    <w:rsid w:val="000A5E4E"/>
    <w:rsid w:val="000A6119"/>
    <w:rsid w:val="000A74B7"/>
    <w:rsid w:val="000A7720"/>
    <w:rsid w:val="000A7A90"/>
    <w:rsid w:val="000A7E1D"/>
    <w:rsid w:val="000B10C0"/>
    <w:rsid w:val="000B1B94"/>
    <w:rsid w:val="000B21AF"/>
    <w:rsid w:val="000B3530"/>
    <w:rsid w:val="000B4FDB"/>
    <w:rsid w:val="000B5442"/>
    <w:rsid w:val="000B61CA"/>
    <w:rsid w:val="000B7562"/>
    <w:rsid w:val="000B779A"/>
    <w:rsid w:val="000C00D2"/>
    <w:rsid w:val="000C04A2"/>
    <w:rsid w:val="000C20BA"/>
    <w:rsid w:val="000C23B2"/>
    <w:rsid w:val="000C23BB"/>
    <w:rsid w:val="000C2CF6"/>
    <w:rsid w:val="000C2DE3"/>
    <w:rsid w:val="000C5CD8"/>
    <w:rsid w:val="000C6AB5"/>
    <w:rsid w:val="000C6DB6"/>
    <w:rsid w:val="000C7251"/>
    <w:rsid w:val="000C7966"/>
    <w:rsid w:val="000D0455"/>
    <w:rsid w:val="000D0708"/>
    <w:rsid w:val="000D1C1E"/>
    <w:rsid w:val="000D2257"/>
    <w:rsid w:val="000D26B2"/>
    <w:rsid w:val="000D29B2"/>
    <w:rsid w:val="000D2BD3"/>
    <w:rsid w:val="000D30F0"/>
    <w:rsid w:val="000D47BA"/>
    <w:rsid w:val="000D4B77"/>
    <w:rsid w:val="000D4C16"/>
    <w:rsid w:val="000D5531"/>
    <w:rsid w:val="000D58B1"/>
    <w:rsid w:val="000D648D"/>
    <w:rsid w:val="000D6D9B"/>
    <w:rsid w:val="000D73A3"/>
    <w:rsid w:val="000D74A7"/>
    <w:rsid w:val="000E07A8"/>
    <w:rsid w:val="000E1848"/>
    <w:rsid w:val="000E2940"/>
    <w:rsid w:val="000E2BF5"/>
    <w:rsid w:val="000E2CA7"/>
    <w:rsid w:val="000E362E"/>
    <w:rsid w:val="000E3E36"/>
    <w:rsid w:val="000E3E45"/>
    <w:rsid w:val="000E470D"/>
    <w:rsid w:val="000E6D78"/>
    <w:rsid w:val="000E715C"/>
    <w:rsid w:val="000E7578"/>
    <w:rsid w:val="000F0B94"/>
    <w:rsid w:val="000F0D3C"/>
    <w:rsid w:val="000F1D9F"/>
    <w:rsid w:val="000F26B0"/>
    <w:rsid w:val="000F3A93"/>
    <w:rsid w:val="000F3C67"/>
    <w:rsid w:val="000F51B2"/>
    <w:rsid w:val="000F5504"/>
    <w:rsid w:val="000F584B"/>
    <w:rsid w:val="000F59B3"/>
    <w:rsid w:val="000F5F73"/>
    <w:rsid w:val="000F6A13"/>
    <w:rsid w:val="000F6BE7"/>
    <w:rsid w:val="000F6F16"/>
    <w:rsid w:val="000F795F"/>
    <w:rsid w:val="001006BB"/>
    <w:rsid w:val="00100ED6"/>
    <w:rsid w:val="001012D8"/>
    <w:rsid w:val="00101DAC"/>
    <w:rsid w:val="00101E36"/>
    <w:rsid w:val="00102013"/>
    <w:rsid w:val="0010235E"/>
    <w:rsid w:val="00102694"/>
    <w:rsid w:val="00102CA5"/>
    <w:rsid w:val="00104332"/>
    <w:rsid w:val="001056D0"/>
    <w:rsid w:val="00106485"/>
    <w:rsid w:val="00106C05"/>
    <w:rsid w:val="00107D79"/>
    <w:rsid w:val="0011074B"/>
    <w:rsid w:val="00110F41"/>
    <w:rsid w:val="00111951"/>
    <w:rsid w:val="001120BA"/>
    <w:rsid w:val="001136DC"/>
    <w:rsid w:val="001138BF"/>
    <w:rsid w:val="00113902"/>
    <w:rsid w:val="00113B29"/>
    <w:rsid w:val="001149E5"/>
    <w:rsid w:val="001154E5"/>
    <w:rsid w:val="001164AE"/>
    <w:rsid w:val="00117126"/>
    <w:rsid w:val="00120903"/>
    <w:rsid w:val="001214AD"/>
    <w:rsid w:val="00122471"/>
    <w:rsid w:val="001226B0"/>
    <w:rsid w:val="00123074"/>
    <w:rsid w:val="0012513C"/>
    <w:rsid w:val="00125746"/>
    <w:rsid w:val="00126143"/>
    <w:rsid w:val="0012653D"/>
    <w:rsid w:val="00126A35"/>
    <w:rsid w:val="00127983"/>
    <w:rsid w:val="00131258"/>
    <w:rsid w:val="00132237"/>
    <w:rsid w:val="00132FFF"/>
    <w:rsid w:val="001334D6"/>
    <w:rsid w:val="0013374E"/>
    <w:rsid w:val="001339CA"/>
    <w:rsid w:val="00134660"/>
    <w:rsid w:val="001366C4"/>
    <w:rsid w:val="00137DA8"/>
    <w:rsid w:val="00140A3E"/>
    <w:rsid w:val="00142A82"/>
    <w:rsid w:val="00142E68"/>
    <w:rsid w:val="00143B10"/>
    <w:rsid w:val="00144722"/>
    <w:rsid w:val="001447FD"/>
    <w:rsid w:val="00145A37"/>
    <w:rsid w:val="00145BEA"/>
    <w:rsid w:val="00145F0D"/>
    <w:rsid w:val="00146F72"/>
    <w:rsid w:val="00147312"/>
    <w:rsid w:val="00147613"/>
    <w:rsid w:val="001477A8"/>
    <w:rsid w:val="001477AE"/>
    <w:rsid w:val="00147811"/>
    <w:rsid w:val="00147956"/>
    <w:rsid w:val="00151582"/>
    <w:rsid w:val="001518DD"/>
    <w:rsid w:val="001521D7"/>
    <w:rsid w:val="0015340D"/>
    <w:rsid w:val="00153EA1"/>
    <w:rsid w:val="00154618"/>
    <w:rsid w:val="0015558A"/>
    <w:rsid w:val="001558AD"/>
    <w:rsid w:val="0015598F"/>
    <w:rsid w:val="00156283"/>
    <w:rsid w:val="001566BB"/>
    <w:rsid w:val="001570CB"/>
    <w:rsid w:val="001571D1"/>
    <w:rsid w:val="001573F9"/>
    <w:rsid w:val="00157A56"/>
    <w:rsid w:val="00157B44"/>
    <w:rsid w:val="00161F6F"/>
    <w:rsid w:val="001625B5"/>
    <w:rsid w:val="00162D18"/>
    <w:rsid w:val="001634D4"/>
    <w:rsid w:val="00165A9B"/>
    <w:rsid w:val="001675D0"/>
    <w:rsid w:val="001700EC"/>
    <w:rsid w:val="001706B8"/>
    <w:rsid w:val="00170831"/>
    <w:rsid w:val="00170B67"/>
    <w:rsid w:val="00170F18"/>
    <w:rsid w:val="001718BE"/>
    <w:rsid w:val="00171923"/>
    <w:rsid w:val="0017226F"/>
    <w:rsid w:val="00172396"/>
    <w:rsid w:val="001736AC"/>
    <w:rsid w:val="001746A9"/>
    <w:rsid w:val="001755EF"/>
    <w:rsid w:val="00175A73"/>
    <w:rsid w:val="00175EE5"/>
    <w:rsid w:val="001764DC"/>
    <w:rsid w:val="00176547"/>
    <w:rsid w:val="001775E0"/>
    <w:rsid w:val="00177735"/>
    <w:rsid w:val="0017788A"/>
    <w:rsid w:val="00180251"/>
    <w:rsid w:val="0018051E"/>
    <w:rsid w:val="00180B53"/>
    <w:rsid w:val="00180E1C"/>
    <w:rsid w:val="00180FD9"/>
    <w:rsid w:val="001814C0"/>
    <w:rsid w:val="00181818"/>
    <w:rsid w:val="001856FE"/>
    <w:rsid w:val="00185AEC"/>
    <w:rsid w:val="0018649D"/>
    <w:rsid w:val="001867C0"/>
    <w:rsid w:val="001877A2"/>
    <w:rsid w:val="00187F0E"/>
    <w:rsid w:val="001907E2"/>
    <w:rsid w:val="00190B4A"/>
    <w:rsid w:val="00191B65"/>
    <w:rsid w:val="0019240A"/>
    <w:rsid w:val="00192C2C"/>
    <w:rsid w:val="00192D60"/>
    <w:rsid w:val="001930A5"/>
    <w:rsid w:val="00193167"/>
    <w:rsid w:val="001933E4"/>
    <w:rsid w:val="00193A5D"/>
    <w:rsid w:val="00194D78"/>
    <w:rsid w:val="0019631A"/>
    <w:rsid w:val="00196501"/>
    <w:rsid w:val="001976EF"/>
    <w:rsid w:val="00197844"/>
    <w:rsid w:val="00197A00"/>
    <w:rsid w:val="00197E39"/>
    <w:rsid w:val="001A05AB"/>
    <w:rsid w:val="001A087B"/>
    <w:rsid w:val="001A1083"/>
    <w:rsid w:val="001A264B"/>
    <w:rsid w:val="001A2B2F"/>
    <w:rsid w:val="001A4C18"/>
    <w:rsid w:val="001A4F20"/>
    <w:rsid w:val="001A5B1A"/>
    <w:rsid w:val="001A5E1A"/>
    <w:rsid w:val="001A5E7D"/>
    <w:rsid w:val="001A69B9"/>
    <w:rsid w:val="001A6D8C"/>
    <w:rsid w:val="001A6F74"/>
    <w:rsid w:val="001A72B3"/>
    <w:rsid w:val="001A72EF"/>
    <w:rsid w:val="001A7C51"/>
    <w:rsid w:val="001B02EF"/>
    <w:rsid w:val="001B0390"/>
    <w:rsid w:val="001B1648"/>
    <w:rsid w:val="001B19A4"/>
    <w:rsid w:val="001B215E"/>
    <w:rsid w:val="001B2ADD"/>
    <w:rsid w:val="001B2BF9"/>
    <w:rsid w:val="001B327E"/>
    <w:rsid w:val="001B3EFB"/>
    <w:rsid w:val="001B4AA1"/>
    <w:rsid w:val="001B5BA5"/>
    <w:rsid w:val="001C0193"/>
    <w:rsid w:val="001C0FAC"/>
    <w:rsid w:val="001C142E"/>
    <w:rsid w:val="001C29B9"/>
    <w:rsid w:val="001C3B6A"/>
    <w:rsid w:val="001C4303"/>
    <w:rsid w:val="001C5101"/>
    <w:rsid w:val="001C6663"/>
    <w:rsid w:val="001D1735"/>
    <w:rsid w:val="001D1B59"/>
    <w:rsid w:val="001D202F"/>
    <w:rsid w:val="001D2967"/>
    <w:rsid w:val="001D2E57"/>
    <w:rsid w:val="001D3112"/>
    <w:rsid w:val="001D3362"/>
    <w:rsid w:val="001D5955"/>
    <w:rsid w:val="001D6334"/>
    <w:rsid w:val="001D63DA"/>
    <w:rsid w:val="001D6482"/>
    <w:rsid w:val="001D7352"/>
    <w:rsid w:val="001D7527"/>
    <w:rsid w:val="001D79BC"/>
    <w:rsid w:val="001D7B02"/>
    <w:rsid w:val="001E033A"/>
    <w:rsid w:val="001E14D4"/>
    <w:rsid w:val="001E20CB"/>
    <w:rsid w:val="001E22DC"/>
    <w:rsid w:val="001E2314"/>
    <w:rsid w:val="001E2378"/>
    <w:rsid w:val="001E2480"/>
    <w:rsid w:val="001E527B"/>
    <w:rsid w:val="001E5949"/>
    <w:rsid w:val="001E601A"/>
    <w:rsid w:val="001E7579"/>
    <w:rsid w:val="001E7802"/>
    <w:rsid w:val="001E7886"/>
    <w:rsid w:val="001E7E23"/>
    <w:rsid w:val="001F048D"/>
    <w:rsid w:val="001F1B58"/>
    <w:rsid w:val="001F1CA3"/>
    <w:rsid w:val="001F438C"/>
    <w:rsid w:val="001F4FD7"/>
    <w:rsid w:val="001F6982"/>
    <w:rsid w:val="001F6B80"/>
    <w:rsid w:val="001F787B"/>
    <w:rsid w:val="001F78A0"/>
    <w:rsid w:val="001F7FF6"/>
    <w:rsid w:val="00200359"/>
    <w:rsid w:val="002011D6"/>
    <w:rsid w:val="002013E9"/>
    <w:rsid w:val="002018B7"/>
    <w:rsid w:val="00202CA2"/>
    <w:rsid w:val="00203F9A"/>
    <w:rsid w:val="00204510"/>
    <w:rsid w:val="00206321"/>
    <w:rsid w:val="002068AF"/>
    <w:rsid w:val="0020746F"/>
    <w:rsid w:val="00207BFE"/>
    <w:rsid w:val="00207C14"/>
    <w:rsid w:val="00210D80"/>
    <w:rsid w:val="002120F0"/>
    <w:rsid w:val="00213195"/>
    <w:rsid w:val="00213CD4"/>
    <w:rsid w:val="002151C0"/>
    <w:rsid w:val="002151D7"/>
    <w:rsid w:val="002155FD"/>
    <w:rsid w:val="002161B6"/>
    <w:rsid w:val="00216F52"/>
    <w:rsid w:val="002173F1"/>
    <w:rsid w:val="00217B3B"/>
    <w:rsid w:val="00220934"/>
    <w:rsid w:val="00221089"/>
    <w:rsid w:val="00221FF6"/>
    <w:rsid w:val="00222C2C"/>
    <w:rsid w:val="00222DDC"/>
    <w:rsid w:val="00223FA8"/>
    <w:rsid w:val="00226390"/>
    <w:rsid w:val="002276AE"/>
    <w:rsid w:val="00227C4C"/>
    <w:rsid w:val="00230635"/>
    <w:rsid w:val="00231D4A"/>
    <w:rsid w:val="00232ED3"/>
    <w:rsid w:val="0023383B"/>
    <w:rsid w:val="002339BD"/>
    <w:rsid w:val="00233E32"/>
    <w:rsid w:val="00234E6A"/>
    <w:rsid w:val="00235F37"/>
    <w:rsid w:val="00236A77"/>
    <w:rsid w:val="00236A8E"/>
    <w:rsid w:val="00236CF4"/>
    <w:rsid w:val="00236D65"/>
    <w:rsid w:val="00241F66"/>
    <w:rsid w:val="00243B16"/>
    <w:rsid w:val="00244037"/>
    <w:rsid w:val="00245CFE"/>
    <w:rsid w:val="002468F7"/>
    <w:rsid w:val="002502B8"/>
    <w:rsid w:val="00251A78"/>
    <w:rsid w:val="00252B63"/>
    <w:rsid w:val="0025346D"/>
    <w:rsid w:val="002538AE"/>
    <w:rsid w:val="00253B8A"/>
    <w:rsid w:val="002550BF"/>
    <w:rsid w:val="00256AF0"/>
    <w:rsid w:val="00256FC6"/>
    <w:rsid w:val="0025752B"/>
    <w:rsid w:val="0025771C"/>
    <w:rsid w:val="00257776"/>
    <w:rsid w:val="002578B8"/>
    <w:rsid w:val="002605FF"/>
    <w:rsid w:val="002607AB"/>
    <w:rsid w:val="00260E0E"/>
    <w:rsid w:val="0026102A"/>
    <w:rsid w:val="00261AEE"/>
    <w:rsid w:val="002620C8"/>
    <w:rsid w:val="00262BD1"/>
    <w:rsid w:val="00263CA3"/>
    <w:rsid w:val="0026408F"/>
    <w:rsid w:val="002652FF"/>
    <w:rsid w:val="0026547C"/>
    <w:rsid w:val="002654F4"/>
    <w:rsid w:val="00265E82"/>
    <w:rsid w:val="00266625"/>
    <w:rsid w:val="002669C5"/>
    <w:rsid w:val="00266E9C"/>
    <w:rsid w:val="0027026F"/>
    <w:rsid w:val="00270A87"/>
    <w:rsid w:val="00270C81"/>
    <w:rsid w:val="002710A1"/>
    <w:rsid w:val="00272C4F"/>
    <w:rsid w:val="0027397F"/>
    <w:rsid w:val="00274663"/>
    <w:rsid w:val="0027474A"/>
    <w:rsid w:val="0027554C"/>
    <w:rsid w:val="00275939"/>
    <w:rsid w:val="00275D14"/>
    <w:rsid w:val="00276CC9"/>
    <w:rsid w:val="00277138"/>
    <w:rsid w:val="0027753E"/>
    <w:rsid w:val="002779E5"/>
    <w:rsid w:val="00281563"/>
    <w:rsid w:val="0028187C"/>
    <w:rsid w:val="00281D41"/>
    <w:rsid w:val="002821E5"/>
    <w:rsid w:val="002827B8"/>
    <w:rsid w:val="00282B7C"/>
    <w:rsid w:val="00282DE2"/>
    <w:rsid w:val="002833FA"/>
    <w:rsid w:val="002838C9"/>
    <w:rsid w:val="00285500"/>
    <w:rsid w:val="00287082"/>
    <w:rsid w:val="00287BBD"/>
    <w:rsid w:val="00287CFB"/>
    <w:rsid w:val="002903C6"/>
    <w:rsid w:val="00291FDB"/>
    <w:rsid w:val="0029254A"/>
    <w:rsid w:val="002927D7"/>
    <w:rsid w:val="00293052"/>
    <w:rsid w:val="00293694"/>
    <w:rsid w:val="00293710"/>
    <w:rsid w:val="00293DA0"/>
    <w:rsid w:val="00293E7F"/>
    <w:rsid w:val="00294269"/>
    <w:rsid w:val="00295C9D"/>
    <w:rsid w:val="00296490"/>
    <w:rsid w:val="00296619"/>
    <w:rsid w:val="00296885"/>
    <w:rsid w:val="00296A29"/>
    <w:rsid w:val="00297520"/>
    <w:rsid w:val="002977B0"/>
    <w:rsid w:val="002A03DB"/>
    <w:rsid w:val="002A05BA"/>
    <w:rsid w:val="002A0830"/>
    <w:rsid w:val="002A1095"/>
    <w:rsid w:val="002A1C45"/>
    <w:rsid w:val="002A1EDA"/>
    <w:rsid w:val="002A3713"/>
    <w:rsid w:val="002A4266"/>
    <w:rsid w:val="002A4586"/>
    <w:rsid w:val="002A4E07"/>
    <w:rsid w:val="002A511A"/>
    <w:rsid w:val="002A67AE"/>
    <w:rsid w:val="002A68F3"/>
    <w:rsid w:val="002A6B07"/>
    <w:rsid w:val="002A7366"/>
    <w:rsid w:val="002A7EAC"/>
    <w:rsid w:val="002B170D"/>
    <w:rsid w:val="002B2202"/>
    <w:rsid w:val="002B28FB"/>
    <w:rsid w:val="002B38FC"/>
    <w:rsid w:val="002B3B6B"/>
    <w:rsid w:val="002B3D66"/>
    <w:rsid w:val="002B4775"/>
    <w:rsid w:val="002B56A5"/>
    <w:rsid w:val="002B5AD6"/>
    <w:rsid w:val="002B5C04"/>
    <w:rsid w:val="002B6008"/>
    <w:rsid w:val="002B6076"/>
    <w:rsid w:val="002B7132"/>
    <w:rsid w:val="002B7B13"/>
    <w:rsid w:val="002C03A2"/>
    <w:rsid w:val="002C0926"/>
    <w:rsid w:val="002C1CF9"/>
    <w:rsid w:val="002C1FF9"/>
    <w:rsid w:val="002C2919"/>
    <w:rsid w:val="002C2B3D"/>
    <w:rsid w:val="002C3500"/>
    <w:rsid w:val="002C3FC4"/>
    <w:rsid w:val="002C40E4"/>
    <w:rsid w:val="002C50BE"/>
    <w:rsid w:val="002C770E"/>
    <w:rsid w:val="002D007C"/>
    <w:rsid w:val="002D0B27"/>
    <w:rsid w:val="002D0F90"/>
    <w:rsid w:val="002D2643"/>
    <w:rsid w:val="002D35B8"/>
    <w:rsid w:val="002D46AF"/>
    <w:rsid w:val="002D4FE9"/>
    <w:rsid w:val="002D65A9"/>
    <w:rsid w:val="002D69AE"/>
    <w:rsid w:val="002D74A8"/>
    <w:rsid w:val="002E04AB"/>
    <w:rsid w:val="002E0562"/>
    <w:rsid w:val="002E0B21"/>
    <w:rsid w:val="002E133E"/>
    <w:rsid w:val="002E16BA"/>
    <w:rsid w:val="002E171A"/>
    <w:rsid w:val="002E1ADB"/>
    <w:rsid w:val="002E27DD"/>
    <w:rsid w:val="002E295E"/>
    <w:rsid w:val="002E2BE1"/>
    <w:rsid w:val="002E355E"/>
    <w:rsid w:val="002E42E4"/>
    <w:rsid w:val="002E5431"/>
    <w:rsid w:val="002E69B2"/>
    <w:rsid w:val="002E77F6"/>
    <w:rsid w:val="002E7E85"/>
    <w:rsid w:val="002F01DD"/>
    <w:rsid w:val="002F19C7"/>
    <w:rsid w:val="002F20A4"/>
    <w:rsid w:val="002F23A3"/>
    <w:rsid w:val="002F303C"/>
    <w:rsid w:val="002F3362"/>
    <w:rsid w:val="002F3889"/>
    <w:rsid w:val="002F3F67"/>
    <w:rsid w:val="002F3FDB"/>
    <w:rsid w:val="002F4F1E"/>
    <w:rsid w:val="002F59C4"/>
    <w:rsid w:val="002F5CA5"/>
    <w:rsid w:val="002F781E"/>
    <w:rsid w:val="0030090E"/>
    <w:rsid w:val="00300964"/>
    <w:rsid w:val="003009A5"/>
    <w:rsid w:val="00300E28"/>
    <w:rsid w:val="00300FF4"/>
    <w:rsid w:val="0030119E"/>
    <w:rsid w:val="00301B16"/>
    <w:rsid w:val="00301F08"/>
    <w:rsid w:val="003025B6"/>
    <w:rsid w:val="003032B1"/>
    <w:rsid w:val="00303389"/>
    <w:rsid w:val="003036DD"/>
    <w:rsid w:val="00303EB6"/>
    <w:rsid w:val="00305DC7"/>
    <w:rsid w:val="00306283"/>
    <w:rsid w:val="00307E22"/>
    <w:rsid w:val="00310348"/>
    <w:rsid w:val="003106D9"/>
    <w:rsid w:val="00310933"/>
    <w:rsid w:val="00312491"/>
    <w:rsid w:val="00312589"/>
    <w:rsid w:val="00312FF5"/>
    <w:rsid w:val="003135D3"/>
    <w:rsid w:val="00314668"/>
    <w:rsid w:val="0031563C"/>
    <w:rsid w:val="00316404"/>
    <w:rsid w:val="00316D3D"/>
    <w:rsid w:val="003179F2"/>
    <w:rsid w:val="00320102"/>
    <w:rsid w:val="003202B8"/>
    <w:rsid w:val="00320383"/>
    <w:rsid w:val="0032048B"/>
    <w:rsid w:val="003215BC"/>
    <w:rsid w:val="00321C85"/>
    <w:rsid w:val="00323374"/>
    <w:rsid w:val="003255AA"/>
    <w:rsid w:val="003257D3"/>
    <w:rsid w:val="00325BAF"/>
    <w:rsid w:val="00326C85"/>
    <w:rsid w:val="00330310"/>
    <w:rsid w:val="0033196B"/>
    <w:rsid w:val="00332015"/>
    <w:rsid w:val="00332CE9"/>
    <w:rsid w:val="00333DCF"/>
    <w:rsid w:val="0033449F"/>
    <w:rsid w:val="00334589"/>
    <w:rsid w:val="00334C8F"/>
    <w:rsid w:val="003353D6"/>
    <w:rsid w:val="003353E0"/>
    <w:rsid w:val="0033555B"/>
    <w:rsid w:val="003356CB"/>
    <w:rsid w:val="00335874"/>
    <w:rsid w:val="00335A1D"/>
    <w:rsid w:val="00337295"/>
    <w:rsid w:val="00337554"/>
    <w:rsid w:val="00337615"/>
    <w:rsid w:val="0033761D"/>
    <w:rsid w:val="0033784C"/>
    <w:rsid w:val="00337868"/>
    <w:rsid w:val="003423B8"/>
    <w:rsid w:val="0034270F"/>
    <w:rsid w:val="00342A55"/>
    <w:rsid w:val="00342DA0"/>
    <w:rsid w:val="00344795"/>
    <w:rsid w:val="00346668"/>
    <w:rsid w:val="003477ED"/>
    <w:rsid w:val="00350105"/>
    <w:rsid w:val="0035015C"/>
    <w:rsid w:val="003503C9"/>
    <w:rsid w:val="003507AD"/>
    <w:rsid w:val="00350F7C"/>
    <w:rsid w:val="00352303"/>
    <w:rsid w:val="00352705"/>
    <w:rsid w:val="00353052"/>
    <w:rsid w:val="00353083"/>
    <w:rsid w:val="003530F9"/>
    <w:rsid w:val="003532F3"/>
    <w:rsid w:val="0035385E"/>
    <w:rsid w:val="00353AB9"/>
    <w:rsid w:val="00354369"/>
    <w:rsid w:val="00354892"/>
    <w:rsid w:val="00354A46"/>
    <w:rsid w:val="0035524E"/>
    <w:rsid w:val="00355286"/>
    <w:rsid w:val="00356534"/>
    <w:rsid w:val="00356825"/>
    <w:rsid w:val="00357268"/>
    <w:rsid w:val="003572AA"/>
    <w:rsid w:val="003578BF"/>
    <w:rsid w:val="00357D63"/>
    <w:rsid w:val="00360219"/>
    <w:rsid w:val="00360C02"/>
    <w:rsid w:val="003626F5"/>
    <w:rsid w:val="00362AAD"/>
    <w:rsid w:val="00362AB3"/>
    <w:rsid w:val="00362E2B"/>
    <w:rsid w:val="00363803"/>
    <w:rsid w:val="00365D74"/>
    <w:rsid w:val="003712ED"/>
    <w:rsid w:val="00371365"/>
    <w:rsid w:val="00371AD1"/>
    <w:rsid w:val="00371B65"/>
    <w:rsid w:val="003728F0"/>
    <w:rsid w:val="00372A4F"/>
    <w:rsid w:val="00372C81"/>
    <w:rsid w:val="003748D1"/>
    <w:rsid w:val="00374B36"/>
    <w:rsid w:val="00375B21"/>
    <w:rsid w:val="00375FD1"/>
    <w:rsid w:val="003762D5"/>
    <w:rsid w:val="00376757"/>
    <w:rsid w:val="00376D65"/>
    <w:rsid w:val="0037719A"/>
    <w:rsid w:val="003773CF"/>
    <w:rsid w:val="00380D7F"/>
    <w:rsid w:val="00381465"/>
    <w:rsid w:val="00381AFB"/>
    <w:rsid w:val="003831EB"/>
    <w:rsid w:val="00383364"/>
    <w:rsid w:val="00383822"/>
    <w:rsid w:val="00384689"/>
    <w:rsid w:val="00385787"/>
    <w:rsid w:val="003859E6"/>
    <w:rsid w:val="00385CA4"/>
    <w:rsid w:val="00386B8B"/>
    <w:rsid w:val="00387172"/>
    <w:rsid w:val="00387D7F"/>
    <w:rsid w:val="003907CE"/>
    <w:rsid w:val="00390B85"/>
    <w:rsid w:val="00390E06"/>
    <w:rsid w:val="0039174E"/>
    <w:rsid w:val="003920F2"/>
    <w:rsid w:val="003929B5"/>
    <w:rsid w:val="00392CA5"/>
    <w:rsid w:val="0039492F"/>
    <w:rsid w:val="00394AD6"/>
    <w:rsid w:val="00395DAC"/>
    <w:rsid w:val="00396864"/>
    <w:rsid w:val="0039716B"/>
    <w:rsid w:val="003975BC"/>
    <w:rsid w:val="00397CBE"/>
    <w:rsid w:val="003A0516"/>
    <w:rsid w:val="003A0698"/>
    <w:rsid w:val="003A0D26"/>
    <w:rsid w:val="003A3B8B"/>
    <w:rsid w:val="003A3C46"/>
    <w:rsid w:val="003A4CB3"/>
    <w:rsid w:val="003A574B"/>
    <w:rsid w:val="003A6489"/>
    <w:rsid w:val="003A6F52"/>
    <w:rsid w:val="003A7EBA"/>
    <w:rsid w:val="003B04E4"/>
    <w:rsid w:val="003B0FC7"/>
    <w:rsid w:val="003B0FE8"/>
    <w:rsid w:val="003B1C80"/>
    <w:rsid w:val="003B2624"/>
    <w:rsid w:val="003B2F10"/>
    <w:rsid w:val="003B38EE"/>
    <w:rsid w:val="003B3CB3"/>
    <w:rsid w:val="003B449C"/>
    <w:rsid w:val="003B5D1F"/>
    <w:rsid w:val="003B65E0"/>
    <w:rsid w:val="003B6F4A"/>
    <w:rsid w:val="003B7989"/>
    <w:rsid w:val="003C03C3"/>
    <w:rsid w:val="003C0D39"/>
    <w:rsid w:val="003C1545"/>
    <w:rsid w:val="003C35F1"/>
    <w:rsid w:val="003C4256"/>
    <w:rsid w:val="003C4776"/>
    <w:rsid w:val="003C55C6"/>
    <w:rsid w:val="003C5990"/>
    <w:rsid w:val="003C6068"/>
    <w:rsid w:val="003C623C"/>
    <w:rsid w:val="003C6609"/>
    <w:rsid w:val="003C73C0"/>
    <w:rsid w:val="003C7703"/>
    <w:rsid w:val="003C77C9"/>
    <w:rsid w:val="003C7BD4"/>
    <w:rsid w:val="003D0622"/>
    <w:rsid w:val="003D0DBF"/>
    <w:rsid w:val="003D156B"/>
    <w:rsid w:val="003D173A"/>
    <w:rsid w:val="003D2357"/>
    <w:rsid w:val="003D2C1F"/>
    <w:rsid w:val="003D4EF1"/>
    <w:rsid w:val="003D754E"/>
    <w:rsid w:val="003D75A3"/>
    <w:rsid w:val="003E1839"/>
    <w:rsid w:val="003E22C7"/>
    <w:rsid w:val="003E2F28"/>
    <w:rsid w:val="003E3FB1"/>
    <w:rsid w:val="003E4191"/>
    <w:rsid w:val="003E43CD"/>
    <w:rsid w:val="003E4B01"/>
    <w:rsid w:val="003E5510"/>
    <w:rsid w:val="003E60A3"/>
    <w:rsid w:val="003E60E4"/>
    <w:rsid w:val="003E763A"/>
    <w:rsid w:val="003E7831"/>
    <w:rsid w:val="003E7E78"/>
    <w:rsid w:val="003E7F12"/>
    <w:rsid w:val="003F0B79"/>
    <w:rsid w:val="003F2350"/>
    <w:rsid w:val="003F26C0"/>
    <w:rsid w:val="003F2EBC"/>
    <w:rsid w:val="003F3736"/>
    <w:rsid w:val="003F4EBD"/>
    <w:rsid w:val="003F7ADC"/>
    <w:rsid w:val="00400AD6"/>
    <w:rsid w:val="0040149D"/>
    <w:rsid w:val="00401533"/>
    <w:rsid w:val="00401F2E"/>
    <w:rsid w:val="004020F8"/>
    <w:rsid w:val="00402FCE"/>
    <w:rsid w:val="00403CF9"/>
    <w:rsid w:val="0040439F"/>
    <w:rsid w:val="0040466B"/>
    <w:rsid w:val="0040495E"/>
    <w:rsid w:val="0040507B"/>
    <w:rsid w:val="004056AD"/>
    <w:rsid w:val="004062B8"/>
    <w:rsid w:val="004077AA"/>
    <w:rsid w:val="00411CCD"/>
    <w:rsid w:val="0041385A"/>
    <w:rsid w:val="00414181"/>
    <w:rsid w:val="0041469E"/>
    <w:rsid w:val="004148A3"/>
    <w:rsid w:val="00414BCE"/>
    <w:rsid w:val="00415244"/>
    <w:rsid w:val="00415600"/>
    <w:rsid w:val="00415F24"/>
    <w:rsid w:val="00416216"/>
    <w:rsid w:val="004166E6"/>
    <w:rsid w:val="0041672E"/>
    <w:rsid w:val="004168DA"/>
    <w:rsid w:val="00416F70"/>
    <w:rsid w:val="004171EF"/>
    <w:rsid w:val="00417255"/>
    <w:rsid w:val="0041734F"/>
    <w:rsid w:val="00420253"/>
    <w:rsid w:val="004208D5"/>
    <w:rsid w:val="00420EC6"/>
    <w:rsid w:val="00423382"/>
    <w:rsid w:val="004233CC"/>
    <w:rsid w:val="004237A2"/>
    <w:rsid w:val="00424493"/>
    <w:rsid w:val="004249FA"/>
    <w:rsid w:val="004250E9"/>
    <w:rsid w:val="0042537A"/>
    <w:rsid w:val="004253B9"/>
    <w:rsid w:val="00425B2E"/>
    <w:rsid w:val="00426D6E"/>
    <w:rsid w:val="0042702D"/>
    <w:rsid w:val="004273F8"/>
    <w:rsid w:val="00427CEF"/>
    <w:rsid w:val="00427E0D"/>
    <w:rsid w:val="00430432"/>
    <w:rsid w:val="00430948"/>
    <w:rsid w:val="00430BC0"/>
    <w:rsid w:val="00430BFB"/>
    <w:rsid w:val="00431424"/>
    <w:rsid w:val="004317C0"/>
    <w:rsid w:val="00433651"/>
    <w:rsid w:val="0043381E"/>
    <w:rsid w:val="00433C17"/>
    <w:rsid w:val="0043457B"/>
    <w:rsid w:val="00434C11"/>
    <w:rsid w:val="00437501"/>
    <w:rsid w:val="00437978"/>
    <w:rsid w:val="00437E2C"/>
    <w:rsid w:val="00440415"/>
    <w:rsid w:val="0044060D"/>
    <w:rsid w:val="004408BC"/>
    <w:rsid w:val="00440B6E"/>
    <w:rsid w:val="00440E8D"/>
    <w:rsid w:val="00442132"/>
    <w:rsid w:val="00444F40"/>
    <w:rsid w:val="00445562"/>
    <w:rsid w:val="00445719"/>
    <w:rsid w:val="00445808"/>
    <w:rsid w:val="00445E7F"/>
    <w:rsid w:val="00445F5A"/>
    <w:rsid w:val="00445F6B"/>
    <w:rsid w:val="004461A1"/>
    <w:rsid w:val="004466FA"/>
    <w:rsid w:val="00446733"/>
    <w:rsid w:val="00446951"/>
    <w:rsid w:val="00447427"/>
    <w:rsid w:val="00451E58"/>
    <w:rsid w:val="004527FA"/>
    <w:rsid w:val="00452E79"/>
    <w:rsid w:val="004534EC"/>
    <w:rsid w:val="00454074"/>
    <w:rsid w:val="0045411B"/>
    <w:rsid w:val="00454D0C"/>
    <w:rsid w:val="00454DF3"/>
    <w:rsid w:val="004560DD"/>
    <w:rsid w:val="00456806"/>
    <w:rsid w:val="004608E6"/>
    <w:rsid w:val="00460D6F"/>
    <w:rsid w:val="004611F0"/>
    <w:rsid w:val="00461BCE"/>
    <w:rsid w:val="00462B3D"/>
    <w:rsid w:val="004636B1"/>
    <w:rsid w:val="004646D1"/>
    <w:rsid w:val="00464B89"/>
    <w:rsid w:val="00464DEE"/>
    <w:rsid w:val="00466A46"/>
    <w:rsid w:val="00466AC5"/>
    <w:rsid w:val="0046797C"/>
    <w:rsid w:val="00471536"/>
    <w:rsid w:val="00471AE2"/>
    <w:rsid w:val="004723A5"/>
    <w:rsid w:val="00472936"/>
    <w:rsid w:val="0047322B"/>
    <w:rsid w:val="00473DF8"/>
    <w:rsid w:val="00473E13"/>
    <w:rsid w:val="004754DA"/>
    <w:rsid w:val="004757B4"/>
    <w:rsid w:val="004758F8"/>
    <w:rsid w:val="00476AEE"/>
    <w:rsid w:val="00476BE7"/>
    <w:rsid w:val="00476FA4"/>
    <w:rsid w:val="00476FC1"/>
    <w:rsid w:val="0047769D"/>
    <w:rsid w:val="00480C34"/>
    <w:rsid w:val="0048190A"/>
    <w:rsid w:val="00481BEA"/>
    <w:rsid w:val="00481C5A"/>
    <w:rsid w:val="004832EA"/>
    <w:rsid w:val="0048378C"/>
    <w:rsid w:val="00484606"/>
    <w:rsid w:val="00484612"/>
    <w:rsid w:val="00484E99"/>
    <w:rsid w:val="004855E5"/>
    <w:rsid w:val="00487209"/>
    <w:rsid w:val="004872AA"/>
    <w:rsid w:val="00491101"/>
    <w:rsid w:val="0049145C"/>
    <w:rsid w:val="00491B37"/>
    <w:rsid w:val="0049236E"/>
    <w:rsid w:val="00492AEF"/>
    <w:rsid w:val="0049305F"/>
    <w:rsid w:val="0049588C"/>
    <w:rsid w:val="00495CAC"/>
    <w:rsid w:val="00495CFA"/>
    <w:rsid w:val="004A062F"/>
    <w:rsid w:val="004A107A"/>
    <w:rsid w:val="004A1806"/>
    <w:rsid w:val="004A186E"/>
    <w:rsid w:val="004A296D"/>
    <w:rsid w:val="004A3290"/>
    <w:rsid w:val="004A351A"/>
    <w:rsid w:val="004A358C"/>
    <w:rsid w:val="004A3767"/>
    <w:rsid w:val="004A42F4"/>
    <w:rsid w:val="004A4393"/>
    <w:rsid w:val="004A45AB"/>
    <w:rsid w:val="004A45BE"/>
    <w:rsid w:val="004A5839"/>
    <w:rsid w:val="004A5AA8"/>
    <w:rsid w:val="004A617F"/>
    <w:rsid w:val="004A66AB"/>
    <w:rsid w:val="004A66D6"/>
    <w:rsid w:val="004A766D"/>
    <w:rsid w:val="004A7A0A"/>
    <w:rsid w:val="004B0453"/>
    <w:rsid w:val="004B0557"/>
    <w:rsid w:val="004B095A"/>
    <w:rsid w:val="004B0D51"/>
    <w:rsid w:val="004B1275"/>
    <w:rsid w:val="004B1351"/>
    <w:rsid w:val="004B18A8"/>
    <w:rsid w:val="004B2EB4"/>
    <w:rsid w:val="004B316E"/>
    <w:rsid w:val="004B41B7"/>
    <w:rsid w:val="004B4281"/>
    <w:rsid w:val="004B44BE"/>
    <w:rsid w:val="004B6D06"/>
    <w:rsid w:val="004C1405"/>
    <w:rsid w:val="004C1FBA"/>
    <w:rsid w:val="004C27EB"/>
    <w:rsid w:val="004C3212"/>
    <w:rsid w:val="004C321F"/>
    <w:rsid w:val="004C3D6E"/>
    <w:rsid w:val="004C3DFB"/>
    <w:rsid w:val="004C4667"/>
    <w:rsid w:val="004C5EBD"/>
    <w:rsid w:val="004C6299"/>
    <w:rsid w:val="004C6B32"/>
    <w:rsid w:val="004D0D95"/>
    <w:rsid w:val="004D1CC1"/>
    <w:rsid w:val="004D1CF3"/>
    <w:rsid w:val="004D214E"/>
    <w:rsid w:val="004D2250"/>
    <w:rsid w:val="004D2842"/>
    <w:rsid w:val="004D3AFA"/>
    <w:rsid w:val="004D3E72"/>
    <w:rsid w:val="004D47D8"/>
    <w:rsid w:val="004D4B93"/>
    <w:rsid w:val="004D55EE"/>
    <w:rsid w:val="004D798A"/>
    <w:rsid w:val="004D7B60"/>
    <w:rsid w:val="004E0FEB"/>
    <w:rsid w:val="004E19B4"/>
    <w:rsid w:val="004E25E8"/>
    <w:rsid w:val="004E2F95"/>
    <w:rsid w:val="004E2F9E"/>
    <w:rsid w:val="004E3214"/>
    <w:rsid w:val="004E4A50"/>
    <w:rsid w:val="004E50CA"/>
    <w:rsid w:val="004E5205"/>
    <w:rsid w:val="004E548E"/>
    <w:rsid w:val="004E7021"/>
    <w:rsid w:val="004F00C0"/>
    <w:rsid w:val="004F03DA"/>
    <w:rsid w:val="004F0683"/>
    <w:rsid w:val="004F0F88"/>
    <w:rsid w:val="004F2EAE"/>
    <w:rsid w:val="004F33F6"/>
    <w:rsid w:val="004F3499"/>
    <w:rsid w:val="004F4410"/>
    <w:rsid w:val="004F4A0E"/>
    <w:rsid w:val="004F4BAA"/>
    <w:rsid w:val="00500C33"/>
    <w:rsid w:val="00500CB4"/>
    <w:rsid w:val="00501260"/>
    <w:rsid w:val="0050132D"/>
    <w:rsid w:val="0050136E"/>
    <w:rsid w:val="0050182E"/>
    <w:rsid w:val="00501BC2"/>
    <w:rsid w:val="00501C84"/>
    <w:rsid w:val="0050273D"/>
    <w:rsid w:val="00502967"/>
    <w:rsid w:val="00503B02"/>
    <w:rsid w:val="005043C4"/>
    <w:rsid w:val="005050C1"/>
    <w:rsid w:val="0050557A"/>
    <w:rsid w:val="00505F71"/>
    <w:rsid w:val="00506763"/>
    <w:rsid w:val="00506911"/>
    <w:rsid w:val="0050701F"/>
    <w:rsid w:val="005070FC"/>
    <w:rsid w:val="0050718B"/>
    <w:rsid w:val="005100FA"/>
    <w:rsid w:val="00510E73"/>
    <w:rsid w:val="00510E93"/>
    <w:rsid w:val="00510EE6"/>
    <w:rsid w:val="00510FAC"/>
    <w:rsid w:val="0051110E"/>
    <w:rsid w:val="00512A93"/>
    <w:rsid w:val="0051365B"/>
    <w:rsid w:val="00514060"/>
    <w:rsid w:val="00514A12"/>
    <w:rsid w:val="00514D27"/>
    <w:rsid w:val="0051537F"/>
    <w:rsid w:val="00515E5D"/>
    <w:rsid w:val="00516188"/>
    <w:rsid w:val="00516362"/>
    <w:rsid w:val="00517D7F"/>
    <w:rsid w:val="00517DD6"/>
    <w:rsid w:val="00520D17"/>
    <w:rsid w:val="00521012"/>
    <w:rsid w:val="00521A96"/>
    <w:rsid w:val="00522F1E"/>
    <w:rsid w:val="00522F88"/>
    <w:rsid w:val="00523312"/>
    <w:rsid w:val="00523493"/>
    <w:rsid w:val="005237FC"/>
    <w:rsid w:val="00524500"/>
    <w:rsid w:val="00524516"/>
    <w:rsid w:val="00525C81"/>
    <w:rsid w:val="00526524"/>
    <w:rsid w:val="00526700"/>
    <w:rsid w:val="00526CA1"/>
    <w:rsid w:val="0052798F"/>
    <w:rsid w:val="0053016A"/>
    <w:rsid w:val="00530A4A"/>
    <w:rsid w:val="00530B86"/>
    <w:rsid w:val="00531723"/>
    <w:rsid w:val="00532AA1"/>
    <w:rsid w:val="00533013"/>
    <w:rsid w:val="005334E6"/>
    <w:rsid w:val="0053403F"/>
    <w:rsid w:val="0053439C"/>
    <w:rsid w:val="00534CF8"/>
    <w:rsid w:val="0053554C"/>
    <w:rsid w:val="005356C2"/>
    <w:rsid w:val="0053591F"/>
    <w:rsid w:val="00535ACD"/>
    <w:rsid w:val="0053684D"/>
    <w:rsid w:val="00537DA1"/>
    <w:rsid w:val="0054032E"/>
    <w:rsid w:val="00540F58"/>
    <w:rsid w:val="005419A3"/>
    <w:rsid w:val="005419EA"/>
    <w:rsid w:val="005425BA"/>
    <w:rsid w:val="00542912"/>
    <w:rsid w:val="005429E4"/>
    <w:rsid w:val="00542C76"/>
    <w:rsid w:val="00542C80"/>
    <w:rsid w:val="00545051"/>
    <w:rsid w:val="0054558C"/>
    <w:rsid w:val="005458B2"/>
    <w:rsid w:val="00545999"/>
    <w:rsid w:val="00545ABB"/>
    <w:rsid w:val="00545CB7"/>
    <w:rsid w:val="005503C3"/>
    <w:rsid w:val="005503CD"/>
    <w:rsid w:val="005507E8"/>
    <w:rsid w:val="0055313F"/>
    <w:rsid w:val="0055352C"/>
    <w:rsid w:val="005551FA"/>
    <w:rsid w:val="005564B8"/>
    <w:rsid w:val="00556FF9"/>
    <w:rsid w:val="0055701C"/>
    <w:rsid w:val="00557189"/>
    <w:rsid w:val="00557307"/>
    <w:rsid w:val="00557348"/>
    <w:rsid w:val="00557404"/>
    <w:rsid w:val="005576DD"/>
    <w:rsid w:val="0056013E"/>
    <w:rsid w:val="00560199"/>
    <w:rsid w:val="00560DFE"/>
    <w:rsid w:val="0056122F"/>
    <w:rsid w:val="0056466E"/>
    <w:rsid w:val="00564B73"/>
    <w:rsid w:val="00564BCA"/>
    <w:rsid w:val="00564F7A"/>
    <w:rsid w:val="00565B92"/>
    <w:rsid w:val="005669DB"/>
    <w:rsid w:val="00567474"/>
    <w:rsid w:val="005703CA"/>
    <w:rsid w:val="005704C3"/>
    <w:rsid w:val="00570603"/>
    <w:rsid w:val="00570BD8"/>
    <w:rsid w:val="005713C9"/>
    <w:rsid w:val="00571882"/>
    <w:rsid w:val="00571D05"/>
    <w:rsid w:val="00571FD6"/>
    <w:rsid w:val="005740EC"/>
    <w:rsid w:val="0057541A"/>
    <w:rsid w:val="005754FD"/>
    <w:rsid w:val="0057568B"/>
    <w:rsid w:val="005762B2"/>
    <w:rsid w:val="00576E50"/>
    <w:rsid w:val="00577CFF"/>
    <w:rsid w:val="0058145C"/>
    <w:rsid w:val="0058178A"/>
    <w:rsid w:val="00582239"/>
    <w:rsid w:val="00583A6E"/>
    <w:rsid w:val="00583EE2"/>
    <w:rsid w:val="00584AF2"/>
    <w:rsid w:val="00585648"/>
    <w:rsid w:val="005860F5"/>
    <w:rsid w:val="0058631A"/>
    <w:rsid w:val="00586820"/>
    <w:rsid w:val="005874E3"/>
    <w:rsid w:val="00587F14"/>
    <w:rsid w:val="00590027"/>
    <w:rsid w:val="0059008F"/>
    <w:rsid w:val="005904A3"/>
    <w:rsid w:val="0059110E"/>
    <w:rsid w:val="005914D8"/>
    <w:rsid w:val="00591A75"/>
    <w:rsid w:val="005920E5"/>
    <w:rsid w:val="0059343E"/>
    <w:rsid w:val="005945D2"/>
    <w:rsid w:val="005954C6"/>
    <w:rsid w:val="00595692"/>
    <w:rsid w:val="00596DAB"/>
    <w:rsid w:val="00597BA9"/>
    <w:rsid w:val="00597DA8"/>
    <w:rsid w:val="005A0D91"/>
    <w:rsid w:val="005A1304"/>
    <w:rsid w:val="005A16DD"/>
    <w:rsid w:val="005A283B"/>
    <w:rsid w:val="005A2FF5"/>
    <w:rsid w:val="005A3107"/>
    <w:rsid w:val="005A3977"/>
    <w:rsid w:val="005A4085"/>
    <w:rsid w:val="005A5223"/>
    <w:rsid w:val="005A5B30"/>
    <w:rsid w:val="005A66C0"/>
    <w:rsid w:val="005A68D3"/>
    <w:rsid w:val="005A6E6D"/>
    <w:rsid w:val="005A7336"/>
    <w:rsid w:val="005A7D7B"/>
    <w:rsid w:val="005B1958"/>
    <w:rsid w:val="005B263C"/>
    <w:rsid w:val="005B2E62"/>
    <w:rsid w:val="005B3397"/>
    <w:rsid w:val="005B3D77"/>
    <w:rsid w:val="005B47F2"/>
    <w:rsid w:val="005B55B6"/>
    <w:rsid w:val="005B5C1E"/>
    <w:rsid w:val="005B5DFA"/>
    <w:rsid w:val="005B5F0E"/>
    <w:rsid w:val="005B5F23"/>
    <w:rsid w:val="005B6293"/>
    <w:rsid w:val="005B6AEC"/>
    <w:rsid w:val="005B6F26"/>
    <w:rsid w:val="005B7445"/>
    <w:rsid w:val="005B77AE"/>
    <w:rsid w:val="005C0F27"/>
    <w:rsid w:val="005C2525"/>
    <w:rsid w:val="005C307A"/>
    <w:rsid w:val="005C3846"/>
    <w:rsid w:val="005C3933"/>
    <w:rsid w:val="005C399E"/>
    <w:rsid w:val="005C3C64"/>
    <w:rsid w:val="005C3F28"/>
    <w:rsid w:val="005C3FB8"/>
    <w:rsid w:val="005C4075"/>
    <w:rsid w:val="005C7878"/>
    <w:rsid w:val="005C7CC7"/>
    <w:rsid w:val="005C7CD8"/>
    <w:rsid w:val="005D1BC7"/>
    <w:rsid w:val="005D1CCF"/>
    <w:rsid w:val="005D1DFD"/>
    <w:rsid w:val="005D1EAB"/>
    <w:rsid w:val="005D2C82"/>
    <w:rsid w:val="005D2CAC"/>
    <w:rsid w:val="005D337A"/>
    <w:rsid w:val="005D3A1A"/>
    <w:rsid w:val="005D4A06"/>
    <w:rsid w:val="005D61A9"/>
    <w:rsid w:val="005D61E7"/>
    <w:rsid w:val="005D6348"/>
    <w:rsid w:val="005D6E9A"/>
    <w:rsid w:val="005D716D"/>
    <w:rsid w:val="005D7194"/>
    <w:rsid w:val="005D73A8"/>
    <w:rsid w:val="005D7754"/>
    <w:rsid w:val="005E0F89"/>
    <w:rsid w:val="005E13F3"/>
    <w:rsid w:val="005E204A"/>
    <w:rsid w:val="005E271E"/>
    <w:rsid w:val="005E2E4D"/>
    <w:rsid w:val="005E37DD"/>
    <w:rsid w:val="005E4811"/>
    <w:rsid w:val="005E48F3"/>
    <w:rsid w:val="005E557E"/>
    <w:rsid w:val="005E5818"/>
    <w:rsid w:val="005E6369"/>
    <w:rsid w:val="005E78D5"/>
    <w:rsid w:val="005E7953"/>
    <w:rsid w:val="005F01BB"/>
    <w:rsid w:val="005F10CC"/>
    <w:rsid w:val="005F12D7"/>
    <w:rsid w:val="005F14A5"/>
    <w:rsid w:val="005F2692"/>
    <w:rsid w:val="005F29CB"/>
    <w:rsid w:val="005F2A07"/>
    <w:rsid w:val="005F37E8"/>
    <w:rsid w:val="005F3ACA"/>
    <w:rsid w:val="005F45B8"/>
    <w:rsid w:val="005F5876"/>
    <w:rsid w:val="005F6F89"/>
    <w:rsid w:val="005F7C35"/>
    <w:rsid w:val="005F7C8F"/>
    <w:rsid w:val="005F7ECD"/>
    <w:rsid w:val="00600B54"/>
    <w:rsid w:val="0060135E"/>
    <w:rsid w:val="006015E8"/>
    <w:rsid w:val="0060212F"/>
    <w:rsid w:val="00602EF8"/>
    <w:rsid w:val="0060335B"/>
    <w:rsid w:val="00603AC3"/>
    <w:rsid w:val="00603B86"/>
    <w:rsid w:val="00603BB0"/>
    <w:rsid w:val="00604330"/>
    <w:rsid w:val="006058C9"/>
    <w:rsid w:val="00605BA1"/>
    <w:rsid w:val="006070BC"/>
    <w:rsid w:val="00610B70"/>
    <w:rsid w:val="00611450"/>
    <w:rsid w:val="00611DA2"/>
    <w:rsid w:val="0061224C"/>
    <w:rsid w:val="00613491"/>
    <w:rsid w:val="00613F32"/>
    <w:rsid w:val="00615EA0"/>
    <w:rsid w:val="0061633C"/>
    <w:rsid w:val="006171E7"/>
    <w:rsid w:val="0061785B"/>
    <w:rsid w:val="00620E51"/>
    <w:rsid w:val="006210C3"/>
    <w:rsid w:val="00621E4E"/>
    <w:rsid w:val="00622E77"/>
    <w:rsid w:val="0062335F"/>
    <w:rsid w:val="00624435"/>
    <w:rsid w:val="00624FF2"/>
    <w:rsid w:val="00625C1E"/>
    <w:rsid w:val="00626431"/>
    <w:rsid w:val="006266C0"/>
    <w:rsid w:val="006275F8"/>
    <w:rsid w:val="00627891"/>
    <w:rsid w:val="006278AD"/>
    <w:rsid w:val="00627EAE"/>
    <w:rsid w:val="00627FE6"/>
    <w:rsid w:val="006302E2"/>
    <w:rsid w:val="006306DD"/>
    <w:rsid w:val="006315C2"/>
    <w:rsid w:val="00631C0E"/>
    <w:rsid w:val="00631FDF"/>
    <w:rsid w:val="006322FF"/>
    <w:rsid w:val="00633885"/>
    <w:rsid w:val="00634A6B"/>
    <w:rsid w:val="006356D2"/>
    <w:rsid w:val="006358F0"/>
    <w:rsid w:val="00637333"/>
    <w:rsid w:val="00637D54"/>
    <w:rsid w:val="00637F1B"/>
    <w:rsid w:val="00640C48"/>
    <w:rsid w:val="006415BA"/>
    <w:rsid w:val="006419C5"/>
    <w:rsid w:val="00643883"/>
    <w:rsid w:val="00643AA7"/>
    <w:rsid w:val="00643AC9"/>
    <w:rsid w:val="00644BD2"/>
    <w:rsid w:val="006457EC"/>
    <w:rsid w:val="00645CC4"/>
    <w:rsid w:val="00645F71"/>
    <w:rsid w:val="00647880"/>
    <w:rsid w:val="006505A6"/>
    <w:rsid w:val="00650C7B"/>
    <w:rsid w:val="00651034"/>
    <w:rsid w:val="006512B9"/>
    <w:rsid w:val="006521CF"/>
    <w:rsid w:val="00652B06"/>
    <w:rsid w:val="00652EA4"/>
    <w:rsid w:val="006535BF"/>
    <w:rsid w:val="00653D82"/>
    <w:rsid w:val="006540D1"/>
    <w:rsid w:val="00654369"/>
    <w:rsid w:val="006545E9"/>
    <w:rsid w:val="006547D8"/>
    <w:rsid w:val="00655B7D"/>
    <w:rsid w:val="00656291"/>
    <w:rsid w:val="006563B8"/>
    <w:rsid w:val="00660245"/>
    <w:rsid w:val="0066044A"/>
    <w:rsid w:val="00660B4F"/>
    <w:rsid w:val="00660D3F"/>
    <w:rsid w:val="006611CF"/>
    <w:rsid w:val="006611E1"/>
    <w:rsid w:val="0066147D"/>
    <w:rsid w:val="006621E4"/>
    <w:rsid w:val="0066228C"/>
    <w:rsid w:val="006633E6"/>
    <w:rsid w:val="00663923"/>
    <w:rsid w:val="00663CA0"/>
    <w:rsid w:val="00664C92"/>
    <w:rsid w:val="00665D02"/>
    <w:rsid w:val="00665D27"/>
    <w:rsid w:val="00666B9C"/>
    <w:rsid w:val="006677CF"/>
    <w:rsid w:val="00667C9F"/>
    <w:rsid w:val="006715EC"/>
    <w:rsid w:val="00671817"/>
    <w:rsid w:val="006718D9"/>
    <w:rsid w:val="006719BF"/>
    <w:rsid w:val="00672290"/>
    <w:rsid w:val="00672302"/>
    <w:rsid w:val="006726FC"/>
    <w:rsid w:val="006727E0"/>
    <w:rsid w:val="00673801"/>
    <w:rsid w:val="00674454"/>
    <w:rsid w:val="00674FEB"/>
    <w:rsid w:val="00675887"/>
    <w:rsid w:val="00675A39"/>
    <w:rsid w:val="00675BA8"/>
    <w:rsid w:val="006761DB"/>
    <w:rsid w:val="006762B1"/>
    <w:rsid w:val="00676A3C"/>
    <w:rsid w:val="00677522"/>
    <w:rsid w:val="006778B1"/>
    <w:rsid w:val="00680CFF"/>
    <w:rsid w:val="006811F7"/>
    <w:rsid w:val="006822EE"/>
    <w:rsid w:val="00682822"/>
    <w:rsid w:val="0068287D"/>
    <w:rsid w:val="0068476A"/>
    <w:rsid w:val="006862B7"/>
    <w:rsid w:val="0068688F"/>
    <w:rsid w:val="006869BB"/>
    <w:rsid w:val="006870B3"/>
    <w:rsid w:val="0068713E"/>
    <w:rsid w:val="00687550"/>
    <w:rsid w:val="00687983"/>
    <w:rsid w:val="006904EC"/>
    <w:rsid w:val="00691999"/>
    <w:rsid w:val="00691D6E"/>
    <w:rsid w:val="00692AB4"/>
    <w:rsid w:val="00694E47"/>
    <w:rsid w:val="0069562A"/>
    <w:rsid w:val="00695731"/>
    <w:rsid w:val="00695FEE"/>
    <w:rsid w:val="0069605C"/>
    <w:rsid w:val="006961AA"/>
    <w:rsid w:val="0069681D"/>
    <w:rsid w:val="00697089"/>
    <w:rsid w:val="00697890"/>
    <w:rsid w:val="00697912"/>
    <w:rsid w:val="006A076D"/>
    <w:rsid w:val="006A1803"/>
    <w:rsid w:val="006A2566"/>
    <w:rsid w:val="006A4699"/>
    <w:rsid w:val="006A4A99"/>
    <w:rsid w:val="006A4BD6"/>
    <w:rsid w:val="006A5002"/>
    <w:rsid w:val="006A5266"/>
    <w:rsid w:val="006A5A23"/>
    <w:rsid w:val="006A665E"/>
    <w:rsid w:val="006A787B"/>
    <w:rsid w:val="006A7D6F"/>
    <w:rsid w:val="006A7E39"/>
    <w:rsid w:val="006B0533"/>
    <w:rsid w:val="006B0540"/>
    <w:rsid w:val="006B1067"/>
    <w:rsid w:val="006B1DA8"/>
    <w:rsid w:val="006B1E94"/>
    <w:rsid w:val="006B2E8B"/>
    <w:rsid w:val="006B2F78"/>
    <w:rsid w:val="006B3173"/>
    <w:rsid w:val="006B4C0E"/>
    <w:rsid w:val="006B5468"/>
    <w:rsid w:val="006B5F45"/>
    <w:rsid w:val="006B60C8"/>
    <w:rsid w:val="006B6977"/>
    <w:rsid w:val="006B777E"/>
    <w:rsid w:val="006B7F20"/>
    <w:rsid w:val="006C0386"/>
    <w:rsid w:val="006C058B"/>
    <w:rsid w:val="006C0EB7"/>
    <w:rsid w:val="006C0F28"/>
    <w:rsid w:val="006C156B"/>
    <w:rsid w:val="006C16B7"/>
    <w:rsid w:val="006C1747"/>
    <w:rsid w:val="006C2536"/>
    <w:rsid w:val="006C361D"/>
    <w:rsid w:val="006C3EB3"/>
    <w:rsid w:val="006C5047"/>
    <w:rsid w:val="006C567A"/>
    <w:rsid w:val="006C5A55"/>
    <w:rsid w:val="006C5B2C"/>
    <w:rsid w:val="006C5D9B"/>
    <w:rsid w:val="006C619A"/>
    <w:rsid w:val="006C6323"/>
    <w:rsid w:val="006D0351"/>
    <w:rsid w:val="006D102D"/>
    <w:rsid w:val="006D12A8"/>
    <w:rsid w:val="006D1D58"/>
    <w:rsid w:val="006D1D94"/>
    <w:rsid w:val="006D2605"/>
    <w:rsid w:val="006D2868"/>
    <w:rsid w:val="006D3EBE"/>
    <w:rsid w:val="006D4B8D"/>
    <w:rsid w:val="006D4E85"/>
    <w:rsid w:val="006D57B6"/>
    <w:rsid w:val="006D5C24"/>
    <w:rsid w:val="006D5E46"/>
    <w:rsid w:val="006D72E0"/>
    <w:rsid w:val="006D7901"/>
    <w:rsid w:val="006D7F38"/>
    <w:rsid w:val="006E0584"/>
    <w:rsid w:val="006E1E75"/>
    <w:rsid w:val="006E2591"/>
    <w:rsid w:val="006E36C7"/>
    <w:rsid w:val="006E4481"/>
    <w:rsid w:val="006E4540"/>
    <w:rsid w:val="006E476F"/>
    <w:rsid w:val="006E5DAF"/>
    <w:rsid w:val="006F1915"/>
    <w:rsid w:val="006F1DA8"/>
    <w:rsid w:val="006F21A3"/>
    <w:rsid w:val="006F279A"/>
    <w:rsid w:val="006F375C"/>
    <w:rsid w:val="006F3A63"/>
    <w:rsid w:val="006F3CDA"/>
    <w:rsid w:val="006F4387"/>
    <w:rsid w:val="006F4E1B"/>
    <w:rsid w:val="006F5097"/>
    <w:rsid w:val="006F5B61"/>
    <w:rsid w:val="006F648B"/>
    <w:rsid w:val="006F70D1"/>
    <w:rsid w:val="006F7AE6"/>
    <w:rsid w:val="00700C57"/>
    <w:rsid w:val="00701A65"/>
    <w:rsid w:val="00701A80"/>
    <w:rsid w:val="0070272A"/>
    <w:rsid w:val="00702F35"/>
    <w:rsid w:val="00702FE0"/>
    <w:rsid w:val="00703CEC"/>
    <w:rsid w:val="007040FE"/>
    <w:rsid w:val="007043A0"/>
    <w:rsid w:val="007052B2"/>
    <w:rsid w:val="00705A53"/>
    <w:rsid w:val="00705B16"/>
    <w:rsid w:val="00706649"/>
    <w:rsid w:val="007067C0"/>
    <w:rsid w:val="00706AF6"/>
    <w:rsid w:val="00707BCB"/>
    <w:rsid w:val="007101F9"/>
    <w:rsid w:val="00710243"/>
    <w:rsid w:val="00710905"/>
    <w:rsid w:val="00710921"/>
    <w:rsid w:val="00711553"/>
    <w:rsid w:val="007118B3"/>
    <w:rsid w:val="00711E4F"/>
    <w:rsid w:val="00712173"/>
    <w:rsid w:val="00712455"/>
    <w:rsid w:val="007126C7"/>
    <w:rsid w:val="007137AC"/>
    <w:rsid w:val="00713D71"/>
    <w:rsid w:val="00714780"/>
    <w:rsid w:val="00715C2F"/>
    <w:rsid w:val="0071609F"/>
    <w:rsid w:val="00716254"/>
    <w:rsid w:val="00716829"/>
    <w:rsid w:val="00716C0E"/>
    <w:rsid w:val="0071704A"/>
    <w:rsid w:val="00717A79"/>
    <w:rsid w:val="00717EE5"/>
    <w:rsid w:val="00720855"/>
    <w:rsid w:val="00720C10"/>
    <w:rsid w:val="00720E35"/>
    <w:rsid w:val="00720E5E"/>
    <w:rsid w:val="007217B5"/>
    <w:rsid w:val="0072198B"/>
    <w:rsid w:val="00722C4E"/>
    <w:rsid w:val="00723BD9"/>
    <w:rsid w:val="007242C5"/>
    <w:rsid w:val="0072496A"/>
    <w:rsid w:val="00726324"/>
    <w:rsid w:val="00726D32"/>
    <w:rsid w:val="00726DB5"/>
    <w:rsid w:val="007270DE"/>
    <w:rsid w:val="00727232"/>
    <w:rsid w:val="007275A3"/>
    <w:rsid w:val="00730BCD"/>
    <w:rsid w:val="00730E78"/>
    <w:rsid w:val="0073105A"/>
    <w:rsid w:val="00731144"/>
    <w:rsid w:val="00731289"/>
    <w:rsid w:val="007317B1"/>
    <w:rsid w:val="0073284B"/>
    <w:rsid w:val="00733030"/>
    <w:rsid w:val="007344C8"/>
    <w:rsid w:val="0073565A"/>
    <w:rsid w:val="0073710E"/>
    <w:rsid w:val="00737297"/>
    <w:rsid w:val="007402A0"/>
    <w:rsid w:val="007404B7"/>
    <w:rsid w:val="00740DAD"/>
    <w:rsid w:val="00743CC9"/>
    <w:rsid w:val="00744857"/>
    <w:rsid w:val="0074533A"/>
    <w:rsid w:val="00745FC1"/>
    <w:rsid w:val="0074658C"/>
    <w:rsid w:val="007465F0"/>
    <w:rsid w:val="00746EF9"/>
    <w:rsid w:val="00747371"/>
    <w:rsid w:val="00747534"/>
    <w:rsid w:val="0075085E"/>
    <w:rsid w:val="00750B5D"/>
    <w:rsid w:val="00750D38"/>
    <w:rsid w:val="00751C3D"/>
    <w:rsid w:val="007537B8"/>
    <w:rsid w:val="00754C46"/>
    <w:rsid w:val="00756C53"/>
    <w:rsid w:val="0075759A"/>
    <w:rsid w:val="00757DFB"/>
    <w:rsid w:val="00757FF2"/>
    <w:rsid w:val="0076029D"/>
    <w:rsid w:val="00760622"/>
    <w:rsid w:val="00760957"/>
    <w:rsid w:val="0076191A"/>
    <w:rsid w:val="00762C3A"/>
    <w:rsid w:val="00762EB7"/>
    <w:rsid w:val="00763032"/>
    <w:rsid w:val="00763628"/>
    <w:rsid w:val="007656C0"/>
    <w:rsid w:val="00765F9E"/>
    <w:rsid w:val="007664CC"/>
    <w:rsid w:val="0077021F"/>
    <w:rsid w:val="00771079"/>
    <w:rsid w:val="00772108"/>
    <w:rsid w:val="007726A2"/>
    <w:rsid w:val="00772B58"/>
    <w:rsid w:val="00773303"/>
    <w:rsid w:val="00774CC6"/>
    <w:rsid w:val="00774CD8"/>
    <w:rsid w:val="00774EBC"/>
    <w:rsid w:val="00774ECC"/>
    <w:rsid w:val="0077500A"/>
    <w:rsid w:val="00776750"/>
    <w:rsid w:val="007768D6"/>
    <w:rsid w:val="00780090"/>
    <w:rsid w:val="00782187"/>
    <w:rsid w:val="0078333F"/>
    <w:rsid w:val="007835E7"/>
    <w:rsid w:val="00784276"/>
    <w:rsid w:val="007848F1"/>
    <w:rsid w:val="00784A82"/>
    <w:rsid w:val="00786100"/>
    <w:rsid w:val="0078675F"/>
    <w:rsid w:val="00790535"/>
    <w:rsid w:val="00790783"/>
    <w:rsid w:val="00791523"/>
    <w:rsid w:val="007943EC"/>
    <w:rsid w:val="007946CC"/>
    <w:rsid w:val="00794A6E"/>
    <w:rsid w:val="00794F2D"/>
    <w:rsid w:val="00795265"/>
    <w:rsid w:val="007953AD"/>
    <w:rsid w:val="00795476"/>
    <w:rsid w:val="007954E5"/>
    <w:rsid w:val="00796F50"/>
    <w:rsid w:val="00797622"/>
    <w:rsid w:val="00797ADC"/>
    <w:rsid w:val="00797F2D"/>
    <w:rsid w:val="007A0132"/>
    <w:rsid w:val="007A0CD6"/>
    <w:rsid w:val="007A11EA"/>
    <w:rsid w:val="007A255C"/>
    <w:rsid w:val="007A290A"/>
    <w:rsid w:val="007A3482"/>
    <w:rsid w:val="007A409A"/>
    <w:rsid w:val="007B192D"/>
    <w:rsid w:val="007B2627"/>
    <w:rsid w:val="007B36A3"/>
    <w:rsid w:val="007B487E"/>
    <w:rsid w:val="007B70AF"/>
    <w:rsid w:val="007B7D6A"/>
    <w:rsid w:val="007C04E4"/>
    <w:rsid w:val="007C1BBB"/>
    <w:rsid w:val="007C25A9"/>
    <w:rsid w:val="007C2755"/>
    <w:rsid w:val="007C2D1A"/>
    <w:rsid w:val="007C3971"/>
    <w:rsid w:val="007C5198"/>
    <w:rsid w:val="007C5C83"/>
    <w:rsid w:val="007C6A72"/>
    <w:rsid w:val="007C6F44"/>
    <w:rsid w:val="007C72B3"/>
    <w:rsid w:val="007D25A7"/>
    <w:rsid w:val="007D2DD2"/>
    <w:rsid w:val="007D2E42"/>
    <w:rsid w:val="007D34FF"/>
    <w:rsid w:val="007D4726"/>
    <w:rsid w:val="007D5144"/>
    <w:rsid w:val="007D59D0"/>
    <w:rsid w:val="007D6016"/>
    <w:rsid w:val="007D735A"/>
    <w:rsid w:val="007D7BE2"/>
    <w:rsid w:val="007D7DF2"/>
    <w:rsid w:val="007D7EAA"/>
    <w:rsid w:val="007E1A16"/>
    <w:rsid w:val="007E1B85"/>
    <w:rsid w:val="007E282B"/>
    <w:rsid w:val="007E2AEC"/>
    <w:rsid w:val="007E2C9D"/>
    <w:rsid w:val="007E4C5C"/>
    <w:rsid w:val="007E5B6E"/>
    <w:rsid w:val="007E5C6D"/>
    <w:rsid w:val="007E6124"/>
    <w:rsid w:val="007E646D"/>
    <w:rsid w:val="007E6F1D"/>
    <w:rsid w:val="007E7448"/>
    <w:rsid w:val="007E79E3"/>
    <w:rsid w:val="007F0147"/>
    <w:rsid w:val="007F0600"/>
    <w:rsid w:val="007F08F7"/>
    <w:rsid w:val="007F18E2"/>
    <w:rsid w:val="007F20C6"/>
    <w:rsid w:val="007F27D9"/>
    <w:rsid w:val="007F2EE3"/>
    <w:rsid w:val="007F37A6"/>
    <w:rsid w:val="007F3F86"/>
    <w:rsid w:val="007F43A7"/>
    <w:rsid w:val="007F4DAA"/>
    <w:rsid w:val="007F7910"/>
    <w:rsid w:val="007F7E49"/>
    <w:rsid w:val="007F7EF6"/>
    <w:rsid w:val="007F7F35"/>
    <w:rsid w:val="008012F3"/>
    <w:rsid w:val="00801672"/>
    <w:rsid w:val="008017CD"/>
    <w:rsid w:val="00802BC0"/>
    <w:rsid w:val="008038E9"/>
    <w:rsid w:val="008041DE"/>
    <w:rsid w:val="0080494B"/>
    <w:rsid w:val="00804D2B"/>
    <w:rsid w:val="00805334"/>
    <w:rsid w:val="008069B5"/>
    <w:rsid w:val="00806ECC"/>
    <w:rsid w:val="00807A22"/>
    <w:rsid w:val="00810582"/>
    <w:rsid w:val="008111AF"/>
    <w:rsid w:val="008111BE"/>
    <w:rsid w:val="008111DD"/>
    <w:rsid w:val="008127C9"/>
    <w:rsid w:val="00812E72"/>
    <w:rsid w:val="00812EC4"/>
    <w:rsid w:val="00813161"/>
    <w:rsid w:val="00813C8F"/>
    <w:rsid w:val="008143BA"/>
    <w:rsid w:val="008150B9"/>
    <w:rsid w:val="00815CA9"/>
    <w:rsid w:val="00816427"/>
    <w:rsid w:val="0082056C"/>
    <w:rsid w:val="0082094C"/>
    <w:rsid w:val="00820ADD"/>
    <w:rsid w:val="00821C86"/>
    <w:rsid w:val="00822219"/>
    <w:rsid w:val="00822F81"/>
    <w:rsid w:val="00823713"/>
    <w:rsid w:val="00823E75"/>
    <w:rsid w:val="00824230"/>
    <w:rsid w:val="00825F19"/>
    <w:rsid w:val="0082637C"/>
    <w:rsid w:val="00826D4B"/>
    <w:rsid w:val="008273EC"/>
    <w:rsid w:val="00830B0E"/>
    <w:rsid w:val="00830E28"/>
    <w:rsid w:val="00831BE2"/>
    <w:rsid w:val="00831D70"/>
    <w:rsid w:val="008336C2"/>
    <w:rsid w:val="00833A11"/>
    <w:rsid w:val="00834767"/>
    <w:rsid w:val="0083575A"/>
    <w:rsid w:val="00836932"/>
    <w:rsid w:val="00836A28"/>
    <w:rsid w:val="00836F7C"/>
    <w:rsid w:val="0083724E"/>
    <w:rsid w:val="0083797D"/>
    <w:rsid w:val="00840572"/>
    <w:rsid w:val="00840A2A"/>
    <w:rsid w:val="00840FFE"/>
    <w:rsid w:val="0084191A"/>
    <w:rsid w:val="008425E4"/>
    <w:rsid w:val="00843B69"/>
    <w:rsid w:val="0084434A"/>
    <w:rsid w:val="00845AC6"/>
    <w:rsid w:val="008463ED"/>
    <w:rsid w:val="008471E6"/>
    <w:rsid w:val="0084739E"/>
    <w:rsid w:val="008477DC"/>
    <w:rsid w:val="00847C62"/>
    <w:rsid w:val="00847FE4"/>
    <w:rsid w:val="008504CF"/>
    <w:rsid w:val="00850BE7"/>
    <w:rsid w:val="00850F65"/>
    <w:rsid w:val="00853086"/>
    <w:rsid w:val="008530BD"/>
    <w:rsid w:val="00853F4B"/>
    <w:rsid w:val="00855D39"/>
    <w:rsid w:val="00855F16"/>
    <w:rsid w:val="00856C2D"/>
    <w:rsid w:val="00856CFA"/>
    <w:rsid w:val="00856DC1"/>
    <w:rsid w:val="00857DB1"/>
    <w:rsid w:val="00857E98"/>
    <w:rsid w:val="0086087F"/>
    <w:rsid w:val="00860B8B"/>
    <w:rsid w:val="00860BEF"/>
    <w:rsid w:val="0086162D"/>
    <w:rsid w:val="00861B46"/>
    <w:rsid w:val="008623D5"/>
    <w:rsid w:val="00862662"/>
    <w:rsid w:val="008627C3"/>
    <w:rsid w:val="00862CFF"/>
    <w:rsid w:val="00863CF1"/>
    <w:rsid w:val="00864102"/>
    <w:rsid w:val="008643A5"/>
    <w:rsid w:val="008655F1"/>
    <w:rsid w:val="00866C91"/>
    <w:rsid w:val="00866CAA"/>
    <w:rsid w:val="00866F4D"/>
    <w:rsid w:val="00867003"/>
    <w:rsid w:val="00867426"/>
    <w:rsid w:val="00870A99"/>
    <w:rsid w:val="00871494"/>
    <w:rsid w:val="008722F3"/>
    <w:rsid w:val="00872D26"/>
    <w:rsid w:val="00873353"/>
    <w:rsid w:val="0087473F"/>
    <w:rsid w:val="008757D0"/>
    <w:rsid w:val="0087607C"/>
    <w:rsid w:val="00877046"/>
    <w:rsid w:val="008800F8"/>
    <w:rsid w:val="00880413"/>
    <w:rsid w:val="00881077"/>
    <w:rsid w:val="008813FD"/>
    <w:rsid w:val="00882961"/>
    <w:rsid w:val="00882C8C"/>
    <w:rsid w:val="00883985"/>
    <w:rsid w:val="00884269"/>
    <w:rsid w:val="00884277"/>
    <w:rsid w:val="0088431D"/>
    <w:rsid w:val="008846CE"/>
    <w:rsid w:val="00884BEF"/>
    <w:rsid w:val="008856AA"/>
    <w:rsid w:val="008862C0"/>
    <w:rsid w:val="00890A7A"/>
    <w:rsid w:val="00891067"/>
    <w:rsid w:val="00891070"/>
    <w:rsid w:val="00891321"/>
    <w:rsid w:val="00891580"/>
    <w:rsid w:val="00891645"/>
    <w:rsid w:val="008920D1"/>
    <w:rsid w:val="008927E6"/>
    <w:rsid w:val="00893EB9"/>
    <w:rsid w:val="00893F06"/>
    <w:rsid w:val="00894081"/>
    <w:rsid w:val="008940CD"/>
    <w:rsid w:val="008946C4"/>
    <w:rsid w:val="00894C3A"/>
    <w:rsid w:val="00895172"/>
    <w:rsid w:val="008952B6"/>
    <w:rsid w:val="00895D5E"/>
    <w:rsid w:val="00895F2F"/>
    <w:rsid w:val="0089630F"/>
    <w:rsid w:val="00896365"/>
    <w:rsid w:val="00896AC9"/>
    <w:rsid w:val="008970AC"/>
    <w:rsid w:val="00897CD2"/>
    <w:rsid w:val="00897F71"/>
    <w:rsid w:val="00897FE1"/>
    <w:rsid w:val="008A0233"/>
    <w:rsid w:val="008A0886"/>
    <w:rsid w:val="008A0BE0"/>
    <w:rsid w:val="008A0E06"/>
    <w:rsid w:val="008A1804"/>
    <w:rsid w:val="008A58F7"/>
    <w:rsid w:val="008A5C22"/>
    <w:rsid w:val="008A69D1"/>
    <w:rsid w:val="008B04F4"/>
    <w:rsid w:val="008B0B68"/>
    <w:rsid w:val="008B13A7"/>
    <w:rsid w:val="008B30D7"/>
    <w:rsid w:val="008B3CF2"/>
    <w:rsid w:val="008B5818"/>
    <w:rsid w:val="008B6F40"/>
    <w:rsid w:val="008B7162"/>
    <w:rsid w:val="008B7C44"/>
    <w:rsid w:val="008C04BD"/>
    <w:rsid w:val="008C06F2"/>
    <w:rsid w:val="008C071A"/>
    <w:rsid w:val="008C1B63"/>
    <w:rsid w:val="008C3082"/>
    <w:rsid w:val="008C3FED"/>
    <w:rsid w:val="008C527B"/>
    <w:rsid w:val="008C5AD3"/>
    <w:rsid w:val="008C5E3B"/>
    <w:rsid w:val="008C60E5"/>
    <w:rsid w:val="008C6684"/>
    <w:rsid w:val="008C7194"/>
    <w:rsid w:val="008C74F5"/>
    <w:rsid w:val="008C789F"/>
    <w:rsid w:val="008C7D16"/>
    <w:rsid w:val="008D16E0"/>
    <w:rsid w:val="008D2200"/>
    <w:rsid w:val="008D2440"/>
    <w:rsid w:val="008D2E2A"/>
    <w:rsid w:val="008D341A"/>
    <w:rsid w:val="008D3E42"/>
    <w:rsid w:val="008D5077"/>
    <w:rsid w:val="008D53EC"/>
    <w:rsid w:val="008D53F2"/>
    <w:rsid w:val="008D56E7"/>
    <w:rsid w:val="008D68D6"/>
    <w:rsid w:val="008D7024"/>
    <w:rsid w:val="008D7C62"/>
    <w:rsid w:val="008E013E"/>
    <w:rsid w:val="008E0A09"/>
    <w:rsid w:val="008E0D58"/>
    <w:rsid w:val="008E166F"/>
    <w:rsid w:val="008E1787"/>
    <w:rsid w:val="008E22C0"/>
    <w:rsid w:val="008E29E6"/>
    <w:rsid w:val="008E3006"/>
    <w:rsid w:val="008E3485"/>
    <w:rsid w:val="008E3FEC"/>
    <w:rsid w:val="008E5399"/>
    <w:rsid w:val="008E5E9C"/>
    <w:rsid w:val="008E6B9B"/>
    <w:rsid w:val="008E6CBE"/>
    <w:rsid w:val="008E73D0"/>
    <w:rsid w:val="008E7666"/>
    <w:rsid w:val="008E7B73"/>
    <w:rsid w:val="008F030C"/>
    <w:rsid w:val="008F0BA8"/>
    <w:rsid w:val="008F1AF9"/>
    <w:rsid w:val="008F2395"/>
    <w:rsid w:val="008F3EE7"/>
    <w:rsid w:val="008F4372"/>
    <w:rsid w:val="008F43F3"/>
    <w:rsid w:val="008F46BD"/>
    <w:rsid w:val="008F537D"/>
    <w:rsid w:val="008F6900"/>
    <w:rsid w:val="008F6D77"/>
    <w:rsid w:val="008F7009"/>
    <w:rsid w:val="008F7E8C"/>
    <w:rsid w:val="009005F2"/>
    <w:rsid w:val="009023BF"/>
    <w:rsid w:val="0090298F"/>
    <w:rsid w:val="00902F7B"/>
    <w:rsid w:val="00903AC7"/>
    <w:rsid w:val="00903E7E"/>
    <w:rsid w:val="009045F5"/>
    <w:rsid w:val="00905201"/>
    <w:rsid w:val="00905297"/>
    <w:rsid w:val="0090653F"/>
    <w:rsid w:val="00910E94"/>
    <w:rsid w:val="00911394"/>
    <w:rsid w:val="00911614"/>
    <w:rsid w:val="0091177A"/>
    <w:rsid w:val="00911F98"/>
    <w:rsid w:val="0091239F"/>
    <w:rsid w:val="009124F4"/>
    <w:rsid w:val="009132D9"/>
    <w:rsid w:val="00913898"/>
    <w:rsid w:val="0091394D"/>
    <w:rsid w:val="0091433E"/>
    <w:rsid w:val="00915372"/>
    <w:rsid w:val="00915E23"/>
    <w:rsid w:val="00916E90"/>
    <w:rsid w:val="00916F4C"/>
    <w:rsid w:val="009179C8"/>
    <w:rsid w:val="00917D13"/>
    <w:rsid w:val="00917D3D"/>
    <w:rsid w:val="009203DE"/>
    <w:rsid w:val="00921369"/>
    <w:rsid w:val="0092193E"/>
    <w:rsid w:val="009221A2"/>
    <w:rsid w:val="00922B35"/>
    <w:rsid w:val="00922E8D"/>
    <w:rsid w:val="00923215"/>
    <w:rsid w:val="00925666"/>
    <w:rsid w:val="0092614F"/>
    <w:rsid w:val="00930056"/>
    <w:rsid w:val="0093097E"/>
    <w:rsid w:val="009322B9"/>
    <w:rsid w:val="009326DA"/>
    <w:rsid w:val="009328D0"/>
    <w:rsid w:val="00932B93"/>
    <w:rsid w:val="009368FB"/>
    <w:rsid w:val="00936C2A"/>
    <w:rsid w:val="0093751B"/>
    <w:rsid w:val="009377DD"/>
    <w:rsid w:val="00937AED"/>
    <w:rsid w:val="00937DAD"/>
    <w:rsid w:val="009411F6"/>
    <w:rsid w:val="009415B8"/>
    <w:rsid w:val="00941B12"/>
    <w:rsid w:val="00942524"/>
    <w:rsid w:val="00943424"/>
    <w:rsid w:val="00944864"/>
    <w:rsid w:val="00944D05"/>
    <w:rsid w:val="00945636"/>
    <w:rsid w:val="00945990"/>
    <w:rsid w:val="00946008"/>
    <w:rsid w:val="00946539"/>
    <w:rsid w:val="0094700A"/>
    <w:rsid w:val="009500F0"/>
    <w:rsid w:val="0095015B"/>
    <w:rsid w:val="009504AE"/>
    <w:rsid w:val="00951DFA"/>
    <w:rsid w:val="00951FCB"/>
    <w:rsid w:val="0095377D"/>
    <w:rsid w:val="00953FBD"/>
    <w:rsid w:val="0095445B"/>
    <w:rsid w:val="009561CE"/>
    <w:rsid w:val="00956EDC"/>
    <w:rsid w:val="00957387"/>
    <w:rsid w:val="00957974"/>
    <w:rsid w:val="00957EF7"/>
    <w:rsid w:val="00960249"/>
    <w:rsid w:val="0096038E"/>
    <w:rsid w:val="00961F53"/>
    <w:rsid w:val="009625FE"/>
    <w:rsid w:val="00962DD7"/>
    <w:rsid w:val="009630C0"/>
    <w:rsid w:val="0096344F"/>
    <w:rsid w:val="00964E6E"/>
    <w:rsid w:val="009669A7"/>
    <w:rsid w:val="00966EF1"/>
    <w:rsid w:val="00967606"/>
    <w:rsid w:val="00967A7F"/>
    <w:rsid w:val="00971201"/>
    <w:rsid w:val="009713A8"/>
    <w:rsid w:val="009714B3"/>
    <w:rsid w:val="00972A64"/>
    <w:rsid w:val="00972ED3"/>
    <w:rsid w:val="009733B5"/>
    <w:rsid w:val="0097558D"/>
    <w:rsid w:val="0097639F"/>
    <w:rsid w:val="00976683"/>
    <w:rsid w:val="009769BC"/>
    <w:rsid w:val="009774AC"/>
    <w:rsid w:val="00977CD3"/>
    <w:rsid w:val="009801F2"/>
    <w:rsid w:val="0098114B"/>
    <w:rsid w:val="0098169B"/>
    <w:rsid w:val="00981E67"/>
    <w:rsid w:val="009835CF"/>
    <w:rsid w:val="00983F6D"/>
    <w:rsid w:val="0098441D"/>
    <w:rsid w:val="00986496"/>
    <w:rsid w:val="0098650F"/>
    <w:rsid w:val="0098663E"/>
    <w:rsid w:val="009878A4"/>
    <w:rsid w:val="00987E55"/>
    <w:rsid w:val="00987E59"/>
    <w:rsid w:val="0099047F"/>
    <w:rsid w:val="009906FE"/>
    <w:rsid w:val="00990CFD"/>
    <w:rsid w:val="00992177"/>
    <w:rsid w:val="009922F7"/>
    <w:rsid w:val="00992414"/>
    <w:rsid w:val="00992F48"/>
    <w:rsid w:val="00993219"/>
    <w:rsid w:val="009937FD"/>
    <w:rsid w:val="009942D5"/>
    <w:rsid w:val="0099456C"/>
    <w:rsid w:val="009945AF"/>
    <w:rsid w:val="00994639"/>
    <w:rsid w:val="009947E5"/>
    <w:rsid w:val="00995B38"/>
    <w:rsid w:val="00996225"/>
    <w:rsid w:val="00996355"/>
    <w:rsid w:val="009968DD"/>
    <w:rsid w:val="0099692D"/>
    <w:rsid w:val="00996D76"/>
    <w:rsid w:val="00996FD5"/>
    <w:rsid w:val="00997A25"/>
    <w:rsid w:val="00997D94"/>
    <w:rsid w:val="00997EA7"/>
    <w:rsid w:val="009A042A"/>
    <w:rsid w:val="009A0D2C"/>
    <w:rsid w:val="009A1687"/>
    <w:rsid w:val="009A22AD"/>
    <w:rsid w:val="009A2D91"/>
    <w:rsid w:val="009A2FF1"/>
    <w:rsid w:val="009A32F8"/>
    <w:rsid w:val="009A468C"/>
    <w:rsid w:val="009A4CF2"/>
    <w:rsid w:val="009A51FE"/>
    <w:rsid w:val="009A5381"/>
    <w:rsid w:val="009A5B4F"/>
    <w:rsid w:val="009A5BE9"/>
    <w:rsid w:val="009A6555"/>
    <w:rsid w:val="009A6710"/>
    <w:rsid w:val="009A6D09"/>
    <w:rsid w:val="009B09F9"/>
    <w:rsid w:val="009B11BE"/>
    <w:rsid w:val="009B15B9"/>
    <w:rsid w:val="009B1F01"/>
    <w:rsid w:val="009B1FCA"/>
    <w:rsid w:val="009B2CC2"/>
    <w:rsid w:val="009B4AD9"/>
    <w:rsid w:val="009B4FA4"/>
    <w:rsid w:val="009B6AB6"/>
    <w:rsid w:val="009B6AFF"/>
    <w:rsid w:val="009C0C04"/>
    <w:rsid w:val="009C0C23"/>
    <w:rsid w:val="009C159B"/>
    <w:rsid w:val="009C25ED"/>
    <w:rsid w:val="009C2907"/>
    <w:rsid w:val="009C2968"/>
    <w:rsid w:val="009C458E"/>
    <w:rsid w:val="009C4FF8"/>
    <w:rsid w:val="009C573D"/>
    <w:rsid w:val="009C5B6E"/>
    <w:rsid w:val="009C5E4F"/>
    <w:rsid w:val="009C5FD6"/>
    <w:rsid w:val="009C6ADA"/>
    <w:rsid w:val="009C6CCF"/>
    <w:rsid w:val="009C728A"/>
    <w:rsid w:val="009C75BB"/>
    <w:rsid w:val="009D071C"/>
    <w:rsid w:val="009D079C"/>
    <w:rsid w:val="009D25FC"/>
    <w:rsid w:val="009D2C4F"/>
    <w:rsid w:val="009D3D9F"/>
    <w:rsid w:val="009D406F"/>
    <w:rsid w:val="009D5224"/>
    <w:rsid w:val="009D5A16"/>
    <w:rsid w:val="009D5A5C"/>
    <w:rsid w:val="009D5DEE"/>
    <w:rsid w:val="009D63F1"/>
    <w:rsid w:val="009D66AD"/>
    <w:rsid w:val="009D6DF4"/>
    <w:rsid w:val="009D7164"/>
    <w:rsid w:val="009E0868"/>
    <w:rsid w:val="009E0A32"/>
    <w:rsid w:val="009E0B05"/>
    <w:rsid w:val="009E111D"/>
    <w:rsid w:val="009E16D7"/>
    <w:rsid w:val="009E1B1C"/>
    <w:rsid w:val="009E23DC"/>
    <w:rsid w:val="009E2995"/>
    <w:rsid w:val="009E398A"/>
    <w:rsid w:val="009E3F19"/>
    <w:rsid w:val="009E4339"/>
    <w:rsid w:val="009E43E5"/>
    <w:rsid w:val="009E525A"/>
    <w:rsid w:val="009E5310"/>
    <w:rsid w:val="009E5445"/>
    <w:rsid w:val="009E56C4"/>
    <w:rsid w:val="009E5EC5"/>
    <w:rsid w:val="009E5F77"/>
    <w:rsid w:val="009E65A2"/>
    <w:rsid w:val="009E7036"/>
    <w:rsid w:val="009F0509"/>
    <w:rsid w:val="009F08AD"/>
    <w:rsid w:val="009F1E01"/>
    <w:rsid w:val="009F2297"/>
    <w:rsid w:val="009F27ED"/>
    <w:rsid w:val="009F33B2"/>
    <w:rsid w:val="009F350A"/>
    <w:rsid w:val="009F3E75"/>
    <w:rsid w:val="009F3F3D"/>
    <w:rsid w:val="009F6EC6"/>
    <w:rsid w:val="00A008D9"/>
    <w:rsid w:val="00A01384"/>
    <w:rsid w:val="00A041B3"/>
    <w:rsid w:val="00A04331"/>
    <w:rsid w:val="00A04858"/>
    <w:rsid w:val="00A05120"/>
    <w:rsid w:val="00A0747D"/>
    <w:rsid w:val="00A10788"/>
    <w:rsid w:val="00A11C07"/>
    <w:rsid w:val="00A11E12"/>
    <w:rsid w:val="00A1286E"/>
    <w:rsid w:val="00A14718"/>
    <w:rsid w:val="00A14BF3"/>
    <w:rsid w:val="00A14CCB"/>
    <w:rsid w:val="00A1542B"/>
    <w:rsid w:val="00A16DC6"/>
    <w:rsid w:val="00A170B1"/>
    <w:rsid w:val="00A17C57"/>
    <w:rsid w:val="00A17CD6"/>
    <w:rsid w:val="00A207F6"/>
    <w:rsid w:val="00A20BB1"/>
    <w:rsid w:val="00A20C3F"/>
    <w:rsid w:val="00A21B30"/>
    <w:rsid w:val="00A23718"/>
    <w:rsid w:val="00A23CB6"/>
    <w:rsid w:val="00A23FE4"/>
    <w:rsid w:val="00A24000"/>
    <w:rsid w:val="00A24FA7"/>
    <w:rsid w:val="00A2566D"/>
    <w:rsid w:val="00A25EF3"/>
    <w:rsid w:val="00A27615"/>
    <w:rsid w:val="00A30978"/>
    <w:rsid w:val="00A313D2"/>
    <w:rsid w:val="00A31ED8"/>
    <w:rsid w:val="00A32300"/>
    <w:rsid w:val="00A32631"/>
    <w:rsid w:val="00A33A60"/>
    <w:rsid w:val="00A34C22"/>
    <w:rsid w:val="00A34C98"/>
    <w:rsid w:val="00A3739F"/>
    <w:rsid w:val="00A405D1"/>
    <w:rsid w:val="00A41A2D"/>
    <w:rsid w:val="00A42B0C"/>
    <w:rsid w:val="00A43D0A"/>
    <w:rsid w:val="00A448AE"/>
    <w:rsid w:val="00A455A1"/>
    <w:rsid w:val="00A45A5D"/>
    <w:rsid w:val="00A45B8C"/>
    <w:rsid w:val="00A464B9"/>
    <w:rsid w:val="00A466F8"/>
    <w:rsid w:val="00A473B5"/>
    <w:rsid w:val="00A47BB1"/>
    <w:rsid w:val="00A50A72"/>
    <w:rsid w:val="00A50CD7"/>
    <w:rsid w:val="00A50FE7"/>
    <w:rsid w:val="00A5144D"/>
    <w:rsid w:val="00A51F73"/>
    <w:rsid w:val="00A52D9F"/>
    <w:rsid w:val="00A5319E"/>
    <w:rsid w:val="00A53D48"/>
    <w:rsid w:val="00A53F52"/>
    <w:rsid w:val="00A55064"/>
    <w:rsid w:val="00A55779"/>
    <w:rsid w:val="00A56339"/>
    <w:rsid w:val="00A57C32"/>
    <w:rsid w:val="00A60565"/>
    <w:rsid w:val="00A61164"/>
    <w:rsid w:val="00A6172A"/>
    <w:rsid w:val="00A619D8"/>
    <w:rsid w:val="00A627AE"/>
    <w:rsid w:val="00A64A42"/>
    <w:rsid w:val="00A65158"/>
    <w:rsid w:val="00A65611"/>
    <w:rsid w:val="00A65C64"/>
    <w:rsid w:val="00A65E69"/>
    <w:rsid w:val="00A67161"/>
    <w:rsid w:val="00A6774E"/>
    <w:rsid w:val="00A70D10"/>
    <w:rsid w:val="00A718C2"/>
    <w:rsid w:val="00A72807"/>
    <w:rsid w:val="00A72E1A"/>
    <w:rsid w:val="00A74614"/>
    <w:rsid w:val="00A74785"/>
    <w:rsid w:val="00A76C43"/>
    <w:rsid w:val="00A7772A"/>
    <w:rsid w:val="00A80C36"/>
    <w:rsid w:val="00A81004"/>
    <w:rsid w:val="00A810F8"/>
    <w:rsid w:val="00A8168E"/>
    <w:rsid w:val="00A82730"/>
    <w:rsid w:val="00A8352D"/>
    <w:rsid w:val="00A83659"/>
    <w:rsid w:val="00A84AED"/>
    <w:rsid w:val="00A85BCA"/>
    <w:rsid w:val="00A86238"/>
    <w:rsid w:val="00A86280"/>
    <w:rsid w:val="00A862C3"/>
    <w:rsid w:val="00A868C7"/>
    <w:rsid w:val="00A86B0B"/>
    <w:rsid w:val="00A86EF4"/>
    <w:rsid w:val="00A87C23"/>
    <w:rsid w:val="00A9072C"/>
    <w:rsid w:val="00A90785"/>
    <w:rsid w:val="00A90D1E"/>
    <w:rsid w:val="00A91741"/>
    <w:rsid w:val="00A93357"/>
    <w:rsid w:val="00A95CAA"/>
    <w:rsid w:val="00A96C4E"/>
    <w:rsid w:val="00A972C2"/>
    <w:rsid w:val="00A978F9"/>
    <w:rsid w:val="00A979F3"/>
    <w:rsid w:val="00A97F5B"/>
    <w:rsid w:val="00AA13F6"/>
    <w:rsid w:val="00AA1CEF"/>
    <w:rsid w:val="00AA1E26"/>
    <w:rsid w:val="00AA233E"/>
    <w:rsid w:val="00AA37EB"/>
    <w:rsid w:val="00AA3A26"/>
    <w:rsid w:val="00AA40AB"/>
    <w:rsid w:val="00AA4965"/>
    <w:rsid w:val="00AA4CA7"/>
    <w:rsid w:val="00AA4FEA"/>
    <w:rsid w:val="00AA5306"/>
    <w:rsid w:val="00AA578B"/>
    <w:rsid w:val="00AA59C7"/>
    <w:rsid w:val="00AA6464"/>
    <w:rsid w:val="00AB01AF"/>
    <w:rsid w:val="00AB0589"/>
    <w:rsid w:val="00AB16C1"/>
    <w:rsid w:val="00AB24AB"/>
    <w:rsid w:val="00AB5B30"/>
    <w:rsid w:val="00AC095D"/>
    <w:rsid w:val="00AC1219"/>
    <w:rsid w:val="00AC1327"/>
    <w:rsid w:val="00AC2218"/>
    <w:rsid w:val="00AC22B4"/>
    <w:rsid w:val="00AC22D5"/>
    <w:rsid w:val="00AC22D8"/>
    <w:rsid w:val="00AC461C"/>
    <w:rsid w:val="00AC5714"/>
    <w:rsid w:val="00AC5A00"/>
    <w:rsid w:val="00AC7426"/>
    <w:rsid w:val="00AC7474"/>
    <w:rsid w:val="00AC7871"/>
    <w:rsid w:val="00AD025C"/>
    <w:rsid w:val="00AD05F4"/>
    <w:rsid w:val="00AD1643"/>
    <w:rsid w:val="00AD1F2E"/>
    <w:rsid w:val="00AD204F"/>
    <w:rsid w:val="00AD259E"/>
    <w:rsid w:val="00AD272F"/>
    <w:rsid w:val="00AD27C2"/>
    <w:rsid w:val="00AD27EF"/>
    <w:rsid w:val="00AD2E0D"/>
    <w:rsid w:val="00AD3039"/>
    <w:rsid w:val="00AD341A"/>
    <w:rsid w:val="00AD4E5D"/>
    <w:rsid w:val="00AD4E97"/>
    <w:rsid w:val="00AD5D5E"/>
    <w:rsid w:val="00AD6B51"/>
    <w:rsid w:val="00AD6EAA"/>
    <w:rsid w:val="00AD7677"/>
    <w:rsid w:val="00AD7C84"/>
    <w:rsid w:val="00AD7C88"/>
    <w:rsid w:val="00AE0199"/>
    <w:rsid w:val="00AE0474"/>
    <w:rsid w:val="00AE0984"/>
    <w:rsid w:val="00AE0D4E"/>
    <w:rsid w:val="00AE0ED6"/>
    <w:rsid w:val="00AE1802"/>
    <w:rsid w:val="00AE18E4"/>
    <w:rsid w:val="00AE221B"/>
    <w:rsid w:val="00AE4C35"/>
    <w:rsid w:val="00AE4F05"/>
    <w:rsid w:val="00AE4F8F"/>
    <w:rsid w:val="00AE6BE0"/>
    <w:rsid w:val="00AE7011"/>
    <w:rsid w:val="00AE7381"/>
    <w:rsid w:val="00AE7742"/>
    <w:rsid w:val="00AF0209"/>
    <w:rsid w:val="00AF04B7"/>
    <w:rsid w:val="00AF0895"/>
    <w:rsid w:val="00AF1DA4"/>
    <w:rsid w:val="00AF2022"/>
    <w:rsid w:val="00AF2F52"/>
    <w:rsid w:val="00AF3097"/>
    <w:rsid w:val="00AF3241"/>
    <w:rsid w:val="00AF3344"/>
    <w:rsid w:val="00AF521D"/>
    <w:rsid w:val="00AF7584"/>
    <w:rsid w:val="00AF7BBD"/>
    <w:rsid w:val="00B00B80"/>
    <w:rsid w:val="00B01218"/>
    <w:rsid w:val="00B01C62"/>
    <w:rsid w:val="00B01F30"/>
    <w:rsid w:val="00B026B3"/>
    <w:rsid w:val="00B02BBF"/>
    <w:rsid w:val="00B03078"/>
    <w:rsid w:val="00B033EE"/>
    <w:rsid w:val="00B03C38"/>
    <w:rsid w:val="00B04315"/>
    <w:rsid w:val="00B04D2F"/>
    <w:rsid w:val="00B0659E"/>
    <w:rsid w:val="00B073F0"/>
    <w:rsid w:val="00B07428"/>
    <w:rsid w:val="00B07F25"/>
    <w:rsid w:val="00B10035"/>
    <w:rsid w:val="00B124AB"/>
    <w:rsid w:val="00B1322F"/>
    <w:rsid w:val="00B14B5F"/>
    <w:rsid w:val="00B1546A"/>
    <w:rsid w:val="00B15EE6"/>
    <w:rsid w:val="00B16448"/>
    <w:rsid w:val="00B1707D"/>
    <w:rsid w:val="00B17501"/>
    <w:rsid w:val="00B20A87"/>
    <w:rsid w:val="00B21256"/>
    <w:rsid w:val="00B219D6"/>
    <w:rsid w:val="00B21D40"/>
    <w:rsid w:val="00B22205"/>
    <w:rsid w:val="00B2287D"/>
    <w:rsid w:val="00B22A25"/>
    <w:rsid w:val="00B23976"/>
    <w:rsid w:val="00B24BD3"/>
    <w:rsid w:val="00B258AF"/>
    <w:rsid w:val="00B25BE9"/>
    <w:rsid w:val="00B25EDA"/>
    <w:rsid w:val="00B26CF6"/>
    <w:rsid w:val="00B30A5E"/>
    <w:rsid w:val="00B3235D"/>
    <w:rsid w:val="00B324F6"/>
    <w:rsid w:val="00B331AA"/>
    <w:rsid w:val="00B3450D"/>
    <w:rsid w:val="00B34699"/>
    <w:rsid w:val="00B346E4"/>
    <w:rsid w:val="00B3559B"/>
    <w:rsid w:val="00B35E78"/>
    <w:rsid w:val="00B36362"/>
    <w:rsid w:val="00B366D4"/>
    <w:rsid w:val="00B36DAE"/>
    <w:rsid w:val="00B3724A"/>
    <w:rsid w:val="00B411D1"/>
    <w:rsid w:val="00B41A28"/>
    <w:rsid w:val="00B41CEC"/>
    <w:rsid w:val="00B429A0"/>
    <w:rsid w:val="00B4323C"/>
    <w:rsid w:val="00B445C6"/>
    <w:rsid w:val="00B461E9"/>
    <w:rsid w:val="00B46D94"/>
    <w:rsid w:val="00B4702E"/>
    <w:rsid w:val="00B47A14"/>
    <w:rsid w:val="00B47B03"/>
    <w:rsid w:val="00B50024"/>
    <w:rsid w:val="00B506C3"/>
    <w:rsid w:val="00B50965"/>
    <w:rsid w:val="00B50FD1"/>
    <w:rsid w:val="00B51773"/>
    <w:rsid w:val="00B51800"/>
    <w:rsid w:val="00B52351"/>
    <w:rsid w:val="00B52CE9"/>
    <w:rsid w:val="00B53210"/>
    <w:rsid w:val="00B53D31"/>
    <w:rsid w:val="00B54109"/>
    <w:rsid w:val="00B548AD"/>
    <w:rsid w:val="00B5530C"/>
    <w:rsid w:val="00B55696"/>
    <w:rsid w:val="00B56846"/>
    <w:rsid w:val="00B60885"/>
    <w:rsid w:val="00B60897"/>
    <w:rsid w:val="00B61F0B"/>
    <w:rsid w:val="00B62413"/>
    <w:rsid w:val="00B62669"/>
    <w:rsid w:val="00B62955"/>
    <w:rsid w:val="00B63846"/>
    <w:rsid w:val="00B63931"/>
    <w:rsid w:val="00B6402F"/>
    <w:rsid w:val="00B6446C"/>
    <w:rsid w:val="00B64512"/>
    <w:rsid w:val="00B64FDE"/>
    <w:rsid w:val="00B650DD"/>
    <w:rsid w:val="00B65B7A"/>
    <w:rsid w:val="00B66305"/>
    <w:rsid w:val="00B66467"/>
    <w:rsid w:val="00B66882"/>
    <w:rsid w:val="00B704E2"/>
    <w:rsid w:val="00B71523"/>
    <w:rsid w:val="00B715B5"/>
    <w:rsid w:val="00B72564"/>
    <w:rsid w:val="00B732D7"/>
    <w:rsid w:val="00B74C9A"/>
    <w:rsid w:val="00B76612"/>
    <w:rsid w:val="00B768D4"/>
    <w:rsid w:val="00B773D8"/>
    <w:rsid w:val="00B77B04"/>
    <w:rsid w:val="00B8108C"/>
    <w:rsid w:val="00B816CA"/>
    <w:rsid w:val="00B817C7"/>
    <w:rsid w:val="00B82292"/>
    <w:rsid w:val="00B82DE6"/>
    <w:rsid w:val="00B840B5"/>
    <w:rsid w:val="00B84BB2"/>
    <w:rsid w:val="00B84DA2"/>
    <w:rsid w:val="00B861BC"/>
    <w:rsid w:val="00B8630B"/>
    <w:rsid w:val="00B86BBD"/>
    <w:rsid w:val="00B872C7"/>
    <w:rsid w:val="00B87C12"/>
    <w:rsid w:val="00B9182B"/>
    <w:rsid w:val="00B91AEF"/>
    <w:rsid w:val="00B91BE9"/>
    <w:rsid w:val="00B91CC4"/>
    <w:rsid w:val="00B9345F"/>
    <w:rsid w:val="00B9423A"/>
    <w:rsid w:val="00B9441A"/>
    <w:rsid w:val="00B94525"/>
    <w:rsid w:val="00B9474F"/>
    <w:rsid w:val="00B94847"/>
    <w:rsid w:val="00B94A6A"/>
    <w:rsid w:val="00B94F5C"/>
    <w:rsid w:val="00B95347"/>
    <w:rsid w:val="00B95365"/>
    <w:rsid w:val="00B95A22"/>
    <w:rsid w:val="00B96140"/>
    <w:rsid w:val="00B96301"/>
    <w:rsid w:val="00B9645E"/>
    <w:rsid w:val="00B9645F"/>
    <w:rsid w:val="00B97490"/>
    <w:rsid w:val="00B9798A"/>
    <w:rsid w:val="00B97A5A"/>
    <w:rsid w:val="00BA1FC8"/>
    <w:rsid w:val="00BA28DF"/>
    <w:rsid w:val="00BA2BC1"/>
    <w:rsid w:val="00BA32B3"/>
    <w:rsid w:val="00BA3614"/>
    <w:rsid w:val="00BA377B"/>
    <w:rsid w:val="00BA4CE1"/>
    <w:rsid w:val="00BA68CD"/>
    <w:rsid w:val="00BA758D"/>
    <w:rsid w:val="00BA7E1E"/>
    <w:rsid w:val="00BB0957"/>
    <w:rsid w:val="00BB28C1"/>
    <w:rsid w:val="00BB2A81"/>
    <w:rsid w:val="00BB3478"/>
    <w:rsid w:val="00BB3AFB"/>
    <w:rsid w:val="00BB4599"/>
    <w:rsid w:val="00BB45AA"/>
    <w:rsid w:val="00BB572B"/>
    <w:rsid w:val="00BB5D48"/>
    <w:rsid w:val="00BB61A3"/>
    <w:rsid w:val="00BB6A1C"/>
    <w:rsid w:val="00BC0309"/>
    <w:rsid w:val="00BC0E1D"/>
    <w:rsid w:val="00BC1032"/>
    <w:rsid w:val="00BC196E"/>
    <w:rsid w:val="00BC1A5B"/>
    <w:rsid w:val="00BC2022"/>
    <w:rsid w:val="00BC2901"/>
    <w:rsid w:val="00BC2EC7"/>
    <w:rsid w:val="00BC3BB6"/>
    <w:rsid w:val="00BC4DFC"/>
    <w:rsid w:val="00BC57C8"/>
    <w:rsid w:val="00BC5DAA"/>
    <w:rsid w:val="00BC7969"/>
    <w:rsid w:val="00BC7ACA"/>
    <w:rsid w:val="00BD1909"/>
    <w:rsid w:val="00BD1E56"/>
    <w:rsid w:val="00BD2679"/>
    <w:rsid w:val="00BD385B"/>
    <w:rsid w:val="00BD3C01"/>
    <w:rsid w:val="00BD4304"/>
    <w:rsid w:val="00BD493F"/>
    <w:rsid w:val="00BD5BB6"/>
    <w:rsid w:val="00BD5C48"/>
    <w:rsid w:val="00BD75DD"/>
    <w:rsid w:val="00BD76A6"/>
    <w:rsid w:val="00BE1305"/>
    <w:rsid w:val="00BE17B8"/>
    <w:rsid w:val="00BE1A01"/>
    <w:rsid w:val="00BE317C"/>
    <w:rsid w:val="00BE36FD"/>
    <w:rsid w:val="00BE3709"/>
    <w:rsid w:val="00BE4CC3"/>
    <w:rsid w:val="00BE71A0"/>
    <w:rsid w:val="00BF00D3"/>
    <w:rsid w:val="00BF02E7"/>
    <w:rsid w:val="00BF03D0"/>
    <w:rsid w:val="00BF320E"/>
    <w:rsid w:val="00BF3247"/>
    <w:rsid w:val="00BF386C"/>
    <w:rsid w:val="00BF5016"/>
    <w:rsid w:val="00BF53FE"/>
    <w:rsid w:val="00BF6F6C"/>
    <w:rsid w:val="00BF7A61"/>
    <w:rsid w:val="00C00376"/>
    <w:rsid w:val="00C00E00"/>
    <w:rsid w:val="00C02E18"/>
    <w:rsid w:val="00C03B9C"/>
    <w:rsid w:val="00C04207"/>
    <w:rsid w:val="00C045E1"/>
    <w:rsid w:val="00C04C7E"/>
    <w:rsid w:val="00C05AE6"/>
    <w:rsid w:val="00C05D7D"/>
    <w:rsid w:val="00C05D8C"/>
    <w:rsid w:val="00C10B82"/>
    <w:rsid w:val="00C11321"/>
    <w:rsid w:val="00C119EE"/>
    <w:rsid w:val="00C11E72"/>
    <w:rsid w:val="00C11F3A"/>
    <w:rsid w:val="00C12499"/>
    <w:rsid w:val="00C12EBC"/>
    <w:rsid w:val="00C13433"/>
    <w:rsid w:val="00C1435E"/>
    <w:rsid w:val="00C14A68"/>
    <w:rsid w:val="00C14F6A"/>
    <w:rsid w:val="00C15534"/>
    <w:rsid w:val="00C156A9"/>
    <w:rsid w:val="00C168E3"/>
    <w:rsid w:val="00C16BD9"/>
    <w:rsid w:val="00C1735D"/>
    <w:rsid w:val="00C179BB"/>
    <w:rsid w:val="00C17FC1"/>
    <w:rsid w:val="00C202F4"/>
    <w:rsid w:val="00C204AE"/>
    <w:rsid w:val="00C20C90"/>
    <w:rsid w:val="00C21BA4"/>
    <w:rsid w:val="00C21E42"/>
    <w:rsid w:val="00C233C0"/>
    <w:rsid w:val="00C239A1"/>
    <w:rsid w:val="00C23EB5"/>
    <w:rsid w:val="00C2403C"/>
    <w:rsid w:val="00C2425E"/>
    <w:rsid w:val="00C2641A"/>
    <w:rsid w:val="00C26538"/>
    <w:rsid w:val="00C2684E"/>
    <w:rsid w:val="00C27779"/>
    <w:rsid w:val="00C27792"/>
    <w:rsid w:val="00C30E96"/>
    <w:rsid w:val="00C30EEC"/>
    <w:rsid w:val="00C310B4"/>
    <w:rsid w:val="00C31BEB"/>
    <w:rsid w:val="00C327A6"/>
    <w:rsid w:val="00C33D9A"/>
    <w:rsid w:val="00C33E0E"/>
    <w:rsid w:val="00C34722"/>
    <w:rsid w:val="00C34A01"/>
    <w:rsid w:val="00C36BF1"/>
    <w:rsid w:val="00C375D8"/>
    <w:rsid w:val="00C37654"/>
    <w:rsid w:val="00C37FCB"/>
    <w:rsid w:val="00C40885"/>
    <w:rsid w:val="00C4257D"/>
    <w:rsid w:val="00C43779"/>
    <w:rsid w:val="00C437B4"/>
    <w:rsid w:val="00C44571"/>
    <w:rsid w:val="00C45EE9"/>
    <w:rsid w:val="00C46EA1"/>
    <w:rsid w:val="00C4708C"/>
    <w:rsid w:val="00C4715F"/>
    <w:rsid w:val="00C4732B"/>
    <w:rsid w:val="00C47A9C"/>
    <w:rsid w:val="00C506BC"/>
    <w:rsid w:val="00C51664"/>
    <w:rsid w:val="00C51BC9"/>
    <w:rsid w:val="00C51C30"/>
    <w:rsid w:val="00C5285C"/>
    <w:rsid w:val="00C535AC"/>
    <w:rsid w:val="00C53D32"/>
    <w:rsid w:val="00C54005"/>
    <w:rsid w:val="00C541AD"/>
    <w:rsid w:val="00C5463A"/>
    <w:rsid w:val="00C54B23"/>
    <w:rsid w:val="00C55F26"/>
    <w:rsid w:val="00C5694E"/>
    <w:rsid w:val="00C57741"/>
    <w:rsid w:val="00C57CF4"/>
    <w:rsid w:val="00C608DE"/>
    <w:rsid w:val="00C60C22"/>
    <w:rsid w:val="00C61A1E"/>
    <w:rsid w:val="00C6309D"/>
    <w:rsid w:val="00C631CE"/>
    <w:rsid w:val="00C635FD"/>
    <w:rsid w:val="00C63FF5"/>
    <w:rsid w:val="00C64645"/>
    <w:rsid w:val="00C64E6B"/>
    <w:rsid w:val="00C667F4"/>
    <w:rsid w:val="00C66EF2"/>
    <w:rsid w:val="00C67682"/>
    <w:rsid w:val="00C6797A"/>
    <w:rsid w:val="00C67DEC"/>
    <w:rsid w:val="00C70F4C"/>
    <w:rsid w:val="00C70FC6"/>
    <w:rsid w:val="00C713FE"/>
    <w:rsid w:val="00C73A9B"/>
    <w:rsid w:val="00C74A5C"/>
    <w:rsid w:val="00C74B6A"/>
    <w:rsid w:val="00C75553"/>
    <w:rsid w:val="00C75F01"/>
    <w:rsid w:val="00C76020"/>
    <w:rsid w:val="00C761EE"/>
    <w:rsid w:val="00C76398"/>
    <w:rsid w:val="00C765E5"/>
    <w:rsid w:val="00C76B22"/>
    <w:rsid w:val="00C76C91"/>
    <w:rsid w:val="00C80A00"/>
    <w:rsid w:val="00C828B3"/>
    <w:rsid w:val="00C82FE1"/>
    <w:rsid w:val="00C83AA2"/>
    <w:rsid w:val="00C83E94"/>
    <w:rsid w:val="00C851AC"/>
    <w:rsid w:val="00C854E8"/>
    <w:rsid w:val="00C860A5"/>
    <w:rsid w:val="00C8634E"/>
    <w:rsid w:val="00C86915"/>
    <w:rsid w:val="00C90C69"/>
    <w:rsid w:val="00C91DE2"/>
    <w:rsid w:val="00C920A3"/>
    <w:rsid w:val="00C9287B"/>
    <w:rsid w:val="00C93D4C"/>
    <w:rsid w:val="00C94AD0"/>
    <w:rsid w:val="00C94DCF"/>
    <w:rsid w:val="00C94EC3"/>
    <w:rsid w:val="00C9542E"/>
    <w:rsid w:val="00C956C2"/>
    <w:rsid w:val="00C97C53"/>
    <w:rsid w:val="00CA01DF"/>
    <w:rsid w:val="00CA028B"/>
    <w:rsid w:val="00CA088D"/>
    <w:rsid w:val="00CA0D0D"/>
    <w:rsid w:val="00CA0EB1"/>
    <w:rsid w:val="00CA1134"/>
    <w:rsid w:val="00CA1496"/>
    <w:rsid w:val="00CA158E"/>
    <w:rsid w:val="00CA19B2"/>
    <w:rsid w:val="00CA1FFD"/>
    <w:rsid w:val="00CA2BB8"/>
    <w:rsid w:val="00CA3E61"/>
    <w:rsid w:val="00CA3F90"/>
    <w:rsid w:val="00CA41C6"/>
    <w:rsid w:val="00CA426D"/>
    <w:rsid w:val="00CA546F"/>
    <w:rsid w:val="00CA5472"/>
    <w:rsid w:val="00CA5F66"/>
    <w:rsid w:val="00CA628F"/>
    <w:rsid w:val="00CA7685"/>
    <w:rsid w:val="00CA7BAE"/>
    <w:rsid w:val="00CB074D"/>
    <w:rsid w:val="00CB080B"/>
    <w:rsid w:val="00CB0DFB"/>
    <w:rsid w:val="00CB1EA2"/>
    <w:rsid w:val="00CB218B"/>
    <w:rsid w:val="00CB2380"/>
    <w:rsid w:val="00CB25EC"/>
    <w:rsid w:val="00CB28A9"/>
    <w:rsid w:val="00CB2B28"/>
    <w:rsid w:val="00CB309B"/>
    <w:rsid w:val="00CB36D1"/>
    <w:rsid w:val="00CB3C7A"/>
    <w:rsid w:val="00CB41B0"/>
    <w:rsid w:val="00CB441D"/>
    <w:rsid w:val="00CB4B09"/>
    <w:rsid w:val="00CB57A8"/>
    <w:rsid w:val="00CB620D"/>
    <w:rsid w:val="00CB6699"/>
    <w:rsid w:val="00CB6F56"/>
    <w:rsid w:val="00CB77FE"/>
    <w:rsid w:val="00CB7D25"/>
    <w:rsid w:val="00CC1751"/>
    <w:rsid w:val="00CC1DD5"/>
    <w:rsid w:val="00CC23AA"/>
    <w:rsid w:val="00CC2A16"/>
    <w:rsid w:val="00CC3156"/>
    <w:rsid w:val="00CC3505"/>
    <w:rsid w:val="00CC5598"/>
    <w:rsid w:val="00CC703A"/>
    <w:rsid w:val="00CC71D2"/>
    <w:rsid w:val="00CD01BF"/>
    <w:rsid w:val="00CD055D"/>
    <w:rsid w:val="00CD06AF"/>
    <w:rsid w:val="00CD06E0"/>
    <w:rsid w:val="00CD0C49"/>
    <w:rsid w:val="00CD1513"/>
    <w:rsid w:val="00CD170D"/>
    <w:rsid w:val="00CD2BCE"/>
    <w:rsid w:val="00CD42F5"/>
    <w:rsid w:val="00CD4AF2"/>
    <w:rsid w:val="00CD4FAD"/>
    <w:rsid w:val="00CD5906"/>
    <w:rsid w:val="00CD5DE2"/>
    <w:rsid w:val="00CD6839"/>
    <w:rsid w:val="00CD6913"/>
    <w:rsid w:val="00CD6BA1"/>
    <w:rsid w:val="00CD6D30"/>
    <w:rsid w:val="00CD75EF"/>
    <w:rsid w:val="00CE0C40"/>
    <w:rsid w:val="00CE0D0E"/>
    <w:rsid w:val="00CE146C"/>
    <w:rsid w:val="00CE153B"/>
    <w:rsid w:val="00CE20DE"/>
    <w:rsid w:val="00CE2163"/>
    <w:rsid w:val="00CE258E"/>
    <w:rsid w:val="00CE40BA"/>
    <w:rsid w:val="00CE4948"/>
    <w:rsid w:val="00CE5512"/>
    <w:rsid w:val="00CE58AB"/>
    <w:rsid w:val="00CE5F05"/>
    <w:rsid w:val="00CE68FD"/>
    <w:rsid w:val="00CE6B4E"/>
    <w:rsid w:val="00CE6FEC"/>
    <w:rsid w:val="00CE7827"/>
    <w:rsid w:val="00CE7C24"/>
    <w:rsid w:val="00CF02BC"/>
    <w:rsid w:val="00CF15E0"/>
    <w:rsid w:val="00CF163A"/>
    <w:rsid w:val="00CF3137"/>
    <w:rsid w:val="00CF37D2"/>
    <w:rsid w:val="00CF3A11"/>
    <w:rsid w:val="00CF3C72"/>
    <w:rsid w:val="00CF3F10"/>
    <w:rsid w:val="00CF41BA"/>
    <w:rsid w:val="00CF46C2"/>
    <w:rsid w:val="00CF4DA3"/>
    <w:rsid w:val="00CF5236"/>
    <w:rsid w:val="00CF56DA"/>
    <w:rsid w:val="00CF5AEC"/>
    <w:rsid w:val="00CF6BD9"/>
    <w:rsid w:val="00CF7226"/>
    <w:rsid w:val="00CF72C1"/>
    <w:rsid w:val="00CF7480"/>
    <w:rsid w:val="00CF78EC"/>
    <w:rsid w:val="00D002DC"/>
    <w:rsid w:val="00D0099C"/>
    <w:rsid w:val="00D00A0A"/>
    <w:rsid w:val="00D00BAE"/>
    <w:rsid w:val="00D01336"/>
    <w:rsid w:val="00D02CA9"/>
    <w:rsid w:val="00D02DA5"/>
    <w:rsid w:val="00D03481"/>
    <w:rsid w:val="00D0390C"/>
    <w:rsid w:val="00D04472"/>
    <w:rsid w:val="00D049D4"/>
    <w:rsid w:val="00D04AA3"/>
    <w:rsid w:val="00D05354"/>
    <w:rsid w:val="00D05598"/>
    <w:rsid w:val="00D05652"/>
    <w:rsid w:val="00D0636F"/>
    <w:rsid w:val="00D0704B"/>
    <w:rsid w:val="00D070F7"/>
    <w:rsid w:val="00D07BB5"/>
    <w:rsid w:val="00D11C4A"/>
    <w:rsid w:val="00D12F84"/>
    <w:rsid w:val="00D13B2C"/>
    <w:rsid w:val="00D17572"/>
    <w:rsid w:val="00D200FB"/>
    <w:rsid w:val="00D20195"/>
    <w:rsid w:val="00D21BCF"/>
    <w:rsid w:val="00D21DDE"/>
    <w:rsid w:val="00D21F20"/>
    <w:rsid w:val="00D221EA"/>
    <w:rsid w:val="00D22B1E"/>
    <w:rsid w:val="00D230FE"/>
    <w:rsid w:val="00D2382A"/>
    <w:rsid w:val="00D24407"/>
    <w:rsid w:val="00D24573"/>
    <w:rsid w:val="00D25232"/>
    <w:rsid w:val="00D2756F"/>
    <w:rsid w:val="00D305FD"/>
    <w:rsid w:val="00D30C3B"/>
    <w:rsid w:val="00D318A5"/>
    <w:rsid w:val="00D325FA"/>
    <w:rsid w:val="00D32796"/>
    <w:rsid w:val="00D3292F"/>
    <w:rsid w:val="00D32F66"/>
    <w:rsid w:val="00D34F05"/>
    <w:rsid w:val="00D35973"/>
    <w:rsid w:val="00D362A4"/>
    <w:rsid w:val="00D36389"/>
    <w:rsid w:val="00D368C3"/>
    <w:rsid w:val="00D3690E"/>
    <w:rsid w:val="00D36C60"/>
    <w:rsid w:val="00D3701E"/>
    <w:rsid w:val="00D37743"/>
    <w:rsid w:val="00D4084E"/>
    <w:rsid w:val="00D414FB"/>
    <w:rsid w:val="00D42528"/>
    <w:rsid w:val="00D4275C"/>
    <w:rsid w:val="00D42B03"/>
    <w:rsid w:val="00D436F8"/>
    <w:rsid w:val="00D44EFC"/>
    <w:rsid w:val="00D46D7B"/>
    <w:rsid w:val="00D50201"/>
    <w:rsid w:val="00D50963"/>
    <w:rsid w:val="00D50D5B"/>
    <w:rsid w:val="00D50D6B"/>
    <w:rsid w:val="00D515C8"/>
    <w:rsid w:val="00D5246A"/>
    <w:rsid w:val="00D52928"/>
    <w:rsid w:val="00D52D4F"/>
    <w:rsid w:val="00D535F1"/>
    <w:rsid w:val="00D53D10"/>
    <w:rsid w:val="00D54496"/>
    <w:rsid w:val="00D547AD"/>
    <w:rsid w:val="00D5490B"/>
    <w:rsid w:val="00D54F78"/>
    <w:rsid w:val="00D55536"/>
    <w:rsid w:val="00D55FD8"/>
    <w:rsid w:val="00D56087"/>
    <w:rsid w:val="00D563F0"/>
    <w:rsid w:val="00D5768A"/>
    <w:rsid w:val="00D6039F"/>
    <w:rsid w:val="00D60872"/>
    <w:rsid w:val="00D60F41"/>
    <w:rsid w:val="00D61B08"/>
    <w:rsid w:val="00D623CB"/>
    <w:rsid w:val="00D6250E"/>
    <w:rsid w:val="00D62BE1"/>
    <w:rsid w:val="00D63096"/>
    <w:rsid w:val="00D63D7D"/>
    <w:rsid w:val="00D640CD"/>
    <w:rsid w:val="00D6443C"/>
    <w:rsid w:val="00D64479"/>
    <w:rsid w:val="00D64823"/>
    <w:rsid w:val="00D64AD2"/>
    <w:rsid w:val="00D64AEA"/>
    <w:rsid w:val="00D666D3"/>
    <w:rsid w:val="00D669A1"/>
    <w:rsid w:val="00D66E71"/>
    <w:rsid w:val="00D70C1E"/>
    <w:rsid w:val="00D710B3"/>
    <w:rsid w:val="00D71D29"/>
    <w:rsid w:val="00D7343F"/>
    <w:rsid w:val="00D73B09"/>
    <w:rsid w:val="00D73DCB"/>
    <w:rsid w:val="00D7532C"/>
    <w:rsid w:val="00D7595C"/>
    <w:rsid w:val="00D75ABE"/>
    <w:rsid w:val="00D75E11"/>
    <w:rsid w:val="00D770AB"/>
    <w:rsid w:val="00D77E6C"/>
    <w:rsid w:val="00D81A9A"/>
    <w:rsid w:val="00D81B52"/>
    <w:rsid w:val="00D82DEE"/>
    <w:rsid w:val="00D8300A"/>
    <w:rsid w:val="00D830CA"/>
    <w:rsid w:val="00D843C8"/>
    <w:rsid w:val="00D84A68"/>
    <w:rsid w:val="00D84BF9"/>
    <w:rsid w:val="00D84CD7"/>
    <w:rsid w:val="00D85780"/>
    <w:rsid w:val="00D864F3"/>
    <w:rsid w:val="00D86A1B"/>
    <w:rsid w:val="00D86E6B"/>
    <w:rsid w:val="00D870F0"/>
    <w:rsid w:val="00D90337"/>
    <w:rsid w:val="00D90CB2"/>
    <w:rsid w:val="00D90F1F"/>
    <w:rsid w:val="00D9184C"/>
    <w:rsid w:val="00D91A00"/>
    <w:rsid w:val="00D92972"/>
    <w:rsid w:val="00D92B4B"/>
    <w:rsid w:val="00D94323"/>
    <w:rsid w:val="00D94A30"/>
    <w:rsid w:val="00D95336"/>
    <w:rsid w:val="00D96272"/>
    <w:rsid w:val="00D963DA"/>
    <w:rsid w:val="00DA00CD"/>
    <w:rsid w:val="00DA09F8"/>
    <w:rsid w:val="00DA0AD4"/>
    <w:rsid w:val="00DA0CEA"/>
    <w:rsid w:val="00DA1037"/>
    <w:rsid w:val="00DA10DA"/>
    <w:rsid w:val="00DA1204"/>
    <w:rsid w:val="00DA1393"/>
    <w:rsid w:val="00DA15BC"/>
    <w:rsid w:val="00DA28D0"/>
    <w:rsid w:val="00DA3015"/>
    <w:rsid w:val="00DA3045"/>
    <w:rsid w:val="00DA3C87"/>
    <w:rsid w:val="00DA4CFF"/>
    <w:rsid w:val="00DA5ADB"/>
    <w:rsid w:val="00DA5CC4"/>
    <w:rsid w:val="00DB02DB"/>
    <w:rsid w:val="00DB0470"/>
    <w:rsid w:val="00DB06A9"/>
    <w:rsid w:val="00DB08C8"/>
    <w:rsid w:val="00DB0A18"/>
    <w:rsid w:val="00DB0ABB"/>
    <w:rsid w:val="00DB1CB9"/>
    <w:rsid w:val="00DB3527"/>
    <w:rsid w:val="00DB359B"/>
    <w:rsid w:val="00DB35CE"/>
    <w:rsid w:val="00DB43DC"/>
    <w:rsid w:val="00DB43F6"/>
    <w:rsid w:val="00DB443B"/>
    <w:rsid w:val="00DB4847"/>
    <w:rsid w:val="00DB4F30"/>
    <w:rsid w:val="00DB6005"/>
    <w:rsid w:val="00DB6793"/>
    <w:rsid w:val="00DB6D31"/>
    <w:rsid w:val="00DB6F67"/>
    <w:rsid w:val="00DB7C7A"/>
    <w:rsid w:val="00DC0B06"/>
    <w:rsid w:val="00DC1476"/>
    <w:rsid w:val="00DC2DD5"/>
    <w:rsid w:val="00DC368E"/>
    <w:rsid w:val="00DC3F53"/>
    <w:rsid w:val="00DC520E"/>
    <w:rsid w:val="00DC537F"/>
    <w:rsid w:val="00DC5710"/>
    <w:rsid w:val="00DC5D81"/>
    <w:rsid w:val="00DC68F8"/>
    <w:rsid w:val="00DC7524"/>
    <w:rsid w:val="00DC7DCD"/>
    <w:rsid w:val="00DD0033"/>
    <w:rsid w:val="00DD015C"/>
    <w:rsid w:val="00DD0357"/>
    <w:rsid w:val="00DD15E6"/>
    <w:rsid w:val="00DD25CB"/>
    <w:rsid w:val="00DD264F"/>
    <w:rsid w:val="00DD2DEA"/>
    <w:rsid w:val="00DD2F84"/>
    <w:rsid w:val="00DD3F36"/>
    <w:rsid w:val="00DD6831"/>
    <w:rsid w:val="00DD6A77"/>
    <w:rsid w:val="00DD7101"/>
    <w:rsid w:val="00DD7EFD"/>
    <w:rsid w:val="00DE022D"/>
    <w:rsid w:val="00DE0ECE"/>
    <w:rsid w:val="00DE234A"/>
    <w:rsid w:val="00DE27DC"/>
    <w:rsid w:val="00DE2FB8"/>
    <w:rsid w:val="00DE3AD4"/>
    <w:rsid w:val="00DE4693"/>
    <w:rsid w:val="00DE4958"/>
    <w:rsid w:val="00DE5458"/>
    <w:rsid w:val="00DE61E7"/>
    <w:rsid w:val="00DE6B76"/>
    <w:rsid w:val="00DE7902"/>
    <w:rsid w:val="00DF0992"/>
    <w:rsid w:val="00DF0B71"/>
    <w:rsid w:val="00DF0C7C"/>
    <w:rsid w:val="00DF0EDE"/>
    <w:rsid w:val="00DF18A2"/>
    <w:rsid w:val="00DF22AB"/>
    <w:rsid w:val="00DF2BFF"/>
    <w:rsid w:val="00DF382D"/>
    <w:rsid w:val="00DF4014"/>
    <w:rsid w:val="00DF467D"/>
    <w:rsid w:val="00DF5138"/>
    <w:rsid w:val="00DF5456"/>
    <w:rsid w:val="00DF6416"/>
    <w:rsid w:val="00DF698A"/>
    <w:rsid w:val="00DF71C8"/>
    <w:rsid w:val="00E00E95"/>
    <w:rsid w:val="00E02849"/>
    <w:rsid w:val="00E03231"/>
    <w:rsid w:val="00E03DB6"/>
    <w:rsid w:val="00E04576"/>
    <w:rsid w:val="00E0498B"/>
    <w:rsid w:val="00E04D89"/>
    <w:rsid w:val="00E05067"/>
    <w:rsid w:val="00E05B80"/>
    <w:rsid w:val="00E07B56"/>
    <w:rsid w:val="00E12C08"/>
    <w:rsid w:val="00E133B0"/>
    <w:rsid w:val="00E15295"/>
    <w:rsid w:val="00E162CD"/>
    <w:rsid w:val="00E1667B"/>
    <w:rsid w:val="00E16A1A"/>
    <w:rsid w:val="00E16FDF"/>
    <w:rsid w:val="00E1774A"/>
    <w:rsid w:val="00E210B9"/>
    <w:rsid w:val="00E21160"/>
    <w:rsid w:val="00E2127F"/>
    <w:rsid w:val="00E2339A"/>
    <w:rsid w:val="00E240BD"/>
    <w:rsid w:val="00E25E18"/>
    <w:rsid w:val="00E26D77"/>
    <w:rsid w:val="00E31344"/>
    <w:rsid w:val="00E31581"/>
    <w:rsid w:val="00E328A8"/>
    <w:rsid w:val="00E33374"/>
    <w:rsid w:val="00E334E4"/>
    <w:rsid w:val="00E34136"/>
    <w:rsid w:val="00E34193"/>
    <w:rsid w:val="00E344CA"/>
    <w:rsid w:val="00E357FB"/>
    <w:rsid w:val="00E35A5F"/>
    <w:rsid w:val="00E36787"/>
    <w:rsid w:val="00E36F91"/>
    <w:rsid w:val="00E37159"/>
    <w:rsid w:val="00E37FCB"/>
    <w:rsid w:val="00E40C91"/>
    <w:rsid w:val="00E40D3A"/>
    <w:rsid w:val="00E41631"/>
    <w:rsid w:val="00E4167D"/>
    <w:rsid w:val="00E41ACD"/>
    <w:rsid w:val="00E41D8D"/>
    <w:rsid w:val="00E41DF6"/>
    <w:rsid w:val="00E42678"/>
    <w:rsid w:val="00E43110"/>
    <w:rsid w:val="00E4336F"/>
    <w:rsid w:val="00E4354E"/>
    <w:rsid w:val="00E43A3F"/>
    <w:rsid w:val="00E43E43"/>
    <w:rsid w:val="00E43ED5"/>
    <w:rsid w:val="00E440C5"/>
    <w:rsid w:val="00E4486A"/>
    <w:rsid w:val="00E448D6"/>
    <w:rsid w:val="00E44D08"/>
    <w:rsid w:val="00E45BF4"/>
    <w:rsid w:val="00E4615D"/>
    <w:rsid w:val="00E462E8"/>
    <w:rsid w:val="00E464A6"/>
    <w:rsid w:val="00E47039"/>
    <w:rsid w:val="00E47112"/>
    <w:rsid w:val="00E4748E"/>
    <w:rsid w:val="00E47598"/>
    <w:rsid w:val="00E50194"/>
    <w:rsid w:val="00E508B7"/>
    <w:rsid w:val="00E50F51"/>
    <w:rsid w:val="00E51F8A"/>
    <w:rsid w:val="00E53279"/>
    <w:rsid w:val="00E536E3"/>
    <w:rsid w:val="00E53AB0"/>
    <w:rsid w:val="00E54E44"/>
    <w:rsid w:val="00E55E73"/>
    <w:rsid w:val="00E55F0A"/>
    <w:rsid w:val="00E561C9"/>
    <w:rsid w:val="00E570F7"/>
    <w:rsid w:val="00E57A19"/>
    <w:rsid w:val="00E603BB"/>
    <w:rsid w:val="00E60C81"/>
    <w:rsid w:val="00E61671"/>
    <w:rsid w:val="00E618CE"/>
    <w:rsid w:val="00E61B23"/>
    <w:rsid w:val="00E61D67"/>
    <w:rsid w:val="00E62F99"/>
    <w:rsid w:val="00E630A8"/>
    <w:rsid w:val="00E6322C"/>
    <w:rsid w:val="00E63AEF"/>
    <w:rsid w:val="00E642FD"/>
    <w:rsid w:val="00E64FCA"/>
    <w:rsid w:val="00E6548B"/>
    <w:rsid w:val="00E65CDD"/>
    <w:rsid w:val="00E66A3C"/>
    <w:rsid w:val="00E67054"/>
    <w:rsid w:val="00E6713E"/>
    <w:rsid w:val="00E67416"/>
    <w:rsid w:val="00E70F93"/>
    <w:rsid w:val="00E71B21"/>
    <w:rsid w:val="00E734E1"/>
    <w:rsid w:val="00E73B48"/>
    <w:rsid w:val="00E73FC9"/>
    <w:rsid w:val="00E74A7E"/>
    <w:rsid w:val="00E76289"/>
    <w:rsid w:val="00E763F8"/>
    <w:rsid w:val="00E8003A"/>
    <w:rsid w:val="00E80F2F"/>
    <w:rsid w:val="00E81976"/>
    <w:rsid w:val="00E81F39"/>
    <w:rsid w:val="00E826EF"/>
    <w:rsid w:val="00E83E43"/>
    <w:rsid w:val="00E83E47"/>
    <w:rsid w:val="00E84612"/>
    <w:rsid w:val="00E84AFF"/>
    <w:rsid w:val="00E853B1"/>
    <w:rsid w:val="00E85B2E"/>
    <w:rsid w:val="00E85B74"/>
    <w:rsid w:val="00E86537"/>
    <w:rsid w:val="00E866F3"/>
    <w:rsid w:val="00E909E5"/>
    <w:rsid w:val="00E910E8"/>
    <w:rsid w:val="00E91D1E"/>
    <w:rsid w:val="00E930A6"/>
    <w:rsid w:val="00E933AA"/>
    <w:rsid w:val="00E94A79"/>
    <w:rsid w:val="00E9502E"/>
    <w:rsid w:val="00E95ABE"/>
    <w:rsid w:val="00E95B32"/>
    <w:rsid w:val="00E95FE0"/>
    <w:rsid w:val="00E96146"/>
    <w:rsid w:val="00E96343"/>
    <w:rsid w:val="00E965D2"/>
    <w:rsid w:val="00E97B4B"/>
    <w:rsid w:val="00E97BCB"/>
    <w:rsid w:val="00E97C96"/>
    <w:rsid w:val="00EA0660"/>
    <w:rsid w:val="00EA095D"/>
    <w:rsid w:val="00EA10A8"/>
    <w:rsid w:val="00EA271A"/>
    <w:rsid w:val="00EA2A48"/>
    <w:rsid w:val="00EA334A"/>
    <w:rsid w:val="00EA387F"/>
    <w:rsid w:val="00EA5FF7"/>
    <w:rsid w:val="00EA7123"/>
    <w:rsid w:val="00EA7C91"/>
    <w:rsid w:val="00EA7E0D"/>
    <w:rsid w:val="00EB018A"/>
    <w:rsid w:val="00EB0318"/>
    <w:rsid w:val="00EB13CB"/>
    <w:rsid w:val="00EB250E"/>
    <w:rsid w:val="00EB26CF"/>
    <w:rsid w:val="00EB2A42"/>
    <w:rsid w:val="00EB2EFA"/>
    <w:rsid w:val="00EB5DF0"/>
    <w:rsid w:val="00EB6786"/>
    <w:rsid w:val="00EB749F"/>
    <w:rsid w:val="00EC0217"/>
    <w:rsid w:val="00EC1E59"/>
    <w:rsid w:val="00EC23C2"/>
    <w:rsid w:val="00EC2B81"/>
    <w:rsid w:val="00EC2D87"/>
    <w:rsid w:val="00EC3A8D"/>
    <w:rsid w:val="00EC412D"/>
    <w:rsid w:val="00EC45A5"/>
    <w:rsid w:val="00EC462C"/>
    <w:rsid w:val="00EC501C"/>
    <w:rsid w:val="00EC5C6A"/>
    <w:rsid w:val="00EC7B0C"/>
    <w:rsid w:val="00EC7E34"/>
    <w:rsid w:val="00EC7FAA"/>
    <w:rsid w:val="00ED092A"/>
    <w:rsid w:val="00ED0AAD"/>
    <w:rsid w:val="00ED1A6E"/>
    <w:rsid w:val="00ED2AA7"/>
    <w:rsid w:val="00ED3021"/>
    <w:rsid w:val="00ED365F"/>
    <w:rsid w:val="00ED3F6B"/>
    <w:rsid w:val="00ED4F4D"/>
    <w:rsid w:val="00ED6143"/>
    <w:rsid w:val="00ED6165"/>
    <w:rsid w:val="00ED67B6"/>
    <w:rsid w:val="00ED6A98"/>
    <w:rsid w:val="00ED79C9"/>
    <w:rsid w:val="00EE0284"/>
    <w:rsid w:val="00EE0E7C"/>
    <w:rsid w:val="00EE11F4"/>
    <w:rsid w:val="00EE13E2"/>
    <w:rsid w:val="00EE181E"/>
    <w:rsid w:val="00EE1CCB"/>
    <w:rsid w:val="00EE24BA"/>
    <w:rsid w:val="00EE2808"/>
    <w:rsid w:val="00EE2964"/>
    <w:rsid w:val="00EE29D8"/>
    <w:rsid w:val="00EE2CFD"/>
    <w:rsid w:val="00EE415D"/>
    <w:rsid w:val="00EE42F5"/>
    <w:rsid w:val="00EE4D88"/>
    <w:rsid w:val="00EE5237"/>
    <w:rsid w:val="00EE55B4"/>
    <w:rsid w:val="00EE5ADB"/>
    <w:rsid w:val="00EE72DF"/>
    <w:rsid w:val="00EF05AD"/>
    <w:rsid w:val="00EF14B0"/>
    <w:rsid w:val="00EF17C1"/>
    <w:rsid w:val="00EF1A02"/>
    <w:rsid w:val="00EF1BAE"/>
    <w:rsid w:val="00EF1E51"/>
    <w:rsid w:val="00EF1F44"/>
    <w:rsid w:val="00EF22AF"/>
    <w:rsid w:val="00EF24FD"/>
    <w:rsid w:val="00EF2A86"/>
    <w:rsid w:val="00EF2C0E"/>
    <w:rsid w:val="00EF3D23"/>
    <w:rsid w:val="00EF4723"/>
    <w:rsid w:val="00EF57B2"/>
    <w:rsid w:val="00EF5BC1"/>
    <w:rsid w:val="00EF6E39"/>
    <w:rsid w:val="00EF7477"/>
    <w:rsid w:val="00EF7AE1"/>
    <w:rsid w:val="00F005AD"/>
    <w:rsid w:val="00F01227"/>
    <w:rsid w:val="00F01314"/>
    <w:rsid w:val="00F013C2"/>
    <w:rsid w:val="00F02FE3"/>
    <w:rsid w:val="00F03724"/>
    <w:rsid w:val="00F03D3F"/>
    <w:rsid w:val="00F042D3"/>
    <w:rsid w:val="00F04813"/>
    <w:rsid w:val="00F05734"/>
    <w:rsid w:val="00F05A0E"/>
    <w:rsid w:val="00F06369"/>
    <w:rsid w:val="00F0659A"/>
    <w:rsid w:val="00F06B0F"/>
    <w:rsid w:val="00F07314"/>
    <w:rsid w:val="00F074A0"/>
    <w:rsid w:val="00F101BB"/>
    <w:rsid w:val="00F10596"/>
    <w:rsid w:val="00F11464"/>
    <w:rsid w:val="00F114B9"/>
    <w:rsid w:val="00F11A5D"/>
    <w:rsid w:val="00F122D1"/>
    <w:rsid w:val="00F12836"/>
    <w:rsid w:val="00F135AC"/>
    <w:rsid w:val="00F14262"/>
    <w:rsid w:val="00F144CB"/>
    <w:rsid w:val="00F14521"/>
    <w:rsid w:val="00F14533"/>
    <w:rsid w:val="00F1462F"/>
    <w:rsid w:val="00F15009"/>
    <w:rsid w:val="00F150D5"/>
    <w:rsid w:val="00F15F84"/>
    <w:rsid w:val="00F16C3B"/>
    <w:rsid w:val="00F1728F"/>
    <w:rsid w:val="00F172DD"/>
    <w:rsid w:val="00F1754F"/>
    <w:rsid w:val="00F178E4"/>
    <w:rsid w:val="00F20424"/>
    <w:rsid w:val="00F208B1"/>
    <w:rsid w:val="00F20F0D"/>
    <w:rsid w:val="00F216C0"/>
    <w:rsid w:val="00F223AC"/>
    <w:rsid w:val="00F22488"/>
    <w:rsid w:val="00F22B3E"/>
    <w:rsid w:val="00F22BDF"/>
    <w:rsid w:val="00F2367D"/>
    <w:rsid w:val="00F24583"/>
    <w:rsid w:val="00F249E1"/>
    <w:rsid w:val="00F24CC3"/>
    <w:rsid w:val="00F251BF"/>
    <w:rsid w:val="00F254E8"/>
    <w:rsid w:val="00F2554A"/>
    <w:rsid w:val="00F25F8D"/>
    <w:rsid w:val="00F2611D"/>
    <w:rsid w:val="00F26434"/>
    <w:rsid w:val="00F26C73"/>
    <w:rsid w:val="00F26DF9"/>
    <w:rsid w:val="00F27F7A"/>
    <w:rsid w:val="00F30E08"/>
    <w:rsid w:val="00F3306A"/>
    <w:rsid w:val="00F33174"/>
    <w:rsid w:val="00F3345C"/>
    <w:rsid w:val="00F337D2"/>
    <w:rsid w:val="00F3407F"/>
    <w:rsid w:val="00F36100"/>
    <w:rsid w:val="00F36A9B"/>
    <w:rsid w:val="00F37661"/>
    <w:rsid w:val="00F37711"/>
    <w:rsid w:val="00F4086F"/>
    <w:rsid w:val="00F4186D"/>
    <w:rsid w:val="00F421F0"/>
    <w:rsid w:val="00F42362"/>
    <w:rsid w:val="00F424A3"/>
    <w:rsid w:val="00F42AAB"/>
    <w:rsid w:val="00F43DB5"/>
    <w:rsid w:val="00F43E48"/>
    <w:rsid w:val="00F445B2"/>
    <w:rsid w:val="00F45706"/>
    <w:rsid w:val="00F46E50"/>
    <w:rsid w:val="00F4703A"/>
    <w:rsid w:val="00F501FF"/>
    <w:rsid w:val="00F50DC3"/>
    <w:rsid w:val="00F51254"/>
    <w:rsid w:val="00F51DF9"/>
    <w:rsid w:val="00F52D16"/>
    <w:rsid w:val="00F53E5C"/>
    <w:rsid w:val="00F5472F"/>
    <w:rsid w:val="00F54B8B"/>
    <w:rsid w:val="00F550C1"/>
    <w:rsid w:val="00F55831"/>
    <w:rsid w:val="00F55966"/>
    <w:rsid w:val="00F56146"/>
    <w:rsid w:val="00F5651E"/>
    <w:rsid w:val="00F5733D"/>
    <w:rsid w:val="00F5740E"/>
    <w:rsid w:val="00F602F4"/>
    <w:rsid w:val="00F60975"/>
    <w:rsid w:val="00F60B45"/>
    <w:rsid w:val="00F624B4"/>
    <w:rsid w:val="00F625DB"/>
    <w:rsid w:val="00F62EE0"/>
    <w:rsid w:val="00F6374B"/>
    <w:rsid w:val="00F6472C"/>
    <w:rsid w:val="00F648D6"/>
    <w:rsid w:val="00F659D0"/>
    <w:rsid w:val="00F66A41"/>
    <w:rsid w:val="00F6755E"/>
    <w:rsid w:val="00F679F4"/>
    <w:rsid w:val="00F717C1"/>
    <w:rsid w:val="00F728E1"/>
    <w:rsid w:val="00F73F3D"/>
    <w:rsid w:val="00F75B1C"/>
    <w:rsid w:val="00F75E19"/>
    <w:rsid w:val="00F760DE"/>
    <w:rsid w:val="00F76F13"/>
    <w:rsid w:val="00F7791A"/>
    <w:rsid w:val="00F77F66"/>
    <w:rsid w:val="00F77FE3"/>
    <w:rsid w:val="00F80225"/>
    <w:rsid w:val="00F80DC8"/>
    <w:rsid w:val="00F81109"/>
    <w:rsid w:val="00F82325"/>
    <w:rsid w:val="00F83FCF"/>
    <w:rsid w:val="00F840B1"/>
    <w:rsid w:val="00F841DF"/>
    <w:rsid w:val="00F849E9"/>
    <w:rsid w:val="00F876E9"/>
    <w:rsid w:val="00F87952"/>
    <w:rsid w:val="00F90B21"/>
    <w:rsid w:val="00F91294"/>
    <w:rsid w:val="00F92187"/>
    <w:rsid w:val="00F9234C"/>
    <w:rsid w:val="00F92430"/>
    <w:rsid w:val="00F9316C"/>
    <w:rsid w:val="00F96072"/>
    <w:rsid w:val="00F96AE6"/>
    <w:rsid w:val="00F97297"/>
    <w:rsid w:val="00F972DD"/>
    <w:rsid w:val="00F975BE"/>
    <w:rsid w:val="00FA10AA"/>
    <w:rsid w:val="00FA139B"/>
    <w:rsid w:val="00FA14ED"/>
    <w:rsid w:val="00FA19D0"/>
    <w:rsid w:val="00FA2A17"/>
    <w:rsid w:val="00FA2C7B"/>
    <w:rsid w:val="00FA3C1B"/>
    <w:rsid w:val="00FA3C82"/>
    <w:rsid w:val="00FA3DC6"/>
    <w:rsid w:val="00FA4DFD"/>
    <w:rsid w:val="00FA5C2F"/>
    <w:rsid w:val="00FA60BB"/>
    <w:rsid w:val="00FA6581"/>
    <w:rsid w:val="00FA65D5"/>
    <w:rsid w:val="00FB3438"/>
    <w:rsid w:val="00FB42C3"/>
    <w:rsid w:val="00FB537F"/>
    <w:rsid w:val="00FB6316"/>
    <w:rsid w:val="00FB649C"/>
    <w:rsid w:val="00FB64D4"/>
    <w:rsid w:val="00FB669D"/>
    <w:rsid w:val="00FB6AA8"/>
    <w:rsid w:val="00FB70F2"/>
    <w:rsid w:val="00FB7373"/>
    <w:rsid w:val="00FB740D"/>
    <w:rsid w:val="00FB7CD1"/>
    <w:rsid w:val="00FC117E"/>
    <w:rsid w:val="00FC1E47"/>
    <w:rsid w:val="00FC2842"/>
    <w:rsid w:val="00FC3D44"/>
    <w:rsid w:val="00FC4C09"/>
    <w:rsid w:val="00FC5C92"/>
    <w:rsid w:val="00FC616A"/>
    <w:rsid w:val="00FC6726"/>
    <w:rsid w:val="00FC6A2D"/>
    <w:rsid w:val="00FC7640"/>
    <w:rsid w:val="00FC7A78"/>
    <w:rsid w:val="00FD0B29"/>
    <w:rsid w:val="00FD10B8"/>
    <w:rsid w:val="00FD185B"/>
    <w:rsid w:val="00FD192C"/>
    <w:rsid w:val="00FD2952"/>
    <w:rsid w:val="00FD30D5"/>
    <w:rsid w:val="00FD4449"/>
    <w:rsid w:val="00FD4486"/>
    <w:rsid w:val="00FD4701"/>
    <w:rsid w:val="00FD49E6"/>
    <w:rsid w:val="00FD4F9A"/>
    <w:rsid w:val="00FD5D16"/>
    <w:rsid w:val="00FD5F49"/>
    <w:rsid w:val="00FD6FF6"/>
    <w:rsid w:val="00FE023B"/>
    <w:rsid w:val="00FE0B40"/>
    <w:rsid w:val="00FE1144"/>
    <w:rsid w:val="00FE206E"/>
    <w:rsid w:val="00FE3072"/>
    <w:rsid w:val="00FE5E20"/>
    <w:rsid w:val="00FE744D"/>
    <w:rsid w:val="00FE745E"/>
    <w:rsid w:val="00FE74C8"/>
    <w:rsid w:val="00FE7540"/>
    <w:rsid w:val="00FE760C"/>
    <w:rsid w:val="00FE79BF"/>
    <w:rsid w:val="00FF0104"/>
    <w:rsid w:val="00FF0929"/>
    <w:rsid w:val="00FF0E1B"/>
    <w:rsid w:val="00FF0E37"/>
    <w:rsid w:val="00FF198B"/>
    <w:rsid w:val="00FF2AA7"/>
    <w:rsid w:val="00FF38E4"/>
    <w:rsid w:val="00FF5CE9"/>
    <w:rsid w:val="00FF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5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FC"/>
    <w:rPr>
      <w:rFonts w:ascii="Arial" w:eastAsia="Calibri" w:hAnsi="Arial" w:cs="Arial"/>
      <w:sz w:val="22"/>
      <w:szCs w:val="22"/>
    </w:rPr>
  </w:style>
  <w:style w:type="paragraph" w:styleId="Heading1">
    <w:name w:val="heading 1"/>
    <w:basedOn w:val="Normal"/>
    <w:qFormat/>
    <w:rsid w:val="00E62F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425B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84434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84434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semiHidden/>
    <w:rsid w:val="001A6D8C"/>
    <w:rPr>
      <w:sz w:val="20"/>
      <w:szCs w:val="20"/>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link w:val="FootnoteText"/>
    <w:semiHidden/>
    <w:locked/>
    <w:rsid w:val="001A6D8C"/>
    <w:rPr>
      <w:rFonts w:ascii="Arial" w:eastAsia="Calibri" w:hAnsi="Arial" w:cs="Arial"/>
      <w:lang w:val="en-US" w:eastAsia="en-US" w:bidi="ar-SA"/>
    </w:rPr>
  </w:style>
  <w:style w:type="character" w:styleId="FootnoteReference">
    <w:name w:val="footnote reference"/>
    <w:aliases w:val="BVI fnr"/>
    <w:semiHidden/>
    <w:rsid w:val="001A6D8C"/>
    <w:rPr>
      <w:rFonts w:cs="Times New Roman"/>
      <w:vertAlign w:val="superscript"/>
    </w:rPr>
  </w:style>
  <w:style w:type="character" w:styleId="CommentReference">
    <w:name w:val="annotation reference"/>
    <w:uiPriority w:val="99"/>
    <w:rsid w:val="000355D7"/>
    <w:rPr>
      <w:sz w:val="16"/>
      <w:szCs w:val="16"/>
    </w:rPr>
  </w:style>
  <w:style w:type="paragraph" w:styleId="CommentText">
    <w:name w:val="annotation text"/>
    <w:basedOn w:val="Normal"/>
    <w:semiHidden/>
    <w:rsid w:val="000355D7"/>
    <w:rPr>
      <w:sz w:val="20"/>
      <w:szCs w:val="20"/>
    </w:rPr>
  </w:style>
  <w:style w:type="paragraph" w:styleId="CommentSubject">
    <w:name w:val="annotation subject"/>
    <w:basedOn w:val="CommentText"/>
    <w:next w:val="CommentText"/>
    <w:semiHidden/>
    <w:rsid w:val="000355D7"/>
    <w:rPr>
      <w:b/>
      <w:bCs/>
    </w:rPr>
  </w:style>
  <w:style w:type="paragraph" w:styleId="BalloonText">
    <w:name w:val="Balloon Text"/>
    <w:basedOn w:val="Normal"/>
    <w:semiHidden/>
    <w:rsid w:val="000355D7"/>
    <w:rPr>
      <w:rFonts w:ascii="Tahoma" w:hAnsi="Tahoma" w:cs="Tahoma"/>
      <w:sz w:val="16"/>
      <w:szCs w:val="16"/>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3 indent2 Char,b"/>
    <w:basedOn w:val="Normal"/>
    <w:link w:val="BodyTextChar"/>
    <w:rsid w:val="00170831"/>
    <w:pPr>
      <w:jc w:val="both"/>
    </w:pPr>
    <w:rPr>
      <w:sz w:val="24"/>
      <w:szCs w:val="24"/>
      <w:lang w:val="sl-SI"/>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link w:val="BodyText"/>
    <w:locked/>
    <w:rsid w:val="00170831"/>
    <w:rPr>
      <w:rFonts w:ascii="Arial" w:eastAsia="Calibri" w:hAnsi="Arial" w:cs="Arial"/>
      <w:sz w:val="24"/>
      <w:szCs w:val="24"/>
      <w:lang w:val="sl-SI" w:eastAsia="en-US" w:bidi="ar-SA"/>
    </w:rPr>
  </w:style>
  <w:style w:type="paragraph" w:customStyle="1" w:styleId="Zkladntext2">
    <w:name w:val="Základní text 2"/>
    <w:basedOn w:val="Normal"/>
    <w:next w:val="Normal"/>
    <w:rsid w:val="00080F17"/>
    <w:pPr>
      <w:autoSpaceDE w:val="0"/>
      <w:autoSpaceDN w:val="0"/>
      <w:adjustRightInd w:val="0"/>
    </w:pPr>
    <w:rPr>
      <w:rFonts w:eastAsia="Times New Roman" w:cs="Times New Roman"/>
      <w:sz w:val="24"/>
      <w:szCs w:val="24"/>
    </w:rPr>
  </w:style>
  <w:style w:type="paragraph" w:styleId="BodyText2">
    <w:name w:val="Body Text 2"/>
    <w:basedOn w:val="Normal"/>
    <w:rsid w:val="001012D8"/>
    <w:pPr>
      <w:spacing w:after="120" w:line="480" w:lineRule="auto"/>
    </w:pPr>
    <w:rPr>
      <w:rFonts w:ascii="Times New Roman" w:eastAsia="Times New Roman" w:hAnsi="Times New Roman" w:cs="Times New Roman"/>
      <w:sz w:val="24"/>
      <w:szCs w:val="24"/>
    </w:rPr>
  </w:style>
  <w:style w:type="paragraph" w:styleId="Footer">
    <w:name w:val="footer"/>
    <w:basedOn w:val="Normal"/>
    <w:rsid w:val="001012D8"/>
    <w:pPr>
      <w:tabs>
        <w:tab w:val="center" w:pos="4320"/>
        <w:tab w:val="right" w:pos="8640"/>
      </w:tabs>
    </w:pPr>
  </w:style>
  <w:style w:type="character" w:styleId="PageNumber">
    <w:name w:val="page number"/>
    <w:basedOn w:val="DefaultParagraphFont"/>
    <w:rsid w:val="001012D8"/>
  </w:style>
  <w:style w:type="paragraph" w:styleId="Header">
    <w:name w:val="header"/>
    <w:basedOn w:val="Normal"/>
    <w:rsid w:val="00DC0B06"/>
    <w:pPr>
      <w:tabs>
        <w:tab w:val="center" w:pos="4536"/>
        <w:tab w:val="right" w:pos="9072"/>
      </w:tabs>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FE745E"/>
    <w:pPr>
      <w:ind w:left="720"/>
      <w:contextualSpacing/>
    </w:pPr>
    <w:rPr>
      <w:rFonts w:ascii="Times New Roman" w:eastAsia="Times New Roman" w:hAnsi="Times New Roman" w:cs="Times New Roman"/>
      <w:sz w:val="24"/>
      <w:szCs w:val="24"/>
      <w:lang w:val="sr-Cyrl-CS" w:eastAsia="sr-Cyrl-CS"/>
    </w:rPr>
  </w:style>
  <w:style w:type="character" w:styleId="Hyperlink">
    <w:name w:val="Hyperlink"/>
    <w:uiPriority w:val="99"/>
    <w:rsid w:val="00604330"/>
    <w:rPr>
      <w:color w:val="0000FF"/>
      <w:u w:val="single"/>
    </w:rPr>
  </w:style>
  <w:style w:type="character" w:styleId="Emphasis">
    <w:name w:val="Emphasis"/>
    <w:uiPriority w:val="20"/>
    <w:qFormat/>
    <w:rsid w:val="00604330"/>
    <w:rPr>
      <w:i/>
      <w:iCs/>
    </w:rPr>
  </w:style>
  <w:style w:type="character" w:customStyle="1" w:styleId="hps">
    <w:name w:val="hps"/>
    <w:basedOn w:val="DefaultParagraphFont"/>
    <w:rsid w:val="00B04D2F"/>
  </w:style>
  <w:style w:type="paragraph" w:customStyle="1" w:styleId="Normal1">
    <w:name w:val="Normal1"/>
    <w:basedOn w:val="Normal"/>
    <w:link w:val="normalChar"/>
    <w:rsid w:val="00B3450D"/>
    <w:pPr>
      <w:spacing w:before="100" w:beforeAutospacing="1" w:after="100" w:afterAutospacing="1"/>
    </w:pPr>
    <w:rPr>
      <w:rFonts w:eastAsia="Times New Roman"/>
    </w:rPr>
  </w:style>
  <w:style w:type="character" w:customStyle="1" w:styleId="normalChar">
    <w:name w:val="normal Char"/>
    <w:link w:val="Normal1"/>
    <w:rsid w:val="00B3450D"/>
    <w:rPr>
      <w:rFonts w:ascii="Arial" w:hAnsi="Arial" w:cs="Arial"/>
      <w:sz w:val="22"/>
      <w:szCs w:val="22"/>
      <w:lang w:val="en-US" w:eastAsia="en-US" w:bidi="ar-SA"/>
    </w:rPr>
  </w:style>
  <w:style w:type="table" w:styleId="TableProfessional">
    <w:name w:val="Table Professional"/>
    <w:basedOn w:val="TableNormal"/>
    <w:rsid w:val="00B3450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il1tekst">
    <w:name w:val="stil_1tekst"/>
    <w:basedOn w:val="Normal"/>
    <w:rsid w:val="00E930A6"/>
    <w:pPr>
      <w:spacing w:before="100" w:beforeAutospacing="1" w:after="100" w:afterAutospacing="1"/>
    </w:pPr>
    <w:rPr>
      <w:rFonts w:ascii="Times New Roman" w:eastAsia="Times New Roman" w:hAnsi="Times New Roman" w:cs="Times New Roman"/>
      <w:sz w:val="24"/>
      <w:szCs w:val="24"/>
    </w:rPr>
  </w:style>
  <w:style w:type="character" w:styleId="Strong">
    <w:name w:val="Strong"/>
    <w:qFormat/>
    <w:rsid w:val="00E62F99"/>
    <w:rPr>
      <w:b/>
      <w:bCs/>
    </w:rPr>
  </w:style>
  <w:style w:type="paragraph" w:styleId="Revision">
    <w:name w:val="Revision"/>
    <w:hidden/>
    <w:uiPriority w:val="99"/>
    <w:semiHidden/>
    <w:rsid w:val="00812EC4"/>
    <w:rPr>
      <w:rFonts w:ascii="Arial" w:eastAsia="Calibri" w:hAnsi="Arial" w:cs="Arial"/>
      <w:sz w:val="22"/>
      <w:szCs w:val="22"/>
    </w:rPr>
  </w:style>
  <w:style w:type="character" w:customStyle="1" w:styleId="Heading2Char">
    <w:name w:val="Heading 2 Char"/>
    <w:basedOn w:val="DefaultParagraphFont"/>
    <w:link w:val="Heading2"/>
    <w:semiHidden/>
    <w:rsid w:val="00425B2E"/>
    <w:rPr>
      <w:rFonts w:asciiTheme="majorHAnsi" w:eastAsiaTheme="majorEastAsia" w:hAnsiTheme="majorHAnsi" w:cstheme="majorBidi"/>
      <w:b/>
      <w:bCs/>
      <w:color w:val="4F81BD" w:themeColor="accent1"/>
      <w:sz w:val="26"/>
      <w:szCs w:val="26"/>
    </w:rPr>
  </w:style>
  <w:style w:type="character" w:customStyle="1" w:styleId="super">
    <w:name w:val="super"/>
    <w:basedOn w:val="DefaultParagraphFont"/>
    <w:rsid w:val="00425B2E"/>
  </w:style>
  <w:style w:type="paragraph" w:customStyle="1" w:styleId="norm">
    <w:name w:val="norm"/>
    <w:basedOn w:val="Normal"/>
    <w:rsid w:val="009F0509"/>
    <w:pPr>
      <w:spacing w:before="100" w:beforeAutospacing="1" w:after="100" w:afterAutospacing="1"/>
    </w:pPr>
    <w:rPr>
      <w:rFonts w:ascii="Times New Roman" w:eastAsia="Times New Roman" w:hAnsi="Times New Roman" w:cs="Times New Roman"/>
      <w:sz w:val="24"/>
      <w:szCs w:val="24"/>
      <w:lang w:val="sr-Cyrl-CS" w:eastAsia="sr-Cyrl-CS"/>
    </w:rPr>
  </w:style>
  <w:style w:type="paragraph" w:customStyle="1" w:styleId="title-gr-seq-level-1">
    <w:name w:val="title-gr-seq-level-1"/>
    <w:basedOn w:val="Normal"/>
    <w:rsid w:val="001B2ADD"/>
    <w:pPr>
      <w:spacing w:before="100" w:beforeAutospacing="1" w:after="100" w:afterAutospacing="1"/>
    </w:pPr>
    <w:rPr>
      <w:rFonts w:ascii="Times New Roman" w:eastAsia="Times New Roman" w:hAnsi="Times New Roman" w:cs="Times New Roman"/>
      <w:sz w:val="24"/>
      <w:szCs w:val="24"/>
      <w:lang w:val="sr-Cyrl-CS" w:eastAsia="sr-Cyrl-CS"/>
    </w:rPr>
  </w:style>
  <w:style w:type="character" w:customStyle="1" w:styleId="boldface">
    <w:name w:val="boldface"/>
    <w:basedOn w:val="DefaultParagraphFont"/>
    <w:rsid w:val="001B2ADD"/>
  </w:style>
  <w:style w:type="character" w:customStyle="1" w:styleId="FontStyle41">
    <w:name w:val="Font Style41"/>
    <w:rsid w:val="002F19C7"/>
    <w:rPr>
      <w:rFonts w:ascii="Book Antiqua" w:hAnsi="Book Antiqua" w:cs="Book Antiqua"/>
      <w:sz w:val="16"/>
      <w:szCs w:val="16"/>
    </w:rPr>
  </w:style>
  <w:style w:type="paragraph" w:customStyle="1" w:styleId="Propisi">
    <w:name w:val="Propisi"/>
    <w:basedOn w:val="Normal"/>
    <w:link w:val="PropisiChar"/>
    <w:qFormat/>
    <w:rsid w:val="002F19C7"/>
    <w:pPr>
      <w:spacing w:after="300" w:line="360" w:lineRule="auto"/>
      <w:jc w:val="center"/>
      <w:outlineLvl w:val="1"/>
    </w:pPr>
    <w:rPr>
      <w:rFonts w:ascii="Times New Roman" w:eastAsia="Batang" w:hAnsi="Times New Roman" w:cs="Times New Roman"/>
      <w:sz w:val="24"/>
      <w:szCs w:val="24"/>
      <w:lang w:val="sr-Latn-BA" w:eastAsia="ko-KR"/>
    </w:rPr>
  </w:style>
  <w:style w:type="character" w:customStyle="1" w:styleId="PropisiChar">
    <w:name w:val="Propisi Char"/>
    <w:link w:val="Propisi"/>
    <w:rsid w:val="002F19C7"/>
    <w:rPr>
      <w:rFonts w:eastAsia="Batang"/>
      <w:sz w:val="24"/>
      <w:szCs w:val="24"/>
      <w:lang w:val="sr-Latn-BA" w:eastAsia="ko-KR"/>
    </w:rPr>
  </w:style>
  <w:style w:type="paragraph" w:customStyle="1" w:styleId="Normal10">
    <w:name w:val="Normal1"/>
    <w:basedOn w:val="Normal"/>
    <w:uiPriority w:val="99"/>
    <w:rsid w:val="007C6F44"/>
    <w:pPr>
      <w:spacing w:before="100" w:beforeAutospacing="1" w:after="100" w:afterAutospacing="1"/>
    </w:pPr>
    <w:rPr>
      <w:rFonts w:ascii="Times New Roman" w:eastAsia="Times New Roman" w:hAnsi="Times New Roman" w:cs="Times New Roman"/>
      <w:sz w:val="24"/>
      <w:szCs w:val="24"/>
    </w:rPr>
  </w:style>
  <w:style w:type="paragraph" w:customStyle="1" w:styleId="Style23">
    <w:name w:val="Style23"/>
    <w:basedOn w:val="Normal"/>
    <w:uiPriority w:val="99"/>
    <w:rsid w:val="009F350A"/>
    <w:pPr>
      <w:spacing w:line="213" w:lineRule="exact"/>
      <w:ind w:hanging="240"/>
      <w:jc w:val="both"/>
    </w:pPr>
    <w:rPr>
      <w:rFonts w:ascii="Book Antiqua" w:eastAsia="Batang" w:hAnsi="Book Antiqua" w:cs="Times New Roman"/>
      <w:sz w:val="24"/>
      <w:szCs w:val="24"/>
      <w:lang w:val="sr-Latn-BA" w:eastAsia="ko-KR"/>
    </w:rPr>
  </w:style>
  <w:style w:type="character" w:customStyle="1" w:styleId="tw4winMark">
    <w:name w:val="tw4winMark"/>
    <w:rsid w:val="009F350A"/>
    <w:rPr>
      <w:rFonts w:ascii="Courier New" w:hAnsi="Courier New"/>
      <w:vanish/>
      <w:color w:val="800080"/>
      <w:vertAlign w:val="subscript"/>
    </w:rPr>
  </w:style>
  <w:style w:type="paragraph" w:customStyle="1" w:styleId="Style29">
    <w:name w:val="Style29"/>
    <w:basedOn w:val="Normal"/>
    <w:uiPriority w:val="99"/>
    <w:rsid w:val="00011A50"/>
    <w:pPr>
      <w:jc w:val="center"/>
    </w:pPr>
    <w:rPr>
      <w:rFonts w:ascii="Book Antiqua" w:eastAsia="Batang" w:hAnsi="Book Antiqua" w:cs="Times New Roman"/>
      <w:sz w:val="24"/>
      <w:szCs w:val="24"/>
      <w:lang w:val="sr-Latn-BA" w:eastAsia="ko-KR"/>
    </w:rPr>
  </w:style>
  <w:style w:type="paragraph" w:customStyle="1" w:styleId="Style7">
    <w:name w:val="Style7"/>
    <w:basedOn w:val="Normal"/>
    <w:uiPriority w:val="99"/>
    <w:rsid w:val="00C94AD0"/>
    <w:pPr>
      <w:spacing w:after="300" w:line="360" w:lineRule="auto"/>
      <w:jc w:val="center"/>
      <w:outlineLvl w:val="0"/>
    </w:pPr>
    <w:rPr>
      <w:rFonts w:ascii="Times New Roman" w:eastAsia="Batang" w:hAnsi="Times New Roman" w:cs="Times New Roman"/>
      <w:sz w:val="24"/>
      <w:szCs w:val="24"/>
      <w:lang w:val="sr-Cyrl-CS" w:eastAsia="ko-KR"/>
    </w:rPr>
  </w:style>
  <w:style w:type="character" w:customStyle="1" w:styleId="FontStyle37">
    <w:name w:val="Font Style37"/>
    <w:rsid w:val="00C94AD0"/>
    <w:rPr>
      <w:rFonts w:ascii="Book Antiqua" w:hAnsi="Book Antiqua" w:cs="Book Antiqua"/>
      <w:i/>
      <w:iCs/>
      <w:sz w:val="16"/>
      <w:szCs w:val="16"/>
    </w:rPr>
  </w:style>
  <w:style w:type="paragraph" w:customStyle="1" w:styleId="Style10">
    <w:name w:val="Style10"/>
    <w:basedOn w:val="Normal"/>
    <w:uiPriority w:val="99"/>
    <w:rsid w:val="009D7164"/>
    <w:pPr>
      <w:spacing w:line="211" w:lineRule="exact"/>
      <w:jc w:val="both"/>
    </w:pPr>
    <w:rPr>
      <w:rFonts w:ascii="Book Antiqua" w:eastAsia="Batang" w:hAnsi="Book Antiqua" w:cs="Times New Roman"/>
      <w:sz w:val="24"/>
      <w:szCs w:val="24"/>
      <w:lang w:val="sr-Latn-BA" w:eastAsia="ko-KR"/>
    </w:rPr>
  </w:style>
  <w:style w:type="paragraph" w:customStyle="1" w:styleId="Style8">
    <w:name w:val="Style8"/>
    <w:basedOn w:val="Normal"/>
    <w:uiPriority w:val="99"/>
    <w:rsid w:val="00491101"/>
    <w:pPr>
      <w:jc w:val="center"/>
    </w:pPr>
    <w:rPr>
      <w:rFonts w:ascii="Book Antiqua" w:eastAsia="Batang" w:hAnsi="Book Antiqua" w:cs="Times New Roman"/>
      <w:sz w:val="24"/>
      <w:szCs w:val="24"/>
      <w:lang w:val="sr-Latn-BA" w:eastAsia="ko-KR"/>
    </w:rPr>
  </w:style>
  <w:style w:type="paragraph" w:customStyle="1" w:styleId="Style9">
    <w:name w:val="Style9"/>
    <w:basedOn w:val="Normal"/>
    <w:uiPriority w:val="99"/>
    <w:rsid w:val="00491101"/>
    <w:pPr>
      <w:spacing w:line="216" w:lineRule="exact"/>
      <w:jc w:val="both"/>
    </w:pPr>
    <w:rPr>
      <w:rFonts w:ascii="Book Antiqua" w:eastAsia="Batang" w:hAnsi="Book Antiqua" w:cs="Times New Roman"/>
      <w:sz w:val="24"/>
      <w:szCs w:val="24"/>
      <w:lang w:val="sr-Latn-BA" w:eastAsia="ko-KR"/>
    </w:rPr>
  </w:style>
  <w:style w:type="paragraph" w:customStyle="1" w:styleId="Style11">
    <w:name w:val="Style11"/>
    <w:basedOn w:val="Normal"/>
    <w:uiPriority w:val="99"/>
    <w:rsid w:val="00491101"/>
    <w:pPr>
      <w:spacing w:line="181" w:lineRule="exact"/>
      <w:ind w:hanging="216"/>
      <w:jc w:val="both"/>
    </w:pPr>
    <w:rPr>
      <w:rFonts w:ascii="Book Antiqua" w:eastAsia="Batang" w:hAnsi="Book Antiqua" w:cs="Times New Roman"/>
      <w:sz w:val="24"/>
      <w:szCs w:val="24"/>
      <w:lang w:val="sr-Latn-BA" w:eastAsia="ko-KR"/>
    </w:rPr>
  </w:style>
  <w:style w:type="paragraph" w:customStyle="1" w:styleId="Style19">
    <w:name w:val="Style19"/>
    <w:basedOn w:val="Normal"/>
    <w:uiPriority w:val="99"/>
    <w:rsid w:val="00491101"/>
    <w:rPr>
      <w:rFonts w:ascii="Book Antiqua" w:eastAsia="Batang" w:hAnsi="Book Antiqua" w:cs="Times New Roman"/>
      <w:sz w:val="24"/>
      <w:szCs w:val="24"/>
      <w:lang w:val="sr-Latn-BA" w:eastAsia="ko-KR"/>
    </w:rPr>
  </w:style>
  <w:style w:type="character" w:customStyle="1" w:styleId="FontStyle40">
    <w:name w:val="Font Style40"/>
    <w:rsid w:val="00491101"/>
    <w:rPr>
      <w:rFonts w:ascii="Book Antiqua" w:hAnsi="Book Antiqua" w:cs="Book Antiqua"/>
      <w:b/>
      <w:bCs/>
      <w:sz w:val="14"/>
      <w:szCs w:val="14"/>
    </w:rPr>
  </w:style>
  <w:style w:type="character" w:customStyle="1" w:styleId="FontStyle42">
    <w:name w:val="Font Style42"/>
    <w:rsid w:val="00491101"/>
    <w:rPr>
      <w:rFonts w:ascii="Book Antiqua" w:hAnsi="Book Antiqua" w:cs="Book Antiqua"/>
      <w:sz w:val="14"/>
      <w:szCs w:val="14"/>
    </w:rPr>
  </w:style>
  <w:style w:type="paragraph" w:customStyle="1" w:styleId="Style2">
    <w:name w:val="Style2"/>
    <w:basedOn w:val="Normal"/>
    <w:uiPriority w:val="99"/>
    <w:rsid w:val="0018051E"/>
    <w:pPr>
      <w:spacing w:line="211" w:lineRule="exact"/>
      <w:jc w:val="center"/>
    </w:pPr>
    <w:rPr>
      <w:rFonts w:ascii="Book Antiqua" w:eastAsia="Batang" w:hAnsi="Book Antiqua" w:cs="Times New Roman"/>
      <w:sz w:val="24"/>
      <w:szCs w:val="24"/>
      <w:lang w:val="sr-Latn-BA" w:eastAsia="ko-KR"/>
    </w:rPr>
  </w:style>
  <w:style w:type="paragraph" w:customStyle="1" w:styleId="Style6">
    <w:name w:val="Style6"/>
    <w:basedOn w:val="Normal"/>
    <w:rsid w:val="008D5077"/>
    <w:pPr>
      <w:spacing w:line="216" w:lineRule="exact"/>
      <w:ind w:hanging="322"/>
      <w:jc w:val="both"/>
    </w:pPr>
    <w:rPr>
      <w:rFonts w:ascii="Book Antiqua" w:eastAsia="Batang" w:hAnsi="Book Antiqua" w:cs="Times New Roman"/>
      <w:sz w:val="24"/>
      <w:szCs w:val="24"/>
      <w:lang w:val="sr-Latn-BA" w:eastAsia="ko-KR"/>
    </w:rPr>
  </w:style>
  <w:style w:type="character" w:customStyle="1" w:styleId="FontStyle36">
    <w:name w:val="Font Style36"/>
    <w:rsid w:val="00627EAE"/>
    <w:rPr>
      <w:rFonts w:ascii="Book Antiqua" w:hAnsi="Book Antiqua" w:cs="Book Antiqua"/>
      <w:b/>
      <w:bCs/>
      <w:sz w:val="16"/>
      <w:szCs w:val="16"/>
    </w:rPr>
  </w:style>
  <w:style w:type="paragraph" w:customStyle="1" w:styleId="Style1">
    <w:name w:val="Style1"/>
    <w:basedOn w:val="Normal"/>
    <w:rsid w:val="000311B1"/>
    <w:rPr>
      <w:rFonts w:ascii="Book Antiqua" w:eastAsia="Batang" w:hAnsi="Book Antiqua" w:cs="Times New Roman"/>
      <w:sz w:val="24"/>
      <w:szCs w:val="24"/>
      <w:lang w:val="sr-Latn-BA" w:eastAsia="ko-KR"/>
    </w:rPr>
  </w:style>
  <w:style w:type="character" w:customStyle="1" w:styleId="FontStyle39">
    <w:name w:val="Font Style39"/>
    <w:rsid w:val="000311B1"/>
    <w:rPr>
      <w:rFonts w:ascii="Book Antiqua" w:hAnsi="Book Antiqua" w:cs="Book Antiqua"/>
      <w:i/>
      <w:iCs/>
      <w:sz w:val="14"/>
      <w:szCs w:val="14"/>
    </w:rPr>
  </w:style>
  <w:style w:type="paragraph" w:customStyle="1" w:styleId="Style31">
    <w:name w:val="Style31"/>
    <w:basedOn w:val="Normal"/>
    <w:uiPriority w:val="99"/>
    <w:rsid w:val="00D66E71"/>
    <w:pPr>
      <w:spacing w:line="192" w:lineRule="exact"/>
      <w:ind w:hanging="245"/>
    </w:pPr>
    <w:rPr>
      <w:rFonts w:ascii="Book Antiqua" w:eastAsia="Batang" w:hAnsi="Book Antiqua" w:cs="Times New Roman"/>
      <w:sz w:val="24"/>
      <w:szCs w:val="24"/>
      <w:lang w:val="sr-Latn-BA" w:eastAsia="ko-KR"/>
    </w:rPr>
  </w:style>
  <w:style w:type="paragraph" w:styleId="DocumentMap">
    <w:name w:val="Document Map"/>
    <w:basedOn w:val="Normal"/>
    <w:link w:val="DocumentMapChar"/>
    <w:rsid w:val="0054032E"/>
    <w:rPr>
      <w:rFonts w:ascii="Tahoma" w:hAnsi="Tahoma" w:cs="Tahoma"/>
      <w:sz w:val="16"/>
      <w:szCs w:val="16"/>
    </w:rPr>
  </w:style>
  <w:style w:type="character" w:customStyle="1" w:styleId="DocumentMapChar">
    <w:name w:val="Document Map Char"/>
    <w:basedOn w:val="DefaultParagraphFont"/>
    <w:link w:val="DocumentMap"/>
    <w:rsid w:val="0054032E"/>
    <w:rPr>
      <w:rFonts w:ascii="Tahoma" w:eastAsia="Calibri" w:hAnsi="Tahoma" w:cs="Tahoma"/>
      <w:sz w:val="16"/>
      <w:szCs w:val="16"/>
    </w:rPr>
  </w:style>
  <w:style w:type="character" w:customStyle="1" w:styleId="Heading4Char">
    <w:name w:val="Heading 4 Char"/>
    <w:basedOn w:val="DefaultParagraphFont"/>
    <w:link w:val="Heading4"/>
    <w:semiHidden/>
    <w:rsid w:val="0084434A"/>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semiHidden/>
    <w:rsid w:val="0084434A"/>
    <w:rPr>
      <w:rFonts w:asciiTheme="majorHAnsi" w:eastAsiaTheme="majorEastAsia" w:hAnsiTheme="majorHAnsi" w:cstheme="majorBidi"/>
      <w:i/>
      <w:iCs/>
      <w:color w:val="243F60" w:themeColor="accent1" w:themeShade="7F"/>
      <w:sz w:val="22"/>
      <w:szCs w:val="22"/>
    </w:rPr>
  </w:style>
  <w:style w:type="paragraph" w:customStyle="1" w:styleId="podnaslovpropisa">
    <w:name w:val="podnaslovpropisa"/>
    <w:basedOn w:val="Normal"/>
    <w:rsid w:val="0084434A"/>
    <w:pPr>
      <w:spacing w:before="100" w:beforeAutospacing="1" w:after="100" w:afterAutospacing="1"/>
    </w:pPr>
    <w:rPr>
      <w:rFonts w:ascii="Times New Roman" w:eastAsia="Times New Roman" w:hAnsi="Times New Roman" w:cs="Times New Roman"/>
      <w:sz w:val="24"/>
      <w:szCs w:val="24"/>
      <w:lang w:val="sr-Cyrl-CS" w:eastAsia="sr-Cyrl-CS"/>
    </w:rPr>
  </w:style>
  <w:style w:type="paragraph" w:customStyle="1" w:styleId="t-9-8">
    <w:name w:val="t-9-8"/>
    <w:basedOn w:val="Normal"/>
    <w:uiPriority w:val="99"/>
    <w:rsid w:val="006315C2"/>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8B7162"/>
    <w:pPr>
      <w:spacing w:before="100" w:beforeAutospacing="1" w:after="100" w:afterAutospacing="1"/>
    </w:pPr>
    <w:rPr>
      <w:rFonts w:ascii="Times New Roman" w:eastAsia="Times New Roman" w:hAnsi="Times New Roman" w:cs="Times New Roman"/>
      <w:sz w:val="24"/>
      <w:szCs w:val="24"/>
    </w:rPr>
  </w:style>
  <w:style w:type="paragraph" w:customStyle="1" w:styleId="title-annex-2">
    <w:name w:val="title-annex-2"/>
    <w:basedOn w:val="Normal"/>
    <w:rsid w:val="00861B46"/>
    <w:pPr>
      <w:spacing w:before="100" w:beforeAutospacing="1" w:after="100" w:afterAutospacing="1"/>
    </w:pPr>
    <w:rPr>
      <w:rFonts w:ascii="Times New Roman" w:eastAsia="Times New Roman" w:hAnsi="Times New Roman" w:cs="Times New Roman"/>
      <w:sz w:val="24"/>
      <w:szCs w:val="24"/>
    </w:rPr>
  </w:style>
  <w:style w:type="paragraph" w:customStyle="1" w:styleId="List1">
    <w:name w:val="List1"/>
    <w:basedOn w:val="Normal"/>
    <w:rsid w:val="00861B46"/>
    <w:pPr>
      <w:spacing w:before="100" w:beforeAutospacing="1" w:after="100" w:afterAutospacing="1"/>
    </w:pPr>
    <w:rPr>
      <w:rFonts w:ascii="Times New Roman" w:eastAsia="Times New Roman" w:hAnsi="Times New Roman" w:cs="Times New Roman"/>
      <w:sz w:val="24"/>
      <w:szCs w:val="24"/>
    </w:rPr>
  </w:style>
  <w:style w:type="character" w:customStyle="1" w:styleId="italics">
    <w:name w:val="italics"/>
    <w:basedOn w:val="DefaultParagraphFont"/>
    <w:rsid w:val="00861B46"/>
  </w:style>
  <w:style w:type="paragraph" w:customStyle="1" w:styleId="Style30">
    <w:name w:val="Style30"/>
    <w:basedOn w:val="Normal"/>
    <w:uiPriority w:val="99"/>
    <w:rsid w:val="00EC501C"/>
    <w:pPr>
      <w:spacing w:line="192" w:lineRule="exact"/>
      <w:ind w:hanging="322"/>
    </w:pPr>
    <w:rPr>
      <w:rFonts w:ascii="Book Antiqua" w:eastAsia="Batang" w:hAnsi="Book Antiqua" w:cs="Times New Roman"/>
      <w:sz w:val="24"/>
      <w:szCs w:val="24"/>
      <w:lang w:val="sr-Latn-BA" w:eastAsia="ko-KR"/>
    </w:rPr>
  </w:style>
  <w:style w:type="paragraph" w:customStyle="1" w:styleId="Style3">
    <w:name w:val="Style3"/>
    <w:basedOn w:val="Normal"/>
    <w:rsid w:val="002779E5"/>
    <w:pPr>
      <w:spacing w:line="192" w:lineRule="exact"/>
      <w:jc w:val="both"/>
    </w:pPr>
    <w:rPr>
      <w:rFonts w:ascii="Book Antiqua" w:eastAsia="Batang" w:hAnsi="Book Antiqua" w:cs="Times New Roman"/>
      <w:sz w:val="24"/>
      <w:szCs w:val="24"/>
      <w:lang w:val="sr-Latn-BA" w:eastAsia="ko-KR"/>
    </w:rPr>
  </w:style>
  <w:style w:type="paragraph" w:customStyle="1" w:styleId="tbl-norm">
    <w:name w:val="tbl-norm"/>
    <w:basedOn w:val="Normal"/>
    <w:rsid w:val="005F12D7"/>
    <w:pPr>
      <w:spacing w:before="100" w:beforeAutospacing="1" w:after="100" w:afterAutospacing="1"/>
    </w:pPr>
    <w:rPr>
      <w:rFonts w:ascii="Times New Roman" w:eastAsia="Times New Roman" w:hAnsi="Times New Roman" w:cs="Times New Roman"/>
      <w:sz w:val="24"/>
      <w:szCs w:val="24"/>
      <w:lang w:val="sr-Cyrl-CS" w:eastAsia="sr-Cyrl-CS"/>
    </w:rPr>
  </w:style>
  <w:style w:type="paragraph" w:customStyle="1" w:styleId="Style18">
    <w:name w:val="Style18"/>
    <w:basedOn w:val="Normal"/>
    <w:uiPriority w:val="99"/>
    <w:rsid w:val="00BE1305"/>
    <w:pPr>
      <w:spacing w:line="341" w:lineRule="exact"/>
      <w:ind w:firstLine="125"/>
    </w:pPr>
    <w:rPr>
      <w:rFonts w:ascii="Book Antiqua" w:eastAsia="Batang" w:hAnsi="Book Antiqua" w:cs="Times New Roman"/>
      <w:sz w:val="24"/>
      <w:szCs w:val="24"/>
      <w:lang w:val="sr-Latn-BA" w:eastAsia="ko-KR"/>
    </w:rPr>
  </w:style>
  <w:style w:type="paragraph" w:customStyle="1" w:styleId="Style24">
    <w:name w:val="Style24"/>
    <w:basedOn w:val="Normal"/>
    <w:uiPriority w:val="99"/>
    <w:rsid w:val="006D1D94"/>
    <w:pPr>
      <w:spacing w:line="213" w:lineRule="exact"/>
      <w:jc w:val="both"/>
    </w:pPr>
    <w:rPr>
      <w:rFonts w:ascii="Book Antiqua" w:eastAsia="Batang" w:hAnsi="Book Antiqua" w:cs="Times New Roman"/>
      <w:sz w:val="24"/>
      <w:szCs w:val="24"/>
      <w:lang w:val="sr-Latn-BA" w:eastAsia="ko-KR"/>
    </w:rPr>
  </w:style>
  <w:style w:type="paragraph" w:customStyle="1" w:styleId="doc-ti">
    <w:name w:val="doc-ti"/>
    <w:basedOn w:val="Normal"/>
    <w:rsid w:val="004B0D5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FC"/>
    <w:rPr>
      <w:rFonts w:ascii="Arial" w:eastAsia="Calibri" w:hAnsi="Arial" w:cs="Arial"/>
      <w:sz w:val="22"/>
      <w:szCs w:val="22"/>
    </w:rPr>
  </w:style>
  <w:style w:type="paragraph" w:styleId="Heading1">
    <w:name w:val="heading 1"/>
    <w:basedOn w:val="Normal"/>
    <w:qFormat/>
    <w:rsid w:val="00E62F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425B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84434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84434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semiHidden/>
    <w:rsid w:val="001A6D8C"/>
    <w:rPr>
      <w:sz w:val="20"/>
      <w:szCs w:val="20"/>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link w:val="FootnoteText"/>
    <w:semiHidden/>
    <w:locked/>
    <w:rsid w:val="001A6D8C"/>
    <w:rPr>
      <w:rFonts w:ascii="Arial" w:eastAsia="Calibri" w:hAnsi="Arial" w:cs="Arial"/>
      <w:lang w:val="en-US" w:eastAsia="en-US" w:bidi="ar-SA"/>
    </w:rPr>
  </w:style>
  <w:style w:type="character" w:styleId="FootnoteReference">
    <w:name w:val="footnote reference"/>
    <w:aliases w:val="BVI fnr"/>
    <w:semiHidden/>
    <w:rsid w:val="001A6D8C"/>
    <w:rPr>
      <w:rFonts w:cs="Times New Roman"/>
      <w:vertAlign w:val="superscript"/>
    </w:rPr>
  </w:style>
  <w:style w:type="character" w:styleId="CommentReference">
    <w:name w:val="annotation reference"/>
    <w:uiPriority w:val="99"/>
    <w:rsid w:val="000355D7"/>
    <w:rPr>
      <w:sz w:val="16"/>
      <w:szCs w:val="16"/>
    </w:rPr>
  </w:style>
  <w:style w:type="paragraph" w:styleId="CommentText">
    <w:name w:val="annotation text"/>
    <w:basedOn w:val="Normal"/>
    <w:semiHidden/>
    <w:rsid w:val="000355D7"/>
    <w:rPr>
      <w:sz w:val="20"/>
      <w:szCs w:val="20"/>
    </w:rPr>
  </w:style>
  <w:style w:type="paragraph" w:styleId="CommentSubject">
    <w:name w:val="annotation subject"/>
    <w:basedOn w:val="CommentText"/>
    <w:next w:val="CommentText"/>
    <w:semiHidden/>
    <w:rsid w:val="000355D7"/>
    <w:rPr>
      <w:b/>
      <w:bCs/>
    </w:rPr>
  </w:style>
  <w:style w:type="paragraph" w:styleId="BalloonText">
    <w:name w:val="Balloon Text"/>
    <w:basedOn w:val="Normal"/>
    <w:semiHidden/>
    <w:rsid w:val="000355D7"/>
    <w:rPr>
      <w:rFonts w:ascii="Tahoma" w:hAnsi="Tahoma" w:cs="Tahoma"/>
      <w:sz w:val="16"/>
      <w:szCs w:val="16"/>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3 indent2 Char,b"/>
    <w:basedOn w:val="Normal"/>
    <w:link w:val="BodyTextChar"/>
    <w:rsid w:val="00170831"/>
    <w:pPr>
      <w:jc w:val="both"/>
    </w:pPr>
    <w:rPr>
      <w:sz w:val="24"/>
      <w:szCs w:val="24"/>
      <w:lang w:val="sl-SI"/>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link w:val="BodyText"/>
    <w:locked/>
    <w:rsid w:val="00170831"/>
    <w:rPr>
      <w:rFonts w:ascii="Arial" w:eastAsia="Calibri" w:hAnsi="Arial" w:cs="Arial"/>
      <w:sz w:val="24"/>
      <w:szCs w:val="24"/>
      <w:lang w:val="sl-SI" w:eastAsia="en-US" w:bidi="ar-SA"/>
    </w:rPr>
  </w:style>
  <w:style w:type="paragraph" w:customStyle="1" w:styleId="Zkladntext2">
    <w:name w:val="Základní text 2"/>
    <w:basedOn w:val="Normal"/>
    <w:next w:val="Normal"/>
    <w:rsid w:val="00080F17"/>
    <w:pPr>
      <w:autoSpaceDE w:val="0"/>
      <w:autoSpaceDN w:val="0"/>
      <w:adjustRightInd w:val="0"/>
    </w:pPr>
    <w:rPr>
      <w:rFonts w:eastAsia="Times New Roman" w:cs="Times New Roman"/>
      <w:sz w:val="24"/>
      <w:szCs w:val="24"/>
    </w:rPr>
  </w:style>
  <w:style w:type="paragraph" w:styleId="BodyText2">
    <w:name w:val="Body Text 2"/>
    <w:basedOn w:val="Normal"/>
    <w:rsid w:val="001012D8"/>
    <w:pPr>
      <w:spacing w:after="120" w:line="480" w:lineRule="auto"/>
    </w:pPr>
    <w:rPr>
      <w:rFonts w:ascii="Times New Roman" w:eastAsia="Times New Roman" w:hAnsi="Times New Roman" w:cs="Times New Roman"/>
      <w:sz w:val="24"/>
      <w:szCs w:val="24"/>
    </w:rPr>
  </w:style>
  <w:style w:type="paragraph" w:styleId="Footer">
    <w:name w:val="footer"/>
    <w:basedOn w:val="Normal"/>
    <w:rsid w:val="001012D8"/>
    <w:pPr>
      <w:tabs>
        <w:tab w:val="center" w:pos="4320"/>
        <w:tab w:val="right" w:pos="8640"/>
      </w:tabs>
    </w:pPr>
  </w:style>
  <w:style w:type="character" w:styleId="PageNumber">
    <w:name w:val="page number"/>
    <w:basedOn w:val="DefaultParagraphFont"/>
    <w:rsid w:val="001012D8"/>
  </w:style>
  <w:style w:type="paragraph" w:styleId="Header">
    <w:name w:val="header"/>
    <w:basedOn w:val="Normal"/>
    <w:rsid w:val="00DC0B06"/>
    <w:pPr>
      <w:tabs>
        <w:tab w:val="center" w:pos="4536"/>
        <w:tab w:val="right" w:pos="9072"/>
      </w:tabs>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FE745E"/>
    <w:pPr>
      <w:ind w:left="720"/>
      <w:contextualSpacing/>
    </w:pPr>
    <w:rPr>
      <w:rFonts w:ascii="Times New Roman" w:eastAsia="Times New Roman" w:hAnsi="Times New Roman" w:cs="Times New Roman"/>
      <w:sz w:val="24"/>
      <w:szCs w:val="24"/>
      <w:lang w:val="sr-Cyrl-CS" w:eastAsia="sr-Cyrl-CS"/>
    </w:rPr>
  </w:style>
  <w:style w:type="character" w:styleId="Hyperlink">
    <w:name w:val="Hyperlink"/>
    <w:uiPriority w:val="99"/>
    <w:rsid w:val="00604330"/>
    <w:rPr>
      <w:color w:val="0000FF"/>
      <w:u w:val="single"/>
    </w:rPr>
  </w:style>
  <w:style w:type="character" w:styleId="Emphasis">
    <w:name w:val="Emphasis"/>
    <w:uiPriority w:val="20"/>
    <w:qFormat/>
    <w:rsid w:val="00604330"/>
    <w:rPr>
      <w:i/>
      <w:iCs/>
    </w:rPr>
  </w:style>
  <w:style w:type="character" w:customStyle="1" w:styleId="hps">
    <w:name w:val="hps"/>
    <w:basedOn w:val="DefaultParagraphFont"/>
    <w:rsid w:val="00B04D2F"/>
  </w:style>
  <w:style w:type="paragraph" w:customStyle="1" w:styleId="Normal1">
    <w:name w:val="Normal1"/>
    <w:basedOn w:val="Normal"/>
    <w:link w:val="normalChar"/>
    <w:rsid w:val="00B3450D"/>
    <w:pPr>
      <w:spacing w:before="100" w:beforeAutospacing="1" w:after="100" w:afterAutospacing="1"/>
    </w:pPr>
    <w:rPr>
      <w:rFonts w:eastAsia="Times New Roman"/>
    </w:rPr>
  </w:style>
  <w:style w:type="character" w:customStyle="1" w:styleId="normalChar">
    <w:name w:val="normal Char"/>
    <w:link w:val="Normal1"/>
    <w:rsid w:val="00B3450D"/>
    <w:rPr>
      <w:rFonts w:ascii="Arial" w:hAnsi="Arial" w:cs="Arial"/>
      <w:sz w:val="22"/>
      <w:szCs w:val="22"/>
      <w:lang w:val="en-US" w:eastAsia="en-US" w:bidi="ar-SA"/>
    </w:rPr>
  </w:style>
  <w:style w:type="table" w:styleId="TableProfessional">
    <w:name w:val="Table Professional"/>
    <w:basedOn w:val="TableNormal"/>
    <w:rsid w:val="00B3450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il1tekst">
    <w:name w:val="stil_1tekst"/>
    <w:basedOn w:val="Normal"/>
    <w:rsid w:val="00E930A6"/>
    <w:pPr>
      <w:spacing w:before="100" w:beforeAutospacing="1" w:after="100" w:afterAutospacing="1"/>
    </w:pPr>
    <w:rPr>
      <w:rFonts w:ascii="Times New Roman" w:eastAsia="Times New Roman" w:hAnsi="Times New Roman" w:cs="Times New Roman"/>
      <w:sz w:val="24"/>
      <w:szCs w:val="24"/>
    </w:rPr>
  </w:style>
  <w:style w:type="character" w:styleId="Strong">
    <w:name w:val="Strong"/>
    <w:qFormat/>
    <w:rsid w:val="00E62F99"/>
    <w:rPr>
      <w:b/>
      <w:bCs/>
    </w:rPr>
  </w:style>
  <w:style w:type="paragraph" w:styleId="Revision">
    <w:name w:val="Revision"/>
    <w:hidden/>
    <w:uiPriority w:val="99"/>
    <w:semiHidden/>
    <w:rsid w:val="00812EC4"/>
    <w:rPr>
      <w:rFonts w:ascii="Arial" w:eastAsia="Calibri" w:hAnsi="Arial" w:cs="Arial"/>
      <w:sz w:val="22"/>
      <w:szCs w:val="22"/>
    </w:rPr>
  </w:style>
  <w:style w:type="character" w:customStyle="1" w:styleId="Heading2Char">
    <w:name w:val="Heading 2 Char"/>
    <w:basedOn w:val="DefaultParagraphFont"/>
    <w:link w:val="Heading2"/>
    <w:semiHidden/>
    <w:rsid w:val="00425B2E"/>
    <w:rPr>
      <w:rFonts w:asciiTheme="majorHAnsi" w:eastAsiaTheme="majorEastAsia" w:hAnsiTheme="majorHAnsi" w:cstheme="majorBidi"/>
      <w:b/>
      <w:bCs/>
      <w:color w:val="4F81BD" w:themeColor="accent1"/>
      <w:sz w:val="26"/>
      <w:szCs w:val="26"/>
    </w:rPr>
  </w:style>
  <w:style w:type="character" w:customStyle="1" w:styleId="super">
    <w:name w:val="super"/>
    <w:basedOn w:val="DefaultParagraphFont"/>
    <w:rsid w:val="00425B2E"/>
  </w:style>
  <w:style w:type="paragraph" w:customStyle="1" w:styleId="norm">
    <w:name w:val="norm"/>
    <w:basedOn w:val="Normal"/>
    <w:rsid w:val="009F0509"/>
    <w:pPr>
      <w:spacing w:before="100" w:beforeAutospacing="1" w:after="100" w:afterAutospacing="1"/>
    </w:pPr>
    <w:rPr>
      <w:rFonts w:ascii="Times New Roman" w:eastAsia="Times New Roman" w:hAnsi="Times New Roman" w:cs="Times New Roman"/>
      <w:sz w:val="24"/>
      <w:szCs w:val="24"/>
      <w:lang w:val="sr-Cyrl-CS" w:eastAsia="sr-Cyrl-CS"/>
    </w:rPr>
  </w:style>
  <w:style w:type="paragraph" w:customStyle="1" w:styleId="title-gr-seq-level-1">
    <w:name w:val="title-gr-seq-level-1"/>
    <w:basedOn w:val="Normal"/>
    <w:rsid w:val="001B2ADD"/>
    <w:pPr>
      <w:spacing w:before="100" w:beforeAutospacing="1" w:after="100" w:afterAutospacing="1"/>
    </w:pPr>
    <w:rPr>
      <w:rFonts w:ascii="Times New Roman" w:eastAsia="Times New Roman" w:hAnsi="Times New Roman" w:cs="Times New Roman"/>
      <w:sz w:val="24"/>
      <w:szCs w:val="24"/>
      <w:lang w:val="sr-Cyrl-CS" w:eastAsia="sr-Cyrl-CS"/>
    </w:rPr>
  </w:style>
  <w:style w:type="character" w:customStyle="1" w:styleId="boldface">
    <w:name w:val="boldface"/>
    <w:basedOn w:val="DefaultParagraphFont"/>
    <w:rsid w:val="001B2ADD"/>
  </w:style>
  <w:style w:type="character" w:customStyle="1" w:styleId="FontStyle41">
    <w:name w:val="Font Style41"/>
    <w:rsid w:val="002F19C7"/>
    <w:rPr>
      <w:rFonts w:ascii="Book Antiqua" w:hAnsi="Book Antiqua" w:cs="Book Antiqua"/>
      <w:sz w:val="16"/>
      <w:szCs w:val="16"/>
    </w:rPr>
  </w:style>
  <w:style w:type="paragraph" w:customStyle="1" w:styleId="Propisi">
    <w:name w:val="Propisi"/>
    <w:basedOn w:val="Normal"/>
    <w:link w:val="PropisiChar"/>
    <w:qFormat/>
    <w:rsid w:val="002F19C7"/>
    <w:pPr>
      <w:spacing w:after="300" w:line="360" w:lineRule="auto"/>
      <w:jc w:val="center"/>
      <w:outlineLvl w:val="1"/>
    </w:pPr>
    <w:rPr>
      <w:rFonts w:ascii="Times New Roman" w:eastAsia="Batang" w:hAnsi="Times New Roman" w:cs="Times New Roman"/>
      <w:sz w:val="24"/>
      <w:szCs w:val="24"/>
      <w:lang w:val="sr-Latn-BA" w:eastAsia="ko-KR"/>
    </w:rPr>
  </w:style>
  <w:style w:type="character" w:customStyle="1" w:styleId="PropisiChar">
    <w:name w:val="Propisi Char"/>
    <w:link w:val="Propisi"/>
    <w:rsid w:val="002F19C7"/>
    <w:rPr>
      <w:rFonts w:eastAsia="Batang"/>
      <w:sz w:val="24"/>
      <w:szCs w:val="24"/>
      <w:lang w:val="sr-Latn-BA" w:eastAsia="ko-KR"/>
    </w:rPr>
  </w:style>
  <w:style w:type="paragraph" w:customStyle="1" w:styleId="Normal10">
    <w:name w:val="Normal1"/>
    <w:basedOn w:val="Normal"/>
    <w:uiPriority w:val="99"/>
    <w:rsid w:val="007C6F44"/>
    <w:pPr>
      <w:spacing w:before="100" w:beforeAutospacing="1" w:after="100" w:afterAutospacing="1"/>
    </w:pPr>
    <w:rPr>
      <w:rFonts w:ascii="Times New Roman" w:eastAsia="Times New Roman" w:hAnsi="Times New Roman" w:cs="Times New Roman"/>
      <w:sz w:val="24"/>
      <w:szCs w:val="24"/>
    </w:rPr>
  </w:style>
  <w:style w:type="paragraph" w:customStyle="1" w:styleId="Style23">
    <w:name w:val="Style23"/>
    <w:basedOn w:val="Normal"/>
    <w:uiPriority w:val="99"/>
    <w:rsid w:val="009F350A"/>
    <w:pPr>
      <w:spacing w:line="213" w:lineRule="exact"/>
      <w:ind w:hanging="240"/>
      <w:jc w:val="both"/>
    </w:pPr>
    <w:rPr>
      <w:rFonts w:ascii="Book Antiqua" w:eastAsia="Batang" w:hAnsi="Book Antiqua" w:cs="Times New Roman"/>
      <w:sz w:val="24"/>
      <w:szCs w:val="24"/>
      <w:lang w:val="sr-Latn-BA" w:eastAsia="ko-KR"/>
    </w:rPr>
  </w:style>
  <w:style w:type="character" w:customStyle="1" w:styleId="tw4winMark">
    <w:name w:val="tw4winMark"/>
    <w:rsid w:val="009F350A"/>
    <w:rPr>
      <w:rFonts w:ascii="Courier New" w:hAnsi="Courier New"/>
      <w:vanish/>
      <w:color w:val="800080"/>
      <w:vertAlign w:val="subscript"/>
    </w:rPr>
  </w:style>
  <w:style w:type="paragraph" w:customStyle="1" w:styleId="Style29">
    <w:name w:val="Style29"/>
    <w:basedOn w:val="Normal"/>
    <w:uiPriority w:val="99"/>
    <w:rsid w:val="00011A50"/>
    <w:pPr>
      <w:jc w:val="center"/>
    </w:pPr>
    <w:rPr>
      <w:rFonts w:ascii="Book Antiqua" w:eastAsia="Batang" w:hAnsi="Book Antiqua" w:cs="Times New Roman"/>
      <w:sz w:val="24"/>
      <w:szCs w:val="24"/>
      <w:lang w:val="sr-Latn-BA" w:eastAsia="ko-KR"/>
    </w:rPr>
  </w:style>
  <w:style w:type="paragraph" w:customStyle="1" w:styleId="Style7">
    <w:name w:val="Style7"/>
    <w:basedOn w:val="Normal"/>
    <w:uiPriority w:val="99"/>
    <w:rsid w:val="00C94AD0"/>
    <w:pPr>
      <w:spacing w:after="300" w:line="360" w:lineRule="auto"/>
      <w:jc w:val="center"/>
      <w:outlineLvl w:val="0"/>
    </w:pPr>
    <w:rPr>
      <w:rFonts w:ascii="Times New Roman" w:eastAsia="Batang" w:hAnsi="Times New Roman" w:cs="Times New Roman"/>
      <w:sz w:val="24"/>
      <w:szCs w:val="24"/>
      <w:lang w:val="sr-Cyrl-CS" w:eastAsia="ko-KR"/>
    </w:rPr>
  </w:style>
  <w:style w:type="character" w:customStyle="1" w:styleId="FontStyle37">
    <w:name w:val="Font Style37"/>
    <w:rsid w:val="00C94AD0"/>
    <w:rPr>
      <w:rFonts w:ascii="Book Antiqua" w:hAnsi="Book Antiqua" w:cs="Book Antiqua"/>
      <w:i/>
      <w:iCs/>
      <w:sz w:val="16"/>
      <w:szCs w:val="16"/>
    </w:rPr>
  </w:style>
  <w:style w:type="paragraph" w:customStyle="1" w:styleId="Style10">
    <w:name w:val="Style10"/>
    <w:basedOn w:val="Normal"/>
    <w:uiPriority w:val="99"/>
    <w:rsid w:val="009D7164"/>
    <w:pPr>
      <w:spacing w:line="211" w:lineRule="exact"/>
      <w:jc w:val="both"/>
    </w:pPr>
    <w:rPr>
      <w:rFonts w:ascii="Book Antiqua" w:eastAsia="Batang" w:hAnsi="Book Antiqua" w:cs="Times New Roman"/>
      <w:sz w:val="24"/>
      <w:szCs w:val="24"/>
      <w:lang w:val="sr-Latn-BA" w:eastAsia="ko-KR"/>
    </w:rPr>
  </w:style>
  <w:style w:type="paragraph" w:customStyle="1" w:styleId="Style8">
    <w:name w:val="Style8"/>
    <w:basedOn w:val="Normal"/>
    <w:uiPriority w:val="99"/>
    <w:rsid w:val="00491101"/>
    <w:pPr>
      <w:jc w:val="center"/>
    </w:pPr>
    <w:rPr>
      <w:rFonts w:ascii="Book Antiqua" w:eastAsia="Batang" w:hAnsi="Book Antiqua" w:cs="Times New Roman"/>
      <w:sz w:val="24"/>
      <w:szCs w:val="24"/>
      <w:lang w:val="sr-Latn-BA" w:eastAsia="ko-KR"/>
    </w:rPr>
  </w:style>
  <w:style w:type="paragraph" w:customStyle="1" w:styleId="Style9">
    <w:name w:val="Style9"/>
    <w:basedOn w:val="Normal"/>
    <w:uiPriority w:val="99"/>
    <w:rsid w:val="00491101"/>
    <w:pPr>
      <w:spacing w:line="216" w:lineRule="exact"/>
      <w:jc w:val="both"/>
    </w:pPr>
    <w:rPr>
      <w:rFonts w:ascii="Book Antiqua" w:eastAsia="Batang" w:hAnsi="Book Antiqua" w:cs="Times New Roman"/>
      <w:sz w:val="24"/>
      <w:szCs w:val="24"/>
      <w:lang w:val="sr-Latn-BA" w:eastAsia="ko-KR"/>
    </w:rPr>
  </w:style>
  <w:style w:type="paragraph" w:customStyle="1" w:styleId="Style11">
    <w:name w:val="Style11"/>
    <w:basedOn w:val="Normal"/>
    <w:uiPriority w:val="99"/>
    <w:rsid w:val="00491101"/>
    <w:pPr>
      <w:spacing w:line="181" w:lineRule="exact"/>
      <w:ind w:hanging="216"/>
      <w:jc w:val="both"/>
    </w:pPr>
    <w:rPr>
      <w:rFonts w:ascii="Book Antiqua" w:eastAsia="Batang" w:hAnsi="Book Antiqua" w:cs="Times New Roman"/>
      <w:sz w:val="24"/>
      <w:szCs w:val="24"/>
      <w:lang w:val="sr-Latn-BA" w:eastAsia="ko-KR"/>
    </w:rPr>
  </w:style>
  <w:style w:type="paragraph" w:customStyle="1" w:styleId="Style19">
    <w:name w:val="Style19"/>
    <w:basedOn w:val="Normal"/>
    <w:uiPriority w:val="99"/>
    <w:rsid w:val="00491101"/>
    <w:rPr>
      <w:rFonts w:ascii="Book Antiqua" w:eastAsia="Batang" w:hAnsi="Book Antiqua" w:cs="Times New Roman"/>
      <w:sz w:val="24"/>
      <w:szCs w:val="24"/>
      <w:lang w:val="sr-Latn-BA" w:eastAsia="ko-KR"/>
    </w:rPr>
  </w:style>
  <w:style w:type="character" w:customStyle="1" w:styleId="FontStyle40">
    <w:name w:val="Font Style40"/>
    <w:rsid w:val="00491101"/>
    <w:rPr>
      <w:rFonts w:ascii="Book Antiqua" w:hAnsi="Book Antiqua" w:cs="Book Antiqua"/>
      <w:b/>
      <w:bCs/>
      <w:sz w:val="14"/>
      <w:szCs w:val="14"/>
    </w:rPr>
  </w:style>
  <w:style w:type="character" w:customStyle="1" w:styleId="FontStyle42">
    <w:name w:val="Font Style42"/>
    <w:rsid w:val="00491101"/>
    <w:rPr>
      <w:rFonts w:ascii="Book Antiqua" w:hAnsi="Book Antiqua" w:cs="Book Antiqua"/>
      <w:sz w:val="14"/>
      <w:szCs w:val="14"/>
    </w:rPr>
  </w:style>
  <w:style w:type="paragraph" w:customStyle="1" w:styleId="Style2">
    <w:name w:val="Style2"/>
    <w:basedOn w:val="Normal"/>
    <w:uiPriority w:val="99"/>
    <w:rsid w:val="0018051E"/>
    <w:pPr>
      <w:spacing w:line="211" w:lineRule="exact"/>
      <w:jc w:val="center"/>
    </w:pPr>
    <w:rPr>
      <w:rFonts w:ascii="Book Antiqua" w:eastAsia="Batang" w:hAnsi="Book Antiqua" w:cs="Times New Roman"/>
      <w:sz w:val="24"/>
      <w:szCs w:val="24"/>
      <w:lang w:val="sr-Latn-BA" w:eastAsia="ko-KR"/>
    </w:rPr>
  </w:style>
  <w:style w:type="paragraph" w:customStyle="1" w:styleId="Style6">
    <w:name w:val="Style6"/>
    <w:basedOn w:val="Normal"/>
    <w:rsid w:val="008D5077"/>
    <w:pPr>
      <w:spacing w:line="216" w:lineRule="exact"/>
      <w:ind w:hanging="322"/>
      <w:jc w:val="both"/>
    </w:pPr>
    <w:rPr>
      <w:rFonts w:ascii="Book Antiqua" w:eastAsia="Batang" w:hAnsi="Book Antiqua" w:cs="Times New Roman"/>
      <w:sz w:val="24"/>
      <w:szCs w:val="24"/>
      <w:lang w:val="sr-Latn-BA" w:eastAsia="ko-KR"/>
    </w:rPr>
  </w:style>
  <w:style w:type="character" w:customStyle="1" w:styleId="FontStyle36">
    <w:name w:val="Font Style36"/>
    <w:rsid w:val="00627EAE"/>
    <w:rPr>
      <w:rFonts w:ascii="Book Antiqua" w:hAnsi="Book Antiqua" w:cs="Book Antiqua"/>
      <w:b/>
      <w:bCs/>
      <w:sz w:val="16"/>
      <w:szCs w:val="16"/>
    </w:rPr>
  </w:style>
  <w:style w:type="paragraph" w:customStyle="1" w:styleId="Style1">
    <w:name w:val="Style1"/>
    <w:basedOn w:val="Normal"/>
    <w:rsid w:val="000311B1"/>
    <w:rPr>
      <w:rFonts w:ascii="Book Antiqua" w:eastAsia="Batang" w:hAnsi="Book Antiqua" w:cs="Times New Roman"/>
      <w:sz w:val="24"/>
      <w:szCs w:val="24"/>
      <w:lang w:val="sr-Latn-BA" w:eastAsia="ko-KR"/>
    </w:rPr>
  </w:style>
  <w:style w:type="character" w:customStyle="1" w:styleId="FontStyle39">
    <w:name w:val="Font Style39"/>
    <w:rsid w:val="000311B1"/>
    <w:rPr>
      <w:rFonts w:ascii="Book Antiqua" w:hAnsi="Book Antiqua" w:cs="Book Antiqua"/>
      <w:i/>
      <w:iCs/>
      <w:sz w:val="14"/>
      <w:szCs w:val="14"/>
    </w:rPr>
  </w:style>
  <w:style w:type="paragraph" w:customStyle="1" w:styleId="Style31">
    <w:name w:val="Style31"/>
    <w:basedOn w:val="Normal"/>
    <w:uiPriority w:val="99"/>
    <w:rsid w:val="00D66E71"/>
    <w:pPr>
      <w:spacing w:line="192" w:lineRule="exact"/>
      <w:ind w:hanging="245"/>
    </w:pPr>
    <w:rPr>
      <w:rFonts w:ascii="Book Antiqua" w:eastAsia="Batang" w:hAnsi="Book Antiqua" w:cs="Times New Roman"/>
      <w:sz w:val="24"/>
      <w:szCs w:val="24"/>
      <w:lang w:val="sr-Latn-BA" w:eastAsia="ko-KR"/>
    </w:rPr>
  </w:style>
  <w:style w:type="paragraph" w:styleId="DocumentMap">
    <w:name w:val="Document Map"/>
    <w:basedOn w:val="Normal"/>
    <w:link w:val="DocumentMapChar"/>
    <w:rsid w:val="0054032E"/>
    <w:rPr>
      <w:rFonts w:ascii="Tahoma" w:hAnsi="Tahoma" w:cs="Tahoma"/>
      <w:sz w:val="16"/>
      <w:szCs w:val="16"/>
    </w:rPr>
  </w:style>
  <w:style w:type="character" w:customStyle="1" w:styleId="DocumentMapChar">
    <w:name w:val="Document Map Char"/>
    <w:basedOn w:val="DefaultParagraphFont"/>
    <w:link w:val="DocumentMap"/>
    <w:rsid w:val="0054032E"/>
    <w:rPr>
      <w:rFonts w:ascii="Tahoma" w:eastAsia="Calibri" w:hAnsi="Tahoma" w:cs="Tahoma"/>
      <w:sz w:val="16"/>
      <w:szCs w:val="16"/>
    </w:rPr>
  </w:style>
  <w:style w:type="character" w:customStyle="1" w:styleId="Heading4Char">
    <w:name w:val="Heading 4 Char"/>
    <w:basedOn w:val="DefaultParagraphFont"/>
    <w:link w:val="Heading4"/>
    <w:semiHidden/>
    <w:rsid w:val="0084434A"/>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semiHidden/>
    <w:rsid w:val="0084434A"/>
    <w:rPr>
      <w:rFonts w:asciiTheme="majorHAnsi" w:eastAsiaTheme="majorEastAsia" w:hAnsiTheme="majorHAnsi" w:cstheme="majorBidi"/>
      <w:i/>
      <w:iCs/>
      <w:color w:val="243F60" w:themeColor="accent1" w:themeShade="7F"/>
      <w:sz w:val="22"/>
      <w:szCs w:val="22"/>
    </w:rPr>
  </w:style>
  <w:style w:type="paragraph" w:customStyle="1" w:styleId="podnaslovpropisa">
    <w:name w:val="podnaslovpropisa"/>
    <w:basedOn w:val="Normal"/>
    <w:rsid w:val="0084434A"/>
    <w:pPr>
      <w:spacing w:before="100" w:beforeAutospacing="1" w:after="100" w:afterAutospacing="1"/>
    </w:pPr>
    <w:rPr>
      <w:rFonts w:ascii="Times New Roman" w:eastAsia="Times New Roman" w:hAnsi="Times New Roman" w:cs="Times New Roman"/>
      <w:sz w:val="24"/>
      <w:szCs w:val="24"/>
      <w:lang w:val="sr-Cyrl-CS" w:eastAsia="sr-Cyrl-CS"/>
    </w:rPr>
  </w:style>
  <w:style w:type="paragraph" w:customStyle="1" w:styleId="t-9-8">
    <w:name w:val="t-9-8"/>
    <w:basedOn w:val="Normal"/>
    <w:uiPriority w:val="99"/>
    <w:rsid w:val="006315C2"/>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8B7162"/>
    <w:pPr>
      <w:spacing w:before="100" w:beforeAutospacing="1" w:after="100" w:afterAutospacing="1"/>
    </w:pPr>
    <w:rPr>
      <w:rFonts w:ascii="Times New Roman" w:eastAsia="Times New Roman" w:hAnsi="Times New Roman" w:cs="Times New Roman"/>
      <w:sz w:val="24"/>
      <w:szCs w:val="24"/>
    </w:rPr>
  </w:style>
  <w:style w:type="paragraph" w:customStyle="1" w:styleId="title-annex-2">
    <w:name w:val="title-annex-2"/>
    <w:basedOn w:val="Normal"/>
    <w:rsid w:val="00861B46"/>
    <w:pPr>
      <w:spacing w:before="100" w:beforeAutospacing="1" w:after="100" w:afterAutospacing="1"/>
    </w:pPr>
    <w:rPr>
      <w:rFonts w:ascii="Times New Roman" w:eastAsia="Times New Roman" w:hAnsi="Times New Roman" w:cs="Times New Roman"/>
      <w:sz w:val="24"/>
      <w:szCs w:val="24"/>
    </w:rPr>
  </w:style>
  <w:style w:type="paragraph" w:customStyle="1" w:styleId="List1">
    <w:name w:val="List1"/>
    <w:basedOn w:val="Normal"/>
    <w:rsid w:val="00861B46"/>
    <w:pPr>
      <w:spacing w:before="100" w:beforeAutospacing="1" w:after="100" w:afterAutospacing="1"/>
    </w:pPr>
    <w:rPr>
      <w:rFonts w:ascii="Times New Roman" w:eastAsia="Times New Roman" w:hAnsi="Times New Roman" w:cs="Times New Roman"/>
      <w:sz w:val="24"/>
      <w:szCs w:val="24"/>
    </w:rPr>
  </w:style>
  <w:style w:type="character" w:customStyle="1" w:styleId="italics">
    <w:name w:val="italics"/>
    <w:basedOn w:val="DefaultParagraphFont"/>
    <w:rsid w:val="00861B46"/>
  </w:style>
  <w:style w:type="paragraph" w:customStyle="1" w:styleId="Style30">
    <w:name w:val="Style30"/>
    <w:basedOn w:val="Normal"/>
    <w:uiPriority w:val="99"/>
    <w:rsid w:val="00EC501C"/>
    <w:pPr>
      <w:spacing w:line="192" w:lineRule="exact"/>
      <w:ind w:hanging="322"/>
    </w:pPr>
    <w:rPr>
      <w:rFonts w:ascii="Book Antiqua" w:eastAsia="Batang" w:hAnsi="Book Antiqua" w:cs="Times New Roman"/>
      <w:sz w:val="24"/>
      <w:szCs w:val="24"/>
      <w:lang w:val="sr-Latn-BA" w:eastAsia="ko-KR"/>
    </w:rPr>
  </w:style>
  <w:style w:type="paragraph" w:customStyle="1" w:styleId="Style3">
    <w:name w:val="Style3"/>
    <w:basedOn w:val="Normal"/>
    <w:rsid w:val="002779E5"/>
    <w:pPr>
      <w:spacing w:line="192" w:lineRule="exact"/>
      <w:jc w:val="both"/>
    </w:pPr>
    <w:rPr>
      <w:rFonts w:ascii="Book Antiqua" w:eastAsia="Batang" w:hAnsi="Book Antiqua" w:cs="Times New Roman"/>
      <w:sz w:val="24"/>
      <w:szCs w:val="24"/>
      <w:lang w:val="sr-Latn-BA" w:eastAsia="ko-KR"/>
    </w:rPr>
  </w:style>
  <w:style w:type="paragraph" w:customStyle="1" w:styleId="tbl-norm">
    <w:name w:val="tbl-norm"/>
    <w:basedOn w:val="Normal"/>
    <w:rsid w:val="005F12D7"/>
    <w:pPr>
      <w:spacing w:before="100" w:beforeAutospacing="1" w:after="100" w:afterAutospacing="1"/>
    </w:pPr>
    <w:rPr>
      <w:rFonts w:ascii="Times New Roman" w:eastAsia="Times New Roman" w:hAnsi="Times New Roman" w:cs="Times New Roman"/>
      <w:sz w:val="24"/>
      <w:szCs w:val="24"/>
      <w:lang w:val="sr-Cyrl-CS" w:eastAsia="sr-Cyrl-CS"/>
    </w:rPr>
  </w:style>
  <w:style w:type="paragraph" w:customStyle="1" w:styleId="Style18">
    <w:name w:val="Style18"/>
    <w:basedOn w:val="Normal"/>
    <w:uiPriority w:val="99"/>
    <w:rsid w:val="00BE1305"/>
    <w:pPr>
      <w:spacing w:line="341" w:lineRule="exact"/>
      <w:ind w:firstLine="125"/>
    </w:pPr>
    <w:rPr>
      <w:rFonts w:ascii="Book Antiqua" w:eastAsia="Batang" w:hAnsi="Book Antiqua" w:cs="Times New Roman"/>
      <w:sz w:val="24"/>
      <w:szCs w:val="24"/>
      <w:lang w:val="sr-Latn-BA" w:eastAsia="ko-KR"/>
    </w:rPr>
  </w:style>
  <w:style w:type="paragraph" w:customStyle="1" w:styleId="Style24">
    <w:name w:val="Style24"/>
    <w:basedOn w:val="Normal"/>
    <w:uiPriority w:val="99"/>
    <w:rsid w:val="006D1D94"/>
    <w:pPr>
      <w:spacing w:line="213" w:lineRule="exact"/>
      <w:jc w:val="both"/>
    </w:pPr>
    <w:rPr>
      <w:rFonts w:ascii="Book Antiqua" w:eastAsia="Batang" w:hAnsi="Book Antiqua" w:cs="Times New Roman"/>
      <w:sz w:val="24"/>
      <w:szCs w:val="24"/>
      <w:lang w:val="sr-Latn-BA" w:eastAsia="ko-KR"/>
    </w:rPr>
  </w:style>
  <w:style w:type="paragraph" w:customStyle="1" w:styleId="doc-ti">
    <w:name w:val="doc-ti"/>
    <w:basedOn w:val="Normal"/>
    <w:rsid w:val="004B0D5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99">
      <w:bodyDiv w:val="1"/>
      <w:marLeft w:val="0"/>
      <w:marRight w:val="0"/>
      <w:marTop w:val="0"/>
      <w:marBottom w:val="0"/>
      <w:divBdr>
        <w:top w:val="none" w:sz="0" w:space="0" w:color="auto"/>
        <w:left w:val="none" w:sz="0" w:space="0" w:color="auto"/>
        <w:bottom w:val="none" w:sz="0" w:space="0" w:color="auto"/>
        <w:right w:val="none" w:sz="0" w:space="0" w:color="auto"/>
      </w:divBdr>
    </w:div>
    <w:div w:id="2897952">
      <w:bodyDiv w:val="1"/>
      <w:marLeft w:val="0"/>
      <w:marRight w:val="0"/>
      <w:marTop w:val="0"/>
      <w:marBottom w:val="0"/>
      <w:divBdr>
        <w:top w:val="none" w:sz="0" w:space="0" w:color="auto"/>
        <w:left w:val="none" w:sz="0" w:space="0" w:color="auto"/>
        <w:bottom w:val="none" w:sz="0" w:space="0" w:color="auto"/>
        <w:right w:val="none" w:sz="0" w:space="0" w:color="auto"/>
      </w:divBdr>
    </w:div>
    <w:div w:id="11152200">
      <w:bodyDiv w:val="1"/>
      <w:marLeft w:val="0"/>
      <w:marRight w:val="0"/>
      <w:marTop w:val="0"/>
      <w:marBottom w:val="0"/>
      <w:divBdr>
        <w:top w:val="none" w:sz="0" w:space="0" w:color="auto"/>
        <w:left w:val="none" w:sz="0" w:space="0" w:color="auto"/>
        <w:bottom w:val="none" w:sz="0" w:space="0" w:color="auto"/>
        <w:right w:val="none" w:sz="0" w:space="0" w:color="auto"/>
      </w:divBdr>
    </w:div>
    <w:div w:id="15740443">
      <w:bodyDiv w:val="1"/>
      <w:marLeft w:val="0"/>
      <w:marRight w:val="0"/>
      <w:marTop w:val="0"/>
      <w:marBottom w:val="0"/>
      <w:divBdr>
        <w:top w:val="none" w:sz="0" w:space="0" w:color="auto"/>
        <w:left w:val="none" w:sz="0" w:space="0" w:color="auto"/>
        <w:bottom w:val="none" w:sz="0" w:space="0" w:color="auto"/>
        <w:right w:val="none" w:sz="0" w:space="0" w:color="auto"/>
      </w:divBdr>
    </w:div>
    <w:div w:id="16153001">
      <w:bodyDiv w:val="1"/>
      <w:marLeft w:val="0"/>
      <w:marRight w:val="0"/>
      <w:marTop w:val="0"/>
      <w:marBottom w:val="0"/>
      <w:divBdr>
        <w:top w:val="none" w:sz="0" w:space="0" w:color="auto"/>
        <w:left w:val="none" w:sz="0" w:space="0" w:color="auto"/>
        <w:bottom w:val="none" w:sz="0" w:space="0" w:color="auto"/>
        <w:right w:val="none" w:sz="0" w:space="0" w:color="auto"/>
      </w:divBdr>
    </w:div>
    <w:div w:id="22558061">
      <w:bodyDiv w:val="1"/>
      <w:marLeft w:val="0"/>
      <w:marRight w:val="0"/>
      <w:marTop w:val="0"/>
      <w:marBottom w:val="0"/>
      <w:divBdr>
        <w:top w:val="none" w:sz="0" w:space="0" w:color="auto"/>
        <w:left w:val="none" w:sz="0" w:space="0" w:color="auto"/>
        <w:bottom w:val="none" w:sz="0" w:space="0" w:color="auto"/>
        <w:right w:val="none" w:sz="0" w:space="0" w:color="auto"/>
      </w:divBdr>
    </w:div>
    <w:div w:id="25259425">
      <w:bodyDiv w:val="1"/>
      <w:marLeft w:val="0"/>
      <w:marRight w:val="0"/>
      <w:marTop w:val="0"/>
      <w:marBottom w:val="0"/>
      <w:divBdr>
        <w:top w:val="none" w:sz="0" w:space="0" w:color="auto"/>
        <w:left w:val="none" w:sz="0" w:space="0" w:color="auto"/>
        <w:bottom w:val="none" w:sz="0" w:space="0" w:color="auto"/>
        <w:right w:val="none" w:sz="0" w:space="0" w:color="auto"/>
      </w:divBdr>
    </w:div>
    <w:div w:id="29115689">
      <w:bodyDiv w:val="1"/>
      <w:marLeft w:val="0"/>
      <w:marRight w:val="0"/>
      <w:marTop w:val="0"/>
      <w:marBottom w:val="0"/>
      <w:divBdr>
        <w:top w:val="none" w:sz="0" w:space="0" w:color="auto"/>
        <w:left w:val="none" w:sz="0" w:space="0" w:color="auto"/>
        <w:bottom w:val="none" w:sz="0" w:space="0" w:color="auto"/>
        <w:right w:val="none" w:sz="0" w:space="0" w:color="auto"/>
      </w:divBdr>
    </w:div>
    <w:div w:id="31924125">
      <w:bodyDiv w:val="1"/>
      <w:marLeft w:val="0"/>
      <w:marRight w:val="0"/>
      <w:marTop w:val="0"/>
      <w:marBottom w:val="0"/>
      <w:divBdr>
        <w:top w:val="none" w:sz="0" w:space="0" w:color="auto"/>
        <w:left w:val="none" w:sz="0" w:space="0" w:color="auto"/>
        <w:bottom w:val="none" w:sz="0" w:space="0" w:color="auto"/>
        <w:right w:val="none" w:sz="0" w:space="0" w:color="auto"/>
      </w:divBdr>
    </w:div>
    <w:div w:id="35279711">
      <w:bodyDiv w:val="1"/>
      <w:marLeft w:val="0"/>
      <w:marRight w:val="0"/>
      <w:marTop w:val="0"/>
      <w:marBottom w:val="0"/>
      <w:divBdr>
        <w:top w:val="none" w:sz="0" w:space="0" w:color="auto"/>
        <w:left w:val="none" w:sz="0" w:space="0" w:color="auto"/>
        <w:bottom w:val="none" w:sz="0" w:space="0" w:color="auto"/>
        <w:right w:val="none" w:sz="0" w:space="0" w:color="auto"/>
      </w:divBdr>
    </w:div>
    <w:div w:id="38626847">
      <w:bodyDiv w:val="1"/>
      <w:marLeft w:val="0"/>
      <w:marRight w:val="0"/>
      <w:marTop w:val="0"/>
      <w:marBottom w:val="0"/>
      <w:divBdr>
        <w:top w:val="none" w:sz="0" w:space="0" w:color="auto"/>
        <w:left w:val="none" w:sz="0" w:space="0" w:color="auto"/>
        <w:bottom w:val="none" w:sz="0" w:space="0" w:color="auto"/>
        <w:right w:val="none" w:sz="0" w:space="0" w:color="auto"/>
      </w:divBdr>
    </w:div>
    <w:div w:id="39719461">
      <w:bodyDiv w:val="1"/>
      <w:marLeft w:val="0"/>
      <w:marRight w:val="0"/>
      <w:marTop w:val="0"/>
      <w:marBottom w:val="0"/>
      <w:divBdr>
        <w:top w:val="none" w:sz="0" w:space="0" w:color="auto"/>
        <w:left w:val="none" w:sz="0" w:space="0" w:color="auto"/>
        <w:bottom w:val="none" w:sz="0" w:space="0" w:color="auto"/>
        <w:right w:val="none" w:sz="0" w:space="0" w:color="auto"/>
      </w:divBdr>
    </w:div>
    <w:div w:id="45682664">
      <w:bodyDiv w:val="1"/>
      <w:marLeft w:val="0"/>
      <w:marRight w:val="0"/>
      <w:marTop w:val="0"/>
      <w:marBottom w:val="0"/>
      <w:divBdr>
        <w:top w:val="none" w:sz="0" w:space="0" w:color="auto"/>
        <w:left w:val="none" w:sz="0" w:space="0" w:color="auto"/>
        <w:bottom w:val="none" w:sz="0" w:space="0" w:color="auto"/>
        <w:right w:val="none" w:sz="0" w:space="0" w:color="auto"/>
      </w:divBdr>
    </w:div>
    <w:div w:id="47992843">
      <w:bodyDiv w:val="1"/>
      <w:marLeft w:val="0"/>
      <w:marRight w:val="0"/>
      <w:marTop w:val="0"/>
      <w:marBottom w:val="0"/>
      <w:divBdr>
        <w:top w:val="none" w:sz="0" w:space="0" w:color="auto"/>
        <w:left w:val="none" w:sz="0" w:space="0" w:color="auto"/>
        <w:bottom w:val="none" w:sz="0" w:space="0" w:color="auto"/>
        <w:right w:val="none" w:sz="0" w:space="0" w:color="auto"/>
      </w:divBdr>
    </w:div>
    <w:div w:id="51806159">
      <w:bodyDiv w:val="1"/>
      <w:marLeft w:val="0"/>
      <w:marRight w:val="0"/>
      <w:marTop w:val="0"/>
      <w:marBottom w:val="0"/>
      <w:divBdr>
        <w:top w:val="none" w:sz="0" w:space="0" w:color="auto"/>
        <w:left w:val="none" w:sz="0" w:space="0" w:color="auto"/>
        <w:bottom w:val="none" w:sz="0" w:space="0" w:color="auto"/>
        <w:right w:val="none" w:sz="0" w:space="0" w:color="auto"/>
      </w:divBdr>
    </w:div>
    <w:div w:id="53504475">
      <w:bodyDiv w:val="1"/>
      <w:marLeft w:val="0"/>
      <w:marRight w:val="0"/>
      <w:marTop w:val="0"/>
      <w:marBottom w:val="0"/>
      <w:divBdr>
        <w:top w:val="none" w:sz="0" w:space="0" w:color="auto"/>
        <w:left w:val="none" w:sz="0" w:space="0" w:color="auto"/>
        <w:bottom w:val="none" w:sz="0" w:space="0" w:color="auto"/>
        <w:right w:val="none" w:sz="0" w:space="0" w:color="auto"/>
      </w:divBdr>
    </w:div>
    <w:div w:id="55520151">
      <w:bodyDiv w:val="1"/>
      <w:marLeft w:val="0"/>
      <w:marRight w:val="0"/>
      <w:marTop w:val="0"/>
      <w:marBottom w:val="0"/>
      <w:divBdr>
        <w:top w:val="none" w:sz="0" w:space="0" w:color="auto"/>
        <w:left w:val="none" w:sz="0" w:space="0" w:color="auto"/>
        <w:bottom w:val="none" w:sz="0" w:space="0" w:color="auto"/>
        <w:right w:val="none" w:sz="0" w:space="0" w:color="auto"/>
      </w:divBdr>
    </w:div>
    <w:div w:id="59064771">
      <w:bodyDiv w:val="1"/>
      <w:marLeft w:val="0"/>
      <w:marRight w:val="0"/>
      <w:marTop w:val="0"/>
      <w:marBottom w:val="0"/>
      <w:divBdr>
        <w:top w:val="none" w:sz="0" w:space="0" w:color="auto"/>
        <w:left w:val="none" w:sz="0" w:space="0" w:color="auto"/>
        <w:bottom w:val="none" w:sz="0" w:space="0" w:color="auto"/>
        <w:right w:val="none" w:sz="0" w:space="0" w:color="auto"/>
      </w:divBdr>
    </w:div>
    <w:div w:id="76288085">
      <w:bodyDiv w:val="1"/>
      <w:marLeft w:val="0"/>
      <w:marRight w:val="0"/>
      <w:marTop w:val="0"/>
      <w:marBottom w:val="0"/>
      <w:divBdr>
        <w:top w:val="none" w:sz="0" w:space="0" w:color="auto"/>
        <w:left w:val="none" w:sz="0" w:space="0" w:color="auto"/>
        <w:bottom w:val="none" w:sz="0" w:space="0" w:color="auto"/>
        <w:right w:val="none" w:sz="0" w:space="0" w:color="auto"/>
      </w:divBdr>
    </w:div>
    <w:div w:id="84159697">
      <w:bodyDiv w:val="1"/>
      <w:marLeft w:val="0"/>
      <w:marRight w:val="0"/>
      <w:marTop w:val="0"/>
      <w:marBottom w:val="0"/>
      <w:divBdr>
        <w:top w:val="none" w:sz="0" w:space="0" w:color="auto"/>
        <w:left w:val="none" w:sz="0" w:space="0" w:color="auto"/>
        <w:bottom w:val="none" w:sz="0" w:space="0" w:color="auto"/>
        <w:right w:val="none" w:sz="0" w:space="0" w:color="auto"/>
      </w:divBdr>
    </w:div>
    <w:div w:id="116265489">
      <w:bodyDiv w:val="1"/>
      <w:marLeft w:val="0"/>
      <w:marRight w:val="0"/>
      <w:marTop w:val="0"/>
      <w:marBottom w:val="0"/>
      <w:divBdr>
        <w:top w:val="none" w:sz="0" w:space="0" w:color="auto"/>
        <w:left w:val="none" w:sz="0" w:space="0" w:color="auto"/>
        <w:bottom w:val="none" w:sz="0" w:space="0" w:color="auto"/>
        <w:right w:val="none" w:sz="0" w:space="0" w:color="auto"/>
      </w:divBdr>
    </w:div>
    <w:div w:id="118644203">
      <w:bodyDiv w:val="1"/>
      <w:marLeft w:val="0"/>
      <w:marRight w:val="0"/>
      <w:marTop w:val="0"/>
      <w:marBottom w:val="0"/>
      <w:divBdr>
        <w:top w:val="none" w:sz="0" w:space="0" w:color="auto"/>
        <w:left w:val="none" w:sz="0" w:space="0" w:color="auto"/>
        <w:bottom w:val="none" w:sz="0" w:space="0" w:color="auto"/>
        <w:right w:val="none" w:sz="0" w:space="0" w:color="auto"/>
      </w:divBdr>
    </w:div>
    <w:div w:id="119038441">
      <w:bodyDiv w:val="1"/>
      <w:marLeft w:val="0"/>
      <w:marRight w:val="0"/>
      <w:marTop w:val="0"/>
      <w:marBottom w:val="0"/>
      <w:divBdr>
        <w:top w:val="none" w:sz="0" w:space="0" w:color="auto"/>
        <w:left w:val="none" w:sz="0" w:space="0" w:color="auto"/>
        <w:bottom w:val="none" w:sz="0" w:space="0" w:color="auto"/>
        <w:right w:val="none" w:sz="0" w:space="0" w:color="auto"/>
      </w:divBdr>
    </w:div>
    <w:div w:id="119541909">
      <w:bodyDiv w:val="1"/>
      <w:marLeft w:val="0"/>
      <w:marRight w:val="0"/>
      <w:marTop w:val="0"/>
      <w:marBottom w:val="0"/>
      <w:divBdr>
        <w:top w:val="none" w:sz="0" w:space="0" w:color="auto"/>
        <w:left w:val="none" w:sz="0" w:space="0" w:color="auto"/>
        <w:bottom w:val="none" w:sz="0" w:space="0" w:color="auto"/>
        <w:right w:val="none" w:sz="0" w:space="0" w:color="auto"/>
      </w:divBdr>
    </w:div>
    <w:div w:id="119691929">
      <w:bodyDiv w:val="1"/>
      <w:marLeft w:val="0"/>
      <w:marRight w:val="0"/>
      <w:marTop w:val="0"/>
      <w:marBottom w:val="0"/>
      <w:divBdr>
        <w:top w:val="none" w:sz="0" w:space="0" w:color="auto"/>
        <w:left w:val="none" w:sz="0" w:space="0" w:color="auto"/>
        <w:bottom w:val="none" w:sz="0" w:space="0" w:color="auto"/>
        <w:right w:val="none" w:sz="0" w:space="0" w:color="auto"/>
      </w:divBdr>
    </w:div>
    <w:div w:id="119806639">
      <w:bodyDiv w:val="1"/>
      <w:marLeft w:val="0"/>
      <w:marRight w:val="0"/>
      <w:marTop w:val="0"/>
      <w:marBottom w:val="0"/>
      <w:divBdr>
        <w:top w:val="none" w:sz="0" w:space="0" w:color="auto"/>
        <w:left w:val="none" w:sz="0" w:space="0" w:color="auto"/>
        <w:bottom w:val="none" w:sz="0" w:space="0" w:color="auto"/>
        <w:right w:val="none" w:sz="0" w:space="0" w:color="auto"/>
      </w:divBdr>
    </w:div>
    <w:div w:id="123669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2564">
          <w:marLeft w:val="600"/>
          <w:marRight w:val="0"/>
          <w:marTop w:val="0"/>
          <w:marBottom w:val="0"/>
          <w:divBdr>
            <w:top w:val="none" w:sz="0" w:space="0" w:color="auto"/>
            <w:left w:val="none" w:sz="0" w:space="0" w:color="auto"/>
            <w:bottom w:val="none" w:sz="0" w:space="0" w:color="auto"/>
            <w:right w:val="none" w:sz="0" w:space="0" w:color="auto"/>
          </w:divBdr>
        </w:div>
      </w:divsChild>
    </w:div>
    <w:div w:id="124350379">
      <w:bodyDiv w:val="1"/>
      <w:marLeft w:val="0"/>
      <w:marRight w:val="0"/>
      <w:marTop w:val="0"/>
      <w:marBottom w:val="0"/>
      <w:divBdr>
        <w:top w:val="none" w:sz="0" w:space="0" w:color="auto"/>
        <w:left w:val="none" w:sz="0" w:space="0" w:color="auto"/>
        <w:bottom w:val="none" w:sz="0" w:space="0" w:color="auto"/>
        <w:right w:val="none" w:sz="0" w:space="0" w:color="auto"/>
      </w:divBdr>
    </w:div>
    <w:div w:id="124666609">
      <w:bodyDiv w:val="1"/>
      <w:marLeft w:val="0"/>
      <w:marRight w:val="0"/>
      <w:marTop w:val="0"/>
      <w:marBottom w:val="0"/>
      <w:divBdr>
        <w:top w:val="none" w:sz="0" w:space="0" w:color="auto"/>
        <w:left w:val="none" w:sz="0" w:space="0" w:color="auto"/>
        <w:bottom w:val="none" w:sz="0" w:space="0" w:color="auto"/>
        <w:right w:val="none" w:sz="0" w:space="0" w:color="auto"/>
      </w:divBdr>
    </w:div>
    <w:div w:id="130101343">
      <w:bodyDiv w:val="1"/>
      <w:marLeft w:val="0"/>
      <w:marRight w:val="0"/>
      <w:marTop w:val="0"/>
      <w:marBottom w:val="0"/>
      <w:divBdr>
        <w:top w:val="none" w:sz="0" w:space="0" w:color="auto"/>
        <w:left w:val="none" w:sz="0" w:space="0" w:color="auto"/>
        <w:bottom w:val="none" w:sz="0" w:space="0" w:color="auto"/>
        <w:right w:val="none" w:sz="0" w:space="0" w:color="auto"/>
      </w:divBdr>
    </w:div>
    <w:div w:id="130634344">
      <w:bodyDiv w:val="1"/>
      <w:marLeft w:val="0"/>
      <w:marRight w:val="0"/>
      <w:marTop w:val="0"/>
      <w:marBottom w:val="0"/>
      <w:divBdr>
        <w:top w:val="none" w:sz="0" w:space="0" w:color="auto"/>
        <w:left w:val="none" w:sz="0" w:space="0" w:color="auto"/>
        <w:bottom w:val="none" w:sz="0" w:space="0" w:color="auto"/>
        <w:right w:val="none" w:sz="0" w:space="0" w:color="auto"/>
      </w:divBdr>
    </w:div>
    <w:div w:id="132720912">
      <w:bodyDiv w:val="1"/>
      <w:marLeft w:val="0"/>
      <w:marRight w:val="0"/>
      <w:marTop w:val="0"/>
      <w:marBottom w:val="0"/>
      <w:divBdr>
        <w:top w:val="none" w:sz="0" w:space="0" w:color="auto"/>
        <w:left w:val="none" w:sz="0" w:space="0" w:color="auto"/>
        <w:bottom w:val="none" w:sz="0" w:space="0" w:color="auto"/>
        <w:right w:val="none" w:sz="0" w:space="0" w:color="auto"/>
      </w:divBdr>
      <w:divsChild>
        <w:div w:id="1234202472">
          <w:marLeft w:val="600"/>
          <w:marRight w:val="0"/>
          <w:marTop w:val="0"/>
          <w:marBottom w:val="0"/>
          <w:divBdr>
            <w:top w:val="none" w:sz="0" w:space="0" w:color="auto"/>
            <w:left w:val="none" w:sz="0" w:space="0" w:color="auto"/>
            <w:bottom w:val="none" w:sz="0" w:space="0" w:color="auto"/>
            <w:right w:val="none" w:sz="0" w:space="0" w:color="auto"/>
          </w:divBdr>
        </w:div>
      </w:divsChild>
    </w:div>
    <w:div w:id="135878627">
      <w:bodyDiv w:val="1"/>
      <w:marLeft w:val="0"/>
      <w:marRight w:val="0"/>
      <w:marTop w:val="0"/>
      <w:marBottom w:val="0"/>
      <w:divBdr>
        <w:top w:val="none" w:sz="0" w:space="0" w:color="auto"/>
        <w:left w:val="none" w:sz="0" w:space="0" w:color="auto"/>
        <w:bottom w:val="none" w:sz="0" w:space="0" w:color="auto"/>
        <w:right w:val="none" w:sz="0" w:space="0" w:color="auto"/>
      </w:divBdr>
    </w:div>
    <w:div w:id="139277635">
      <w:bodyDiv w:val="1"/>
      <w:marLeft w:val="0"/>
      <w:marRight w:val="0"/>
      <w:marTop w:val="0"/>
      <w:marBottom w:val="0"/>
      <w:divBdr>
        <w:top w:val="none" w:sz="0" w:space="0" w:color="auto"/>
        <w:left w:val="none" w:sz="0" w:space="0" w:color="auto"/>
        <w:bottom w:val="none" w:sz="0" w:space="0" w:color="auto"/>
        <w:right w:val="none" w:sz="0" w:space="0" w:color="auto"/>
      </w:divBdr>
    </w:div>
    <w:div w:id="141242286">
      <w:bodyDiv w:val="1"/>
      <w:marLeft w:val="0"/>
      <w:marRight w:val="0"/>
      <w:marTop w:val="0"/>
      <w:marBottom w:val="0"/>
      <w:divBdr>
        <w:top w:val="none" w:sz="0" w:space="0" w:color="auto"/>
        <w:left w:val="none" w:sz="0" w:space="0" w:color="auto"/>
        <w:bottom w:val="none" w:sz="0" w:space="0" w:color="auto"/>
        <w:right w:val="none" w:sz="0" w:space="0" w:color="auto"/>
      </w:divBdr>
    </w:div>
    <w:div w:id="149637985">
      <w:bodyDiv w:val="1"/>
      <w:marLeft w:val="0"/>
      <w:marRight w:val="0"/>
      <w:marTop w:val="0"/>
      <w:marBottom w:val="0"/>
      <w:divBdr>
        <w:top w:val="none" w:sz="0" w:space="0" w:color="auto"/>
        <w:left w:val="none" w:sz="0" w:space="0" w:color="auto"/>
        <w:bottom w:val="none" w:sz="0" w:space="0" w:color="auto"/>
        <w:right w:val="none" w:sz="0" w:space="0" w:color="auto"/>
      </w:divBdr>
    </w:div>
    <w:div w:id="152452881">
      <w:bodyDiv w:val="1"/>
      <w:marLeft w:val="0"/>
      <w:marRight w:val="0"/>
      <w:marTop w:val="0"/>
      <w:marBottom w:val="0"/>
      <w:divBdr>
        <w:top w:val="none" w:sz="0" w:space="0" w:color="auto"/>
        <w:left w:val="none" w:sz="0" w:space="0" w:color="auto"/>
        <w:bottom w:val="none" w:sz="0" w:space="0" w:color="auto"/>
        <w:right w:val="none" w:sz="0" w:space="0" w:color="auto"/>
      </w:divBdr>
    </w:div>
    <w:div w:id="172378631">
      <w:bodyDiv w:val="1"/>
      <w:marLeft w:val="0"/>
      <w:marRight w:val="0"/>
      <w:marTop w:val="0"/>
      <w:marBottom w:val="0"/>
      <w:divBdr>
        <w:top w:val="none" w:sz="0" w:space="0" w:color="auto"/>
        <w:left w:val="none" w:sz="0" w:space="0" w:color="auto"/>
        <w:bottom w:val="none" w:sz="0" w:space="0" w:color="auto"/>
        <w:right w:val="none" w:sz="0" w:space="0" w:color="auto"/>
      </w:divBdr>
    </w:div>
    <w:div w:id="182862740">
      <w:bodyDiv w:val="1"/>
      <w:marLeft w:val="0"/>
      <w:marRight w:val="0"/>
      <w:marTop w:val="0"/>
      <w:marBottom w:val="0"/>
      <w:divBdr>
        <w:top w:val="none" w:sz="0" w:space="0" w:color="auto"/>
        <w:left w:val="none" w:sz="0" w:space="0" w:color="auto"/>
        <w:bottom w:val="none" w:sz="0" w:space="0" w:color="auto"/>
        <w:right w:val="none" w:sz="0" w:space="0" w:color="auto"/>
      </w:divBdr>
      <w:divsChild>
        <w:div w:id="826559156">
          <w:marLeft w:val="600"/>
          <w:marRight w:val="0"/>
          <w:marTop w:val="0"/>
          <w:marBottom w:val="0"/>
          <w:divBdr>
            <w:top w:val="none" w:sz="0" w:space="0" w:color="auto"/>
            <w:left w:val="none" w:sz="0" w:space="0" w:color="auto"/>
            <w:bottom w:val="none" w:sz="0" w:space="0" w:color="auto"/>
            <w:right w:val="none" w:sz="0" w:space="0" w:color="auto"/>
          </w:divBdr>
        </w:div>
      </w:divsChild>
    </w:div>
    <w:div w:id="183637115">
      <w:bodyDiv w:val="1"/>
      <w:marLeft w:val="0"/>
      <w:marRight w:val="0"/>
      <w:marTop w:val="0"/>
      <w:marBottom w:val="0"/>
      <w:divBdr>
        <w:top w:val="none" w:sz="0" w:space="0" w:color="auto"/>
        <w:left w:val="none" w:sz="0" w:space="0" w:color="auto"/>
        <w:bottom w:val="none" w:sz="0" w:space="0" w:color="auto"/>
        <w:right w:val="none" w:sz="0" w:space="0" w:color="auto"/>
      </w:divBdr>
    </w:div>
    <w:div w:id="185486876">
      <w:bodyDiv w:val="1"/>
      <w:marLeft w:val="0"/>
      <w:marRight w:val="0"/>
      <w:marTop w:val="0"/>
      <w:marBottom w:val="0"/>
      <w:divBdr>
        <w:top w:val="none" w:sz="0" w:space="0" w:color="auto"/>
        <w:left w:val="none" w:sz="0" w:space="0" w:color="auto"/>
        <w:bottom w:val="none" w:sz="0" w:space="0" w:color="auto"/>
        <w:right w:val="none" w:sz="0" w:space="0" w:color="auto"/>
      </w:divBdr>
    </w:div>
    <w:div w:id="189539202">
      <w:bodyDiv w:val="1"/>
      <w:marLeft w:val="0"/>
      <w:marRight w:val="0"/>
      <w:marTop w:val="0"/>
      <w:marBottom w:val="0"/>
      <w:divBdr>
        <w:top w:val="none" w:sz="0" w:space="0" w:color="auto"/>
        <w:left w:val="none" w:sz="0" w:space="0" w:color="auto"/>
        <w:bottom w:val="none" w:sz="0" w:space="0" w:color="auto"/>
        <w:right w:val="none" w:sz="0" w:space="0" w:color="auto"/>
      </w:divBdr>
    </w:div>
    <w:div w:id="203519840">
      <w:bodyDiv w:val="1"/>
      <w:marLeft w:val="0"/>
      <w:marRight w:val="0"/>
      <w:marTop w:val="0"/>
      <w:marBottom w:val="0"/>
      <w:divBdr>
        <w:top w:val="none" w:sz="0" w:space="0" w:color="auto"/>
        <w:left w:val="none" w:sz="0" w:space="0" w:color="auto"/>
        <w:bottom w:val="none" w:sz="0" w:space="0" w:color="auto"/>
        <w:right w:val="none" w:sz="0" w:space="0" w:color="auto"/>
      </w:divBdr>
    </w:div>
    <w:div w:id="208688064">
      <w:bodyDiv w:val="1"/>
      <w:marLeft w:val="0"/>
      <w:marRight w:val="0"/>
      <w:marTop w:val="0"/>
      <w:marBottom w:val="0"/>
      <w:divBdr>
        <w:top w:val="none" w:sz="0" w:space="0" w:color="auto"/>
        <w:left w:val="none" w:sz="0" w:space="0" w:color="auto"/>
        <w:bottom w:val="none" w:sz="0" w:space="0" w:color="auto"/>
        <w:right w:val="none" w:sz="0" w:space="0" w:color="auto"/>
      </w:divBdr>
    </w:div>
    <w:div w:id="208953589">
      <w:bodyDiv w:val="1"/>
      <w:marLeft w:val="0"/>
      <w:marRight w:val="0"/>
      <w:marTop w:val="0"/>
      <w:marBottom w:val="0"/>
      <w:divBdr>
        <w:top w:val="none" w:sz="0" w:space="0" w:color="auto"/>
        <w:left w:val="none" w:sz="0" w:space="0" w:color="auto"/>
        <w:bottom w:val="none" w:sz="0" w:space="0" w:color="auto"/>
        <w:right w:val="none" w:sz="0" w:space="0" w:color="auto"/>
      </w:divBdr>
    </w:div>
    <w:div w:id="214895063">
      <w:bodyDiv w:val="1"/>
      <w:marLeft w:val="0"/>
      <w:marRight w:val="0"/>
      <w:marTop w:val="0"/>
      <w:marBottom w:val="0"/>
      <w:divBdr>
        <w:top w:val="none" w:sz="0" w:space="0" w:color="auto"/>
        <w:left w:val="none" w:sz="0" w:space="0" w:color="auto"/>
        <w:bottom w:val="none" w:sz="0" w:space="0" w:color="auto"/>
        <w:right w:val="none" w:sz="0" w:space="0" w:color="auto"/>
      </w:divBdr>
    </w:div>
    <w:div w:id="216743208">
      <w:bodyDiv w:val="1"/>
      <w:marLeft w:val="0"/>
      <w:marRight w:val="0"/>
      <w:marTop w:val="0"/>
      <w:marBottom w:val="0"/>
      <w:divBdr>
        <w:top w:val="none" w:sz="0" w:space="0" w:color="auto"/>
        <w:left w:val="none" w:sz="0" w:space="0" w:color="auto"/>
        <w:bottom w:val="none" w:sz="0" w:space="0" w:color="auto"/>
        <w:right w:val="none" w:sz="0" w:space="0" w:color="auto"/>
      </w:divBdr>
    </w:div>
    <w:div w:id="218172400">
      <w:bodyDiv w:val="1"/>
      <w:marLeft w:val="0"/>
      <w:marRight w:val="0"/>
      <w:marTop w:val="0"/>
      <w:marBottom w:val="0"/>
      <w:divBdr>
        <w:top w:val="none" w:sz="0" w:space="0" w:color="auto"/>
        <w:left w:val="none" w:sz="0" w:space="0" w:color="auto"/>
        <w:bottom w:val="none" w:sz="0" w:space="0" w:color="auto"/>
        <w:right w:val="none" w:sz="0" w:space="0" w:color="auto"/>
      </w:divBdr>
    </w:div>
    <w:div w:id="220750616">
      <w:bodyDiv w:val="1"/>
      <w:marLeft w:val="0"/>
      <w:marRight w:val="0"/>
      <w:marTop w:val="0"/>
      <w:marBottom w:val="0"/>
      <w:divBdr>
        <w:top w:val="none" w:sz="0" w:space="0" w:color="auto"/>
        <w:left w:val="none" w:sz="0" w:space="0" w:color="auto"/>
        <w:bottom w:val="none" w:sz="0" w:space="0" w:color="auto"/>
        <w:right w:val="none" w:sz="0" w:space="0" w:color="auto"/>
      </w:divBdr>
      <w:divsChild>
        <w:div w:id="849216653">
          <w:marLeft w:val="600"/>
          <w:marRight w:val="0"/>
          <w:marTop w:val="0"/>
          <w:marBottom w:val="0"/>
          <w:divBdr>
            <w:top w:val="none" w:sz="0" w:space="0" w:color="auto"/>
            <w:left w:val="none" w:sz="0" w:space="0" w:color="auto"/>
            <w:bottom w:val="none" w:sz="0" w:space="0" w:color="auto"/>
            <w:right w:val="none" w:sz="0" w:space="0" w:color="auto"/>
          </w:divBdr>
        </w:div>
      </w:divsChild>
    </w:div>
    <w:div w:id="222566598">
      <w:bodyDiv w:val="1"/>
      <w:marLeft w:val="0"/>
      <w:marRight w:val="0"/>
      <w:marTop w:val="0"/>
      <w:marBottom w:val="0"/>
      <w:divBdr>
        <w:top w:val="none" w:sz="0" w:space="0" w:color="auto"/>
        <w:left w:val="none" w:sz="0" w:space="0" w:color="auto"/>
        <w:bottom w:val="none" w:sz="0" w:space="0" w:color="auto"/>
        <w:right w:val="none" w:sz="0" w:space="0" w:color="auto"/>
      </w:divBdr>
    </w:div>
    <w:div w:id="223875008">
      <w:bodyDiv w:val="1"/>
      <w:marLeft w:val="0"/>
      <w:marRight w:val="0"/>
      <w:marTop w:val="0"/>
      <w:marBottom w:val="0"/>
      <w:divBdr>
        <w:top w:val="none" w:sz="0" w:space="0" w:color="auto"/>
        <w:left w:val="none" w:sz="0" w:space="0" w:color="auto"/>
        <w:bottom w:val="none" w:sz="0" w:space="0" w:color="auto"/>
        <w:right w:val="none" w:sz="0" w:space="0" w:color="auto"/>
      </w:divBdr>
    </w:div>
    <w:div w:id="225531666">
      <w:bodyDiv w:val="1"/>
      <w:marLeft w:val="0"/>
      <w:marRight w:val="0"/>
      <w:marTop w:val="0"/>
      <w:marBottom w:val="0"/>
      <w:divBdr>
        <w:top w:val="none" w:sz="0" w:space="0" w:color="auto"/>
        <w:left w:val="none" w:sz="0" w:space="0" w:color="auto"/>
        <w:bottom w:val="none" w:sz="0" w:space="0" w:color="auto"/>
        <w:right w:val="none" w:sz="0" w:space="0" w:color="auto"/>
      </w:divBdr>
    </w:div>
    <w:div w:id="227887919">
      <w:bodyDiv w:val="1"/>
      <w:marLeft w:val="0"/>
      <w:marRight w:val="0"/>
      <w:marTop w:val="0"/>
      <w:marBottom w:val="0"/>
      <w:divBdr>
        <w:top w:val="none" w:sz="0" w:space="0" w:color="auto"/>
        <w:left w:val="none" w:sz="0" w:space="0" w:color="auto"/>
        <w:bottom w:val="none" w:sz="0" w:space="0" w:color="auto"/>
        <w:right w:val="none" w:sz="0" w:space="0" w:color="auto"/>
      </w:divBdr>
    </w:div>
    <w:div w:id="240600133">
      <w:bodyDiv w:val="1"/>
      <w:marLeft w:val="0"/>
      <w:marRight w:val="0"/>
      <w:marTop w:val="0"/>
      <w:marBottom w:val="0"/>
      <w:divBdr>
        <w:top w:val="none" w:sz="0" w:space="0" w:color="auto"/>
        <w:left w:val="none" w:sz="0" w:space="0" w:color="auto"/>
        <w:bottom w:val="none" w:sz="0" w:space="0" w:color="auto"/>
        <w:right w:val="none" w:sz="0" w:space="0" w:color="auto"/>
      </w:divBdr>
    </w:div>
    <w:div w:id="244999068">
      <w:bodyDiv w:val="1"/>
      <w:marLeft w:val="0"/>
      <w:marRight w:val="0"/>
      <w:marTop w:val="0"/>
      <w:marBottom w:val="0"/>
      <w:divBdr>
        <w:top w:val="none" w:sz="0" w:space="0" w:color="auto"/>
        <w:left w:val="none" w:sz="0" w:space="0" w:color="auto"/>
        <w:bottom w:val="none" w:sz="0" w:space="0" w:color="auto"/>
        <w:right w:val="none" w:sz="0" w:space="0" w:color="auto"/>
      </w:divBdr>
      <w:divsChild>
        <w:div w:id="382868569">
          <w:marLeft w:val="600"/>
          <w:marRight w:val="0"/>
          <w:marTop w:val="0"/>
          <w:marBottom w:val="0"/>
          <w:divBdr>
            <w:top w:val="none" w:sz="0" w:space="0" w:color="auto"/>
            <w:left w:val="none" w:sz="0" w:space="0" w:color="auto"/>
            <w:bottom w:val="none" w:sz="0" w:space="0" w:color="auto"/>
            <w:right w:val="none" w:sz="0" w:space="0" w:color="auto"/>
          </w:divBdr>
        </w:div>
      </w:divsChild>
    </w:div>
    <w:div w:id="248081305">
      <w:bodyDiv w:val="1"/>
      <w:marLeft w:val="0"/>
      <w:marRight w:val="0"/>
      <w:marTop w:val="0"/>
      <w:marBottom w:val="0"/>
      <w:divBdr>
        <w:top w:val="none" w:sz="0" w:space="0" w:color="auto"/>
        <w:left w:val="none" w:sz="0" w:space="0" w:color="auto"/>
        <w:bottom w:val="none" w:sz="0" w:space="0" w:color="auto"/>
        <w:right w:val="none" w:sz="0" w:space="0" w:color="auto"/>
      </w:divBdr>
    </w:div>
    <w:div w:id="248388190">
      <w:bodyDiv w:val="1"/>
      <w:marLeft w:val="0"/>
      <w:marRight w:val="0"/>
      <w:marTop w:val="0"/>
      <w:marBottom w:val="0"/>
      <w:divBdr>
        <w:top w:val="none" w:sz="0" w:space="0" w:color="auto"/>
        <w:left w:val="none" w:sz="0" w:space="0" w:color="auto"/>
        <w:bottom w:val="none" w:sz="0" w:space="0" w:color="auto"/>
        <w:right w:val="none" w:sz="0" w:space="0" w:color="auto"/>
      </w:divBdr>
    </w:div>
    <w:div w:id="254632314">
      <w:bodyDiv w:val="1"/>
      <w:marLeft w:val="0"/>
      <w:marRight w:val="0"/>
      <w:marTop w:val="0"/>
      <w:marBottom w:val="0"/>
      <w:divBdr>
        <w:top w:val="none" w:sz="0" w:space="0" w:color="auto"/>
        <w:left w:val="none" w:sz="0" w:space="0" w:color="auto"/>
        <w:bottom w:val="none" w:sz="0" w:space="0" w:color="auto"/>
        <w:right w:val="none" w:sz="0" w:space="0" w:color="auto"/>
      </w:divBdr>
      <w:divsChild>
        <w:div w:id="1686787028">
          <w:marLeft w:val="806"/>
          <w:marRight w:val="0"/>
          <w:marTop w:val="86"/>
          <w:marBottom w:val="0"/>
          <w:divBdr>
            <w:top w:val="none" w:sz="0" w:space="0" w:color="auto"/>
            <w:left w:val="none" w:sz="0" w:space="0" w:color="auto"/>
            <w:bottom w:val="none" w:sz="0" w:space="0" w:color="auto"/>
            <w:right w:val="none" w:sz="0" w:space="0" w:color="auto"/>
          </w:divBdr>
        </w:div>
      </w:divsChild>
    </w:div>
    <w:div w:id="256258204">
      <w:bodyDiv w:val="1"/>
      <w:marLeft w:val="0"/>
      <w:marRight w:val="0"/>
      <w:marTop w:val="0"/>
      <w:marBottom w:val="0"/>
      <w:divBdr>
        <w:top w:val="none" w:sz="0" w:space="0" w:color="auto"/>
        <w:left w:val="none" w:sz="0" w:space="0" w:color="auto"/>
        <w:bottom w:val="none" w:sz="0" w:space="0" w:color="auto"/>
        <w:right w:val="none" w:sz="0" w:space="0" w:color="auto"/>
      </w:divBdr>
    </w:div>
    <w:div w:id="256326475">
      <w:bodyDiv w:val="1"/>
      <w:marLeft w:val="0"/>
      <w:marRight w:val="0"/>
      <w:marTop w:val="0"/>
      <w:marBottom w:val="0"/>
      <w:divBdr>
        <w:top w:val="none" w:sz="0" w:space="0" w:color="auto"/>
        <w:left w:val="none" w:sz="0" w:space="0" w:color="auto"/>
        <w:bottom w:val="none" w:sz="0" w:space="0" w:color="auto"/>
        <w:right w:val="none" w:sz="0" w:space="0" w:color="auto"/>
      </w:divBdr>
    </w:div>
    <w:div w:id="259215387">
      <w:bodyDiv w:val="1"/>
      <w:marLeft w:val="0"/>
      <w:marRight w:val="0"/>
      <w:marTop w:val="0"/>
      <w:marBottom w:val="0"/>
      <w:divBdr>
        <w:top w:val="none" w:sz="0" w:space="0" w:color="auto"/>
        <w:left w:val="none" w:sz="0" w:space="0" w:color="auto"/>
        <w:bottom w:val="none" w:sz="0" w:space="0" w:color="auto"/>
        <w:right w:val="none" w:sz="0" w:space="0" w:color="auto"/>
      </w:divBdr>
    </w:div>
    <w:div w:id="276525210">
      <w:bodyDiv w:val="1"/>
      <w:marLeft w:val="0"/>
      <w:marRight w:val="0"/>
      <w:marTop w:val="0"/>
      <w:marBottom w:val="0"/>
      <w:divBdr>
        <w:top w:val="none" w:sz="0" w:space="0" w:color="auto"/>
        <w:left w:val="none" w:sz="0" w:space="0" w:color="auto"/>
        <w:bottom w:val="none" w:sz="0" w:space="0" w:color="auto"/>
        <w:right w:val="none" w:sz="0" w:space="0" w:color="auto"/>
      </w:divBdr>
    </w:div>
    <w:div w:id="283583871">
      <w:bodyDiv w:val="1"/>
      <w:marLeft w:val="0"/>
      <w:marRight w:val="0"/>
      <w:marTop w:val="0"/>
      <w:marBottom w:val="0"/>
      <w:divBdr>
        <w:top w:val="none" w:sz="0" w:space="0" w:color="auto"/>
        <w:left w:val="none" w:sz="0" w:space="0" w:color="auto"/>
        <w:bottom w:val="none" w:sz="0" w:space="0" w:color="auto"/>
        <w:right w:val="none" w:sz="0" w:space="0" w:color="auto"/>
      </w:divBdr>
    </w:div>
    <w:div w:id="283774504">
      <w:bodyDiv w:val="1"/>
      <w:marLeft w:val="0"/>
      <w:marRight w:val="0"/>
      <w:marTop w:val="0"/>
      <w:marBottom w:val="0"/>
      <w:divBdr>
        <w:top w:val="none" w:sz="0" w:space="0" w:color="auto"/>
        <w:left w:val="none" w:sz="0" w:space="0" w:color="auto"/>
        <w:bottom w:val="none" w:sz="0" w:space="0" w:color="auto"/>
        <w:right w:val="none" w:sz="0" w:space="0" w:color="auto"/>
      </w:divBdr>
    </w:div>
    <w:div w:id="293412453">
      <w:bodyDiv w:val="1"/>
      <w:marLeft w:val="0"/>
      <w:marRight w:val="0"/>
      <w:marTop w:val="0"/>
      <w:marBottom w:val="0"/>
      <w:divBdr>
        <w:top w:val="none" w:sz="0" w:space="0" w:color="auto"/>
        <w:left w:val="none" w:sz="0" w:space="0" w:color="auto"/>
        <w:bottom w:val="none" w:sz="0" w:space="0" w:color="auto"/>
        <w:right w:val="none" w:sz="0" w:space="0" w:color="auto"/>
      </w:divBdr>
    </w:div>
    <w:div w:id="296953660">
      <w:bodyDiv w:val="1"/>
      <w:marLeft w:val="0"/>
      <w:marRight w:val="0"/>
      <w:marTop w:val="0"/>
      <w:marBottom w:val="0"/>
      <w:divBdr>
        <w:top w:val="none" w:sz="0" w:space="0" w:color="auto"/>
        <w:left w:val="none" w:sz="0" w:space="0" w:color="auto"/>
        <w:bottom w:val="none" w:sz="0" w:space="0" w:color="auto"/>
        <w:right w:val="none" w:sz="0" w:space="0" w:color="auto"/>
      </w:divBdr>
    </w:div>
    <w:div w:id="301421941">
      <w:bodyDiv w:val="1"/>
      <w:marLeft w:val="0"/>
      <w:marRight w:val="0"/>
      <w:marTop w:val="0"/>
      <w:marBottom w:val="0"/>
      <w:divBdr>
        <w:top w:val="none" w:sz="0" w:space="0" w:color="auto"/>
        <w:left w:val="none" w:sz="0" w:space="0" w:color="auto"/>
        <w:bottom w:val="none" w:sz="0" w:space="0" w:color="auto"/>
        <w:right w:val="none" w:sz="0" w:space="0" w:color="auto"/>
      </w:divBdr>
    </w:div>
    <w:div w:id="303899731">
      <w:bodyDiv w:val="1"/>
      <w:marLeft w:val="0"/>
      <w:marRight w:val="0"/>
      <w:marTop w:val="0"/>
      <w:marBottom w:val="0"/>
      <w:divBdr>
        <w:top w:val="none" w:sz="0" w:space="0" w:color="auto"/>
        <w:left w:val="none" w:sz="0" w:space="0" w:color="auto"/>
        <w:bottom w:val="none" w:sz="0" w:space="0" w:color="auto"/>
        <w:right w:val="none" w:sz="0" w:space="0" w:color="auto"/>
      </w:divBdr>
    </w:div>
    <w:div w:id="304049004">
      <w:bodyDiv w:val="1"/>
      <w:marLeft w:val="0"/>
      <w:marRight w:val="0"/>
      <w:marTop w:val="0"/>
      <w:marBottom w:val="0"/>
      <w:divBdr>
        <w:top w:val="none" w:sz="0" w:space="0" w:color="auto"/>
        <w:left w:val="none" w:sz="0" w:space="0" w:color="auto"/>
        <w:bottom w:val="none" w:sz="0" w:space="0" w:color="auto"/>
        <w:right w:val="none" w:sz="0" w:space="0" w:color="auto"/>
      </w:divBdr>
    </w:div>
    <w:div w:id="317998315">
      <w:bodyDiv w:val="1"/>
      <w:marLeft w:val="0"/>
      <w:marRight w:val="0"/>
      <w:marTop w:val="0"/>
      <w:marBottom w:val="0"/>
      <w:divBdr>
        <w:top w:val="none" w:sz="0" w:space="0" w:color="auto"/>
        <w:left w:val="none" w:sz="0" w:space="0" w:color="auto"/>
        <w:bottom w:val="none" w:sz="0" w:space="0" w:color="auto"/>
        <w:right w:val="none" w:sz="0" w:space="0" w:color="auto"/>
      </w:divBdr>
    </w:div>
    <w:div w:id="318703048">
      <w:bodyDiv w:val="1"/>
      <w:marLeft w:val="0"/>
      <w:marRight w:val="0"/>
      <w:marTop w:val="0"/>
      <w:marBottom w:val="0"/>
      <w:divBdr>
        <w:top w:val="none" w:sz="0" w:space="0" w:color="auto"/>
        <w:left w:val="none" w:sz="0" w:space="0" w:color="auto"/>
        <w:bottom w:val="none" w:sz="0" w:space="0" w:color="auto"/>
        <w:right w:val="none" w:sz="0" w:space="0" w:color="auto"/>
      </w:divBdr>
    </w:div>
    <w:div w:id="322315683">
      <w:bodyDiv w:val="1"/>
      <w:marLeft w:val="0"/>
      <w:marRight w:val="0"/>
      <w:marTop w:val="0"/>
      <w:marBottom w:val="0"/>
      <w:divBdr>
        <w:top w:val="none" w:sz="0" w:space="0" w:color="auto"/>
        <w:left w:val="none" w:sz="0" w:space="0" w:color="auto"/>
        <w:bottom w:val="none" w:sz="0" w:space="0" w:color="auto"/>
        <w:right w:val="none" w:sz="0" w:space="0" w:color="auto"/>
      </w:divBdr>
    </w:div>
    <w:div w:id="326397081">
      <w:bodyDiv w:val="1"/>
      <w:marLeft w:val="0"/>
      <w:marRight w:val="0"/>
      <w:marTop w:val="0"/>
      <w:marBottom w:val="0"/>
      <w:divBdr>
        <w:top w:val="none" w:sz="0" w:space="0" w:color="auto"/>
        <w:left w:val="none" w:sz="0" w:space="0" w:color="auto"/>
        <w:bottom w:val="none" w:sz="0" w:space="0" w:color="auto"/>
        <w:right w:val="none" w:sz="0" w:space="0" w:color="auto"/>
      </w:divBdr>
    </w:div>
    <w:div w:id="329601063">
      <w:bodyDiv w:val="1"/>
      <w:marLeft w:val="0"/>
      <w:marRight w:val="0"/>
      <w:marTop w:val="0"/>
      <w:marBottom w:val="0"/>
      <w:divBdr>
        <w:top w:val="none" w:sz="0" w:space="0" w:color="auto"/>
        <w:left w:val="none" w:sz="0" w:space="0" w:color="auto"/>
        <w:bottom w:val="none" w:sz="0" w:space="0" w:color="auto"/>
        <w:right w:val="none" w:sz="0" w:space="0" w:color="auto"/>
      </w:divBdr>
    </w:div>
    <w:div w:id="341737386">
      <w:bodyDiv w:val="1"/>
      <w:marLeft w:val="0"/>
      <w:marRight w:val="0"/>
      <w:marTop w:val="0"/>
      <w:marBottom w:val="0"/>
      <w:divBdr>
        <w:top w:val="none" w:sz="0" w:space="0" w:color="auto"/>
        <w:left w:val="none" w:sz="0" w:space="0" w:color="auto"/>
        <w:bottom w:val="none" w:sz="0" w:space="0" w:color="auto"/>
        <w:right w:val="none" w:sz="0" w:space="0" w:color="auto"/>
      </w:divBdr>
    </w:div>
    <w:div w:id="343286638">
      <w:bodyDiv w:val="1"/>
      <w:marLeft w:val="0"/>
      <w:marRight w:val="0"/>
      <w:marTop w:val="0"/>
      <w:marBottom w:val="0"/>
      <w:divBdr>
        <w:top w:val="none" w:sz="0" w:space="0" w:color="auto"/>
        <w:left w:val="none" w:sz="0" w:space="0" w:color="auto"/>
        <w:bottom w:val="none" w:sz="0" w:space="0" w:color="auto"/>
        <w:right w:val="none" w:sz="0" w:space="0" w:color="auto"/>
      </w:divBdr>
    </w:div>
    <w:div w:id="345333226">
      <w:bodyDiv w:val="1"/>
      <w:marLeft w:val="0"/>
      <w:marRight w:val="0"/>
      <w:marTop w:val="0"/>
      <w:marBottom w:val="0"/>
      <w:divBdr>
        <w:top w:val="none" w:sz="0" w:space="0" w:color="auto"/>
        <w:left w:val="none" w:sz="0" w:space="0" w:color="auto"/>
        <w:bottom w:val="none" w:sz="0" w:space="0" w:color="auto"/>
        <w:right w:val="none" w:sz="0" w:space="0" w:color="auto"/>
      </w:divBdr>
    </w:div>
    <w:div w:id="359014812">
      <w:bodyDiv w:val="1"/>
      <w:marLeft w:val="0"/>
      <w:marRight w:val="0"/>
      <w:marTop w:val="0"/>
      <w:marBottom w:val="0"/>
      <w:divBdr>
        <w:top w:val="none" w:sz="0" w:space="0" w:color="auto"/>
        <w:left w:val="none" w:sz="0" w:space="0" w:color="auto"/>
        <w:bottom w:val="none" w:sz="0" w:space="0" w:color="auto"/>
        <w:right w:val="none" w:sz="0" w:space="0" w:color="auto"/>
      </w:divBdr>
    </w:div>
    <w:div w:id="359670261">
      <w:bodyDiv w:val="1"/>
      <w:marLeft w:val="0"/>
      <w:marRight w:val="0"/>
      <w:marTop w:val="0"/>
      <w:marBottom w:val="0"/>
      <w:divBdr>
        <w:top w:val="none" w:sz="0" w:space="0" w:color="auto"/>
        <w:left w:val="none" w:sz="0" w:space="0" w:color="auto"/>
        <w:bottom w:val="none" w:sz="0" w:space="0" w:color="auto"/>
        <w:right w:val="none" w:sz="0" w:space="0" w:color="auto"/>
      </w:divBdr>
    </w:div>
    <w:div w:id="372116658">
      <w:bodyDiv w:val="1"/>
      <w:marLeft w:val="0"/>
      <w:marRight w:val="0"/>
      <w:marTop w:val="0"/>
      <w:marBottom w:val="0"/>
      <w:divBdr>
        <w:top w:val="none" w:sz="0" w:space="0" w:color="auto"/>
        <w:left w:val="none" w:sz="0" w:space="0" w:color="auto"/>
        <w:bottom w:val="none" w:sz="0" w:space="0" w:color="auto"/>
        <w:right w:val="none" w:sz="0" w:space="0" w:color="auto"/>
      </w:divBdr>
    </w:div>
    <w:div w:id="374740955">
      <w:bodyDiv w:val="1"/>
      <w:marLeft w:val="0"/>
      <w:marRight w:val="0"/>
      <w:marTop w:val="0"/>
      <w:marBottom w:val="0"/>
      <w:divBdr>
        <w:top w:val="none" w:sz="0" w:space="0" w:color="auto"/>
        <w:left w:val="none" w:sz="0" w:space="0" w:color="auto"/>
        <w:bottom w:val="none" w:sz="0" w:space="0" w:color="auto"/>
        <w:right w:val="none" w:sz="0" w:space="0" w:color="auto"/>
      </w:divBdr>
      <w:divsChild>
        <w:div w:id="110714550">
          <w:marLeft w:val="480"/>
          <w:marRight w:val="0"/>
          <w:marTop w:val="0"/>
          <w:marBottom w:val="0"/>
          <w:divBdr>
            <w:top w:val="none" w:sz="0" w:space="0" w:color="auto"/>
            <w:left w:val="none" w:sz="0" w:space="0" w:color="auto"/>
            <w:bottom w:val="none" w:sz="0" w:space="0" w:color="auto"/>
            <w:right w:val="none" w:sz="0" w:space="0" w:color="auto"/>
          </w:divBdr>
        </w:div>
      </w:divsChild>
    </w:div>
    <w:div w:id="375473322">
      <w:bodyDiv w:val="1"/>
      <w:marLeft w:val="0"/>
      <w:marRight w:val="0"/>
      <w:marTop w:val="0"/>
      <w:marBottom w:val="0"/>
      <w:divBdr>
        <w:top w:val="none" w:sz="0" w:space="0" w:color="auto"/>
        <w:left w:val="none" w:sz="0" w:space="0" w:color="auto"/>
        <w:bottom w:val="none" w:sz="0" w:space="0" w:color="auto"/>
        <w:right w:val="none" w:sz="0" w:space="0" w:color="auto"/>
      </w:divBdr>
    </w:div>
    <w:div w:id="376319403">
      <w:bodyDiv w:val="1"/>
      <w:marLeft w:val="0"/>
      <w:marRight w:val="0"/>
      <w:marTop w:val="0"/>
      <w:marBottom w:val="0"/>
      <w:divBdr>
        <w:top w:val="none" w:sz="0" w:space="0" w:color="auto"/>
        <w:left w:val="none" w:sz="0" w:space="0" w:color="auto"/>
        <w:bottom w:val="none" w:sz="0" w:space="0" w:color="auto"/>
        <w:right w:val="none" w:sz="0" w:space="0" w:color="auto"/>
      </w:divBdr>
    </w:div>
    <w:div w:id="379323171">
      <w:bodyDiv w:val="1"/>
      <w:marLeft w:val="0"/>
      <w:marRight w:val="0"/>
      <w:marTop w:val="0"/>
      <w:marBottom w:val="0"/>
      <w:divBdr>
        <w:top w:val="none" w:sz="0" w:space="0" w:color="auto"/>
        <w:left w:val="none" w:sz="0" w:space="0" w:color="auto"/>
        <w:bottom w:val="none" w:sz="0" w:space="0" w:color="auto"/>
        <w:right w:val="none" w:sz="0" w:space="0" w:color="auto"/>
      </w:divBdr>
    </w:div>
    <w:div w:id="388921955">
      <w:bodyDiv w:val="1"/>
      <w:marLeft w:val="0"/>
      <w:marRight w:val="0"/>
      <w:marTop w:val="0"/>
      <w:marBottom w:val="0"/>
      <w:divBdr>
        <w:top w:val="none" w:sz="0" w:space="0" w:color="auto"/>
        <w:left w:val="none" w:sz="0" w:space="0" w:color="auto"/>
        <w:bottom w:val="none" w:sz="0" w:space="0" w:color="auto"/>
        <w:right w:val="none" w:sz="0" w:space="0" w:color="auto"/>
      </w:divBdr>
      <w:divsChild>
        <w:div w:id="1826388880">
          <w:marLeft w:val="600"/>
          <w:marRight w:val="0"/>
          <w:marTop w:val="0"/>
          <w:marBottom w:val="0"/>
          <w:divBdr>
            <w:top w:val="none" w:sz="0" w:space="0" w:color="auto"/>
            <w:left w:val="none" w:sz="0" w:space="0" w:color="auto"/>
            <w:bottom w:val="none" w:sz="0" w:space="0" w:color="auto"/>
            <w:right w:val="none" w:sz="0" w:space="0" w:color="auto"/>
          </w:divBdr>
        </w:div>
        <w:div w:id="21829454">
          <w:marLeft w:val="600"/>
          <w:marRight w:val="0"/>
          <w:marTop w:val="0"/>
          <w:marBottom w:val="0"/>
          <w:divBdr>
            <w:top w:val="none" w:sz="0" w:space="0" w:color="auto"/>
            <w:left w:val="none" w:sz="0" w:space="0" w:color="auto"/>
            <w:bottom w:val="none" w:sz="0" w:space="0" w:color="auto"/>
            <w:right w:val="none" w:sz="0" w:space="0" w:color="auto"/>
          </w:divBdr>
        </w:div>
      </w:divsChild>
    </w:div>
    <w:div w:id="395516894">
      <w:bodyDiv w:val="1"/>
      <w:marLeft w:val="0"/>
      <w:marRight w:val="0"/>
      <w:marTop w:val="0"/>
      <w:marBottom w:val="0"/>
      <w:divBdr>
        <w:top w:val="none" w:sz="0" w:space="0" w:color="auto"/>
        <w:left w:val="none" w:sz="0" w:space="0" w:color="auto"/>
        <w:bottom w:val="none" w:sz="0" w:space="0" w:color="auto"/>
        <w:right w:val="none" w:sz="0" w:space="0" w:color="auto"/>
      </w:divBdr>
    </w:div>
    <w:div w:id="399790605">
      <w:bodyDiv w:val="1"/>
      <w:marLeft w:val="0"/>
      <w:marRight w:val="0"/>
      <w:marTop w:val="0"/>
      <w:marBottom w:val="0"/>
      <w:divBdr>
        <w:top w:val="none" w:sz="0" w:space="0" w:color="auto"/>
        <w:left w:val="none" w:sz="0" w:space="0" w:color="auto"/>
        <w:bottom w:val="none" w:sz="0" w:space="0" w:color="auto"/>
        <w:right w:val="none" w:sz="0" w:space="0" w:color="auto"/>
      </w:divBdr>
    </w:div>
    <w:div w:id="405808953">
      <w:bodyDiv w:val="1"/>
      <w:marLeft w:val="0"/>
      <w:marRight w:val="0"/>
      <w:marTop w:val="0"/>
      <w:marBottom w:val="0"/>
      <w:divBdr>
        <w:top w:val="none" w:sz="0" w:space="0" w:color="auto"/>
        <w:left w:val="none" w:sz="0" w:space="0" w:color="auto"/>
        <w:bottom w:val="none" w:sz="0" w:space="0" w:color="auto"/>
        <w:right w:val="none" w:sz="0" w:space="0" w:color="auto"/>
      </w:divBdr>
      <w:divsChild>
        <w:div w:id="2039508583">
          <w:marLeft w:val="600"/>
          <w:marRight w:val="0"/>
          <w:marTop w:val="0"/>
          <w:marBottom w:val="0"/>
          <w:divBdr>
            <w:top w:val="none" w:sz="0" w:space="0" w:color="auto"/>
            <w:left w:val="none" w:sz="0" w:space="0" w:color="auto"/>
            <w:bottom w:val="none" w:sz="0" w:space="0" w:color="auto"/>
            <w:right w:val="none" w:sz="0" w:space="0" w:color="auto"/>
          </w:divBdr>
        </w:div>
      </w:divsChild>
    </w:div>
    <w:div w:id="411314290">
      <w:bodyDiv w:val="1"/>
      <w:marLeft w:val="0"/>
      <w:marRight w:val="0"/>
      <w:marTop w:val="0"/>
      <w:marBottom w:val="0"/>
      <w:divBdr>
        <w:top w:val="none" w:sz="0" w:space="0" w:color="auto"/>
        <w:left w:val="none" w:sz="0" w:space="0" w:color="auto"/>
        <w:bottom w:val="none" w:sz="0" w:space="0" w:color="auto"/>
        <w:right w:val="none" w:sz="0" w:space="0" w:color="auto"/>
      </w:divBdr>
    </w:div>
    <w:div w:id="411703819">
      <w:bodyDiv w:val="1"/>
      <w:marLeft w:val="0"/>
      <w:marRight w:val="0"/>
      <w:marTop w:val="0"/>
      <w:marBottom w:val="0"/>
      <w:divBdr>
        <w:top w:val="none" w:sz="0" w:space="0" w:color="auto"/>
        <w:left w:val="none" w:sz="0" w:space="0" w:color="auto"/>
        <w:bottom w:val="none" w:sz="0" w:space="0" w:color="auto"/>
        <w:right w:val="none" w:sz="0" w:space="0" w:color="auto"/>
      </w:divBdr>
    </w:div>
    <w:div w:id="416751905">
      <w:bodyDiv w:val="1"/>
      <w:marLeft w:val="0"/>
      <w:marRight w:val="0"/>
      <w:marTop w:val="0"/>
      <w:marBottom w:val="0"/>
      <w:divBdr>
        <w:top w:val="none" w:sz="0" w:space="0" w:color="auto"/>
        <w:left w:val="none" w:sz="0" w:space="0" w:color="auto"/>
        <w:bottom w:val="none" w:sz="0" w:space="0" w:color="auto"/>
        <w:right w:val="none" w:sz="0" w:space="0" w:color="auto"/>
      </w:divBdr>
      <w:divsChild>
        <w:div w:id="1006907456">
          <w:marLeft w:val="600"/>
          <w:marRight w:val="0"/>
          <w:marTop w:val="0"/>
          <w:marBottom w:val="0"/>
          <w:divBdr>
            <w:top w:val="none" w:sz="0" w:space="0" w:color="auto"/>
            <w:left w:val="none" w:sz="0" w:space="0" w:color="auto"/>
            <w:bottom w:val="none" w:sz="0" w:space="0" w:color="auto"/>
            <w:right w:val="none" w:sz="0" w:space="0" w:color="auto"/>
          </w:divBdr>
        </w:div>
      </w:divsChild>
    </w:div>
    <w:div w:id="427891176">
      <w:bodyDiv w:val="1"/>
      <w:marLeft w:val="0"/>
      <w:marRight w:val="0"/>
      <w:marTop w:val="0"/>
      <w:marBottom w:val="0"/>
      <w:divBdr>
        <w:top w:val="none" w:sz="0" w:space="0" w:color="auto"/>
        <w:left w:val="none" w:sz="0" w:space="0" w:color="auto"/>
        <w:bottom w:val="none" w:sz="0" w:space="0" w:color="auto"/>
        <w:right w:val="none" w:sz="0" w:space="0" w:color="auto"/>
      </w:divBdr>
    </w:div>
    <w:div w:id="428503679">
      <w:bodyDiv w:val="1"/>
      <w:marLeft w:val="0"/>
      <w:marRight w:val="0"/>
      <w:marTop w:val="0"/>
      <w:marBottom w:val="0"/>
      <w:divBdr>
        <w:top w:val="none" w:sz="0" w:space="0" w:color="auto"/>
        <w:left w:val="none" w:sz="0" w:space="0" w:color="auto"/>
        <w:bottom w:val="none" w:sz="0" w:space="0" w:color="auto"/>
        <w:right w:val="none" w:sz="0" w:space="0" w:color="auto"/>
      </w:divBdr>
    </w:div>
    <w:div w:id="433786068">
      <w:bodyDiv w:val="1"/>
      <w:marLeft w:val="0"/>
      <w:marRight w:val="0"/>
      <w:marTop w:val="0"/>
      <w:marBottom w:val="0"/>
      <w:divBdr>
        <w:top w:val="none" w:sz="0" w:space="0" w:color="auto"/>
        <w:left w:val="none" w:sz="0" w:space="0" w:color="auto"/>
        <w:bottom w:val="none" w:sz="0" w:space="0" w:color="auto"/>
        <w:right w:val="none" w:sz="0" w:space="0" w:color="auto"/>
      </w:divBdr>
      <w:divsChild>
        <w:div w:id="686755435">
          <w:marLeft w:val="600"/>
          <w:marRight w:val="0"/>
          <w:marTop w:val="0"/>
          <w:marBottom w:val="0"/>
          <w:divBdr>
            <w:top w:val="none" w:sz="0" w:space="0" w:color="auto"/>
            <w:left w:val="none" w:sz="0" w:space="0" w:color="auto"/>
            <w:bottom w:val="none" w:sz="0" w:space="0" w:color="auto"/>
            <w:right w:val="none" w:sz="0" w:space="0" w:color="auto"/>
          </w:divBdr>
        </w:div>
      </w:divsChild>
    </w:div>
    <w:div w:id="435095940">
      <w:bodyDiv w:val="1"/>
      <w:marLeft w:val="0"/>
      <w:marRight w:val="0"/>
      <w:marTop w:val="0"/>
      <w:marBottom w:val="0"/>
      <w:divBdr>
        <w:top w:val="none" w:sz="0" w:space="0" w:color="auto"/>
        <w:left w:val="none" w:sz="0" w:space="0" w:color="auto"/>
        <w:bottom w:val="none" w:sz="0" w:space="0" w:color="auto"/>
        <w:right w:val="none" w:sz="0" w:space="0" w:color="auto"/>
      </w:divBdr>
    </w:div>
    <w:div w:id="443963285">
      <w:bodyDiv w:val="1"/>
      <w:marLeft w:val="0"/>
      <w:marRight w:val="0"/>
      <w:marTop w:val="0"/>
      <w:marBottom w:val="0"/>
      <w:divBdr>
        <w:top w:val="none" w:sz="0" w:space="0" w:color="auto"/>
        <w:left w:val="none" w:sz="0" w:space="0" w:color="auto"/>
        <w:bottom w:val="none" w:sz="0" w:space="0" w:color="auto"/>
        <w:right w:val="none" w:sz="0" w:space="0" w:color="auto"/>
      </w:divBdr>
    </w:div>
    <w:div w:id="447891523">
      <w:bodyDiv w:val="1"/>
      <w:marLeft w:val="0"/>
      <w:marRight w:val="0"/>
      <w:marTop w:val="0"/>
      <w:marBottom w:val="0"/>
      <w:divBdr>
        <w:top w:val="none" w:sz="0" w:space="0" w:color="auto"/>
        <w:left w:val="none" w:sz="0" w:space="0" w:color="auto"/>
        <w:bottom w:val="none" w:sz="0" w:space="0" w:color="auto"/>
        <w:right w:val="none" w:sz="0" w:space="0" w:color="auto"/>
      </w:divBdr>
    </w:div>
    <w:div w:id="451899561">
      <w:bodyDiv w:val="1"/>
      <w:marLeft w:val="0"/>
      <w:marRight w:val="0"/>
      <w:marTop w:val="0"/>
      <w:marBottom w:val="0"/>
      <w:divBdr>
        <w:top w:val="none" w:sz="0" w:space="0" w:color="auto"/>
        <w:left w:val="none" w:sz="0" w:space="0" w:color="auto"/>
        <w:bottom w:val="none" w:sz="0" w:space="0" w:color="auto"/>
        <w:right w:val="none" w:sz="0" w:space="0" w:color="auto"/>
      </w:divBdr>
    </w:div>
    <w:div w:id="462312054">
      <w:bodyDiv w:val="1"/>
      <w:marLeft w:val="0"/>
      <w:marRight w:val="0"/>
      <w:marTop w:val="0"/>
      <w:marBottom w:val="0"/>
      <w:divBdr>
        <w:top w:val="none" w:sz="0" w:space="0" w:color="auto"/>
        <w:left w:val="none" w:sz="0" w:space="0" w:color="auto"/>
        <w:bottom w:val="none" w:sz="0" w:space="0" w:color="auto"/>
        <w:right w:val="none" w:sz="0" w:space="0" w:color="auto"/>
      </w:divBdr>
    </w:div>
    <w:div w:id="465394120">
      <w:bodyDiv w:val="1"/>
      <w:marLeft w:val="0"/>
      <w:marRight w:val="0"/>
      <w:marTop w:val="0"/>
      <w:marBottom w:val="0"/>
      <w:divBdr>
        <w:top w:val="none" w:sz="0" w:space="0" w:color="auto"/>
        <w:left w:val="none" w:sz="0" w:space="0" w:color="auto"/>
        <w:bottom w:val="none" w:sz="0" w:space="0" w:color="auto"/>
        <w:right w:val="none" w:sz="0" w:space="0" w:color="auto"/>
      </w:divBdr>
    </w:div>
    <w:div w:id="469203695">
      <w:bodyDiv w:val="1"/>
      <w:marLeft w:val="0"/>
      <w:marRight w:val="0"/>
      <w:marTop w:val="0"/>
      <w:marBottom w:val="0"/>
      <w:divBdr>
        <w:top w:val="none" w:sz="0" w:space="0" w:color="auto"/>
        <w:left w:val="none" w:sz="0" w:space="0" w:color="auto"/>
        <w:bottom w:val="none" w:sz="0" w:space="0" w:color="auto"/>
        <w:right w:val="none" w:sz="0" w:space="0" w:color="auto"/>
      </w:divBdr>
    </w:div>
    <w:div w:id="476000343">
      <w:bodyDiv w:val="1"/>
      <w:marLeft w:val="0"/>
      <w:marRight w:val="0"/>
      <w:marTop w:val="0"/>
      <w:marBottom w:val="0"/>
      <w:divBdr>
        <w:top w:val="none" w:sz="0" w:space="0" w:color="auto"/>
        <w:left w:val="none" w:sz="0" w:space="0" w:color="auto"/>
        <w:bottom w:val="none" w:sz="0" w:space="0" w:color="auto"/>
        <w:right w:val="none" w:sz="0" w:space="0" w:color="auto"/>
      </w:divBdr>
    </w:div>
    <w:div w:id="478497476">
      <w:bodyDiv w:val="1"/>
      <w:marLeft w:val="0"/>
      <w:marRight w:val="0"/>
      <w:marTop w:val="0"/>
      <w:marBottom w:val="0"/>
      <w:divBdr>
        <w:top w:val="none" w:sz="0" w:space="0" w:color="auto"/>
        <w:left w:val="none" w:sz="0" w:space="0" w:color="auto"/>
        <w:bottom w:val="none" w:sz="0" w:space="0" w:color="auto"/>
        <w:right w:val="none" w:sz="0" w:space="0" w:color="auto"/>
      </w:divBdr>
    </w:div>
    <w:div w:id="487551043">
      <w:bodyDiv w:val="1"/>
      <w:marLeft w:val="0"/>
      <w:marRight w:val="0"/>
      <w:marTop w:val="0"/>
      <w:marBottom w:val="0"/>
      <w:divBdr>
        <w:top w:val="none" w:sz="0" w:space="0" w:color="auto"/>
        <w:left w:val="none" w:sz="0" w:space="0" w:color="auto"/>
        <w:bottom w:val="none" w:sz="0" w:space="0" w:color="auto"/>
        <w:right w:val="none" w:sz="0" w:space="0" w:color="auto"/>
      </w:divBdr>
    </w:div>
    <w:div w:id="492649407">
      <w:bodyDiv w:val="1"/>
      <w:marLeft w:val="0"/>
      <w:marRight w:val="0"/>
      <w:marTop w:val="0"/>
      <w:marBottom w:val="0"/>
      <w:divBdr>
        <w:top w:val="none" w:sz="0" w:space="0" w:color="auto"/>
        <w:left w:val="none" w:sz="0" w:space="0" w:color="auto"/>
        <w:bottom w:val="none" w:sz="0" w:space="0" w:color="auto"/>
        <w:right w:val="none" w:sz="0" w:space="0" w:color="auto"/>
      </w:divBdr>
    </w:div>
    <w:div w:id="498809712">
      <w:bodyDiv w:val="1"/>
      <w:marLeft w:val="0"/>
      <w:marRight w:val="0"/>
      <w:marTop w:val="0"/>
      <w:marBottom w:val="0"/>
      <w:divBdr>
        <w:top w:val="none" w:sz="0" w:space="0" w:color="auto"/>
        <w:left w:val="none" w:sz="0" w:space="0" w:color="auto"/>
        <w:bottom w:val="none" w:sz="0" w:space="0" w:color="auto"/>
        <w:right w:val="none" w:sz="0" w:space="0" w:color="auto"/>
      </w:divBdr>
    </w:div>
    <w:div w:id="498814869">
      <w:bodyDiv w:val="1"/>
      <w:marLeft w:val="0"/>
      <w:marRight w:val="0"/>
      <w:marTop w:val="0"/>
      <w:marBottom w:val="0"/>
      <w:divBdr>
        <w:top w:val="none" w:sz="0" w:space="0" w:color="auto"/>
        <w:left w:val="none" w:sz="0" w:space="0" w:color="auto"/>
        <w:bottom w:val="none" w:sz="0" w:space="0" w:color="auto"/>
        <w:right w:val="none" w:sz="0" w:space="0" w:color="auto"/>
      </w:divBdr>
      <w:divsChild>
        <w:div w:id="794907885">
          <w:marLeft w:val="600"/>
          <w:marRight w:val="0"/>
          <w:marTop w:val="0"/>
          <w:marBottom w:val="0"/>
          <w:divBdr>
            <w:top w:val="none" w:sz="0" w:space="0" w:color="auto"/>
            <w:left w:val="none" w:sz="0" w:space="0" w:color="auto"/>
            <w:bottom w:val="none" w:sz="0" w:space="0" w:color="auto"/>
            <w:right w:val="none" w:sz="0" w:space="0" w:color="auto"/>
          </w:divBdr>
        </w:div>
      </w:divsChild>
    </w:div>
    <w:div w:id="509569354">
      <w:bodyDiv w:val="1"/>
      <w:marLeft w:val="0"/>
      <w:marRight w:val="0"/>
      <w:marTop w:val="0"/>
      <w:marBottom w:val="0"/>
      <w:divBdr>
        <w:top w:val="none" w:sz="0" w:space="0" w:color="auto"/>
        <w:left w:val="none" w:sz="0" w:space="0" w:color="auto"/>
        <w:bottom w:val="none" w:sz="0" w:space="0" w:color="auto"/>
        <w:right w:val="none" w:sz="0" w:space="0" w:color="auto"/>
      </w:divBdr>
    </w:div>
    <w:div w:id="513954824">
      <w:bodyDiv w:val="1"/>
      <w:marLeft w:val="0"/>
      <w:marRight w:val="0"/>
      <w:marTop w:val="0"/>
      <w:marBottom w:val="0"/>
      <w:divBdr>
        <w:top w:val="none" w:sz="0" w:space="0" w:color="auto"/>
        <w:left w:val="none" w:sz="0" w:space="0" w:color="auto"/>
        <w:bottom w:val="none" w:sz="0" w:space="0" w:color="auto"/>
        <w:right w:val="none" w:sz="0" w:space="0" w:color="auto"/>
      </w:divBdr>
    </w:div>
    <w:div w:id="516311324">
      <w:bodyDiv w:val="1"/>
      <w:marLeft w:val="0"/>
      <w:marRight w:val="0"/>
      <w:marTop w:val="0"/>
      <w:marBottom w:val="0"/>
      <w:divBdr>
        <w:top w:val="none" w:sz="0" w:space="0" w:color="auto"/>
        <w:left w:val="none" w:sz="0" w:space="0" w:color="auto"/>
        <w:bottom w:val="none" w:sz="0" w:space="0" w:color="auto"/>
        <w:right w:val="none" w:sz="0" w:space="0" w:color="auto"/>
      </w:divBdr>
    </w:div>
    <w:div w:id="524368490">
      <w:bodyDiv w:val="1"/>
      <w:marLeft w:val="0"/>
      <w:marRight w:val="0"/>
      <w:marTop w:val="0"/>
      <w:marBottom w:val="0"/>
      <w:divBdr>
        <w:top w:val="none" w:sz="0" w:space="0" w:color="auto"/>
        <w:left w:val="none" w:sz="0" w:space="0" w:color="auto"/>
        <w:bottom w:val="none" w:sz="0" w:space="0" w:color="auto"/>
        <w:right w:val="none" w:sz="0" w:space="0" w:color="auto"/>
      </w:divBdr>
    </w:div>
    <w:div w:id="531067434">
      <w:bodyDiv w:val="1"/>
      <w:marLeft w:val="0"/>
      <w:marRight w:val="0"/>
      <w:marTop w:val="0"/>
      <w:marBottom w:val="0"/>
      <w:divBdr>
        <w:top w:val="none" w:sz="0" w:space="0" w:color="auto"/>
        <w:left w:val="none" w:sz="0" w:space="0" w:color="auto"/>
        <w:bottom w:val="none" w:sz="0" w:space="0" w:color="auto"/>
        <w:right w:val="none" w:sz="0" w:space="0" w:color="auto"/>
      </w:divBdr>
    </w:div>
    <w:div w:id="532496755">
      <w:bodyDiv w:val="1"/>
      <w:marLeft w:val="0"/>
      <w:marRight w:val="0"/>
      <w:marTop w:val="0"/>
      <w:marBottom w:val="0"/>
      <w:divBdr>
        <w:top w:val="none" w:sz="0" w:space="0" w:color="auto"/>
        <w:left w:val="none" w:sz="0" w:space="0" w:color="auto"/>
        <w:bottom w:val="none" w:sz="0" w:space="0" w:color="auto"/>
        <w:right w:val="none" w:sz="0" w:space="0" w:color="auto"/>
      </w:divBdr>
    </w:div>
    <w:div w:id="547492480">
      <w:bodyDiv w:val="1"/>
      <w:marLeft w:val="0"/>
      <w:marRight w:val="0"/>
      <w:marTop w:val="0"/>
      <w:marBottom w:val="0"/>
      <w:divBdr>
        <w:top w:val="none" w:sz="0" w:space="0" w:color="auto"/>
        <w:left w:val="none" w:sz="0" w:space="0" w:color="auto"/>
        <w:bottom w:val="none" w:sz="0" w:space="0" w:color="auto"/>
        <w:right w:val="none" w:sz="0" w:space="0" w:color="auto"/>
      </w:divBdr>
    </w:div>
    <w:div w:id="549416502">
      <w:bodyDiv w:val="1"/>
      <w:marLeft w:val="0"/>
      <w:marRight w:val="0"/>
      <w:marTop w:val="0"/>
      <w:marBottom w:val="0"/>
      <w:divBdr>
        <w:top w:val="none" w:sz="0" w:space="0" w:color="auto"/>
        <w:left w:val="none" w:sz="0" w:space="0" w:color="auto"/>
        <w:bottom w:val="none" w:sz="0" w:space="0" w:color="auto"/>
        <w:right w:val="none" w:sz="0" w:space="0" w:color="auto"/>
      </w:divBdr>
    </w:div>
    <w:div w:id="555244525">
      <w:bodyDiv w:val="1"/>
      <w:marLeft w:val="0"/>
      <w:marRight w:val="0"/>
      <w:marTop w:val="0"/>
      <w:marBottom w:val="0"/>
      <w:divBdr>
        <w:top w:val="none" w:sz="0" w:space="0" w:color="auto"/>
        <w:left w:val="none" w:sz="0" w:space="0" w:color="auto"/>
        <w:bottom w:val="none" w:sz="0" w:space="0" w:color="auto"/>
        <w:right w:val="none" w:sz="0" w:space="0" w:color="auto"/>
      </w:divBdr>
    </w:div>
    <w:div w:id="556405437">
      <w:bodyDiv w:val="1"/>
      <w:marLeft w:val="0"/>
      <w:marRight w:val="0"/>
      <w:marTop w:val="0"/>
      <w:marBottom w:val="0"/>
      <w:divBdr>
        <w:top w:val="none" w:sz="0" w:space="0" w:color="auto"/>
        <w:left w:val="none" w:sz="0" w:space="0" w:color="auto"/>
        <w:bottom w:val="none" w:sz="0" w:space="0" w:color="auto"/>
        <w:right w:val="none" w:sz="0" w:space="0" w:color="auto"/>
      </w:divBdr>
    </w:div>
    <w:div w:id="556933612">
      <w:bodyDiv w:val="1"/>
      <w:marLeft w:val="0"/>
      <w:marRight w:val="0"/>
      <w:marTop w:val="0"/>
      <w:marBottom w:val="0"/>
      <w:divBdr>
        <w:top w:val="none" w:sz="0" w:space="0" w:color="auto"/>
        <w:left w:val="none" w:sz="0" w:space="0" w:color="auto"/>
        <w:bottom w:val="none" w:sz="0" w:space="0" w:color="auto"/>
        <w:right w:val="none" w:sz="0" w:space="0" w:color="auto"/>
      </w:divBdr>
    </w:div>
    <w:div w:id="557711830">
      <w:bodyDiv w:val="1"/>
      <w:marLeft w:val="0"/>
      <w:marRight w:val="0"/>
      <w:marTop w:val="0"/>
      <w:marBottom w:val="0"/>
      <w:divBdr>
        <w:top w:val="none" w:sz="0" w:space="0" w:color="auto"/>
        <w:left w:val="none" w:sz="0" w:space="0" w:color="auto"/>
        <w:bottom w:val="none" w:sz="0" w:space="0" w:color="auto"/>
        <w:right w:val="none" w:sz="0" w:space="0" w:color="auto"/>
      </w:divBdr>
    </w:div>
    <w:div w:id="573205649">
      <w:bodyDiv w:val="1"/>
      <w:marLeft w:val="0"/>
      <w:marRight w:val="0"/>
      <w:marTop w:val="0"/>
      <w:marBottom w:val="0"/>
      <w:divBdr>
        <w:top w:val="none" w:sz="0" w:space="0" w:color="auto"/>
        <w:left w:val="none" w:sz="0" w:space="0" w:color="auto"/>
        <w:bottom w:val="none" w:sz="0" w:space="0" w:color="auto"/>
        <w:right w:val="none" w:sz="0" w:space="0" w:color="auto"/>
      </w:divBdr>
    </w:div>
    <w:div w:id="582179514">
      <w:bodyDiv w:val="1"/>
      <w:marLeft w:val="0"/>
      <w:marRight w:val="0"/>
      <w:marTop w:val="0"/>
      <w:marBottom w:val="0"/>
      <w:divBdr>
        <w:top w:val="none" w:sz="0" w:space="0" w:color="auto"/>
        <w:left w:val="none" w:sz="0" w:space="0" w:color="auto"/>
        <w:bottom w:val="none" w:sz="0" w:space="0" w:color="auto"/>
        <w:right w:val="none" w:sz="0" w:space="0" w:color="auto"/>
      </w:divBdr>
    </w:div>
    <w:div w:id="586236493">
      <w:bodyDiv w:val="1"/>
      <w:marLeft w:val="0"/>
      <w:marRight w:val="0"/>
      <w:marTop w:val="0"/>
      <w:marBottom w:val="0"/>
      <w:divBdr>
        <w:top w:val="none" w:sz="0" w:space="0" w:color="auto"/>
        <w:left w:val="none" w:sz="0" w:space="0" w:color="auto"/>
        <w:bottom w:val="none" w:sz="0" w:space="0" w:color="auto"/>
        <w:right w:val="none" w:sz="0" w:space="0" w:color="auto"/>
      </w:divBdr>
    </w:div>
    <w:div w:id="586504519">
      <w:bodyDiv w:val="1"/>
      <w:marLeft w:val="0"/>
      <w:marRight w:val="0"/>
      <w:marTop w:val="0"/>
      <w:marBottom w:val="0"/>
      <w:divBdr>
        <w:top w:val="none" w:sz="0" w:space="0" w:color="auto"/>
        <w:left w:val="none" w:sz="0" w:space="0" w:color="auto"/>
        <w:bottom w:val="none" w:sz="0" w:space="0" w:color="auto"/>
        <w:right w:val="none" w:sz="0" w:space="0" w:color="auto"/>
      </w:divBdr>
    </w:div>
    <w:div w:id="587271381">
      <w:bodyDiv w:val="1"/>
      <w:marLeft w:val="0"/>
      <w:marRight w:val="0"/>
      <w:marTop w:val="0"/>
      <w:marBottom w:val="0"/>
      <w:divBdr>
        <w:top w:val="none" w:sz="0" w:space="0" w:color="auto"/>
        <w:left w:val="none" w:sz="0" w:space="0" w:color="auto"/>
        <w:bottom w:val="none" w:sz="0" w:space="0" w:color="auto"/>
        <w:right w:val="none" w:sz="0" w:space="0" w:color="auto"/>
      </w:divBdr>
    </w:div>
    <w:div w:id="593825068">
      <w:bodyDiv w:val="1"/>
      <w:marLeft w:val="0"/>
      <w:marRight w:val="0"/>
      <w:marTop w:val="0"/>
      <w:marBottom w:val="0"/>
      <w:divBdr>
        <w:top w:val="none" w:sz="0" w:space="0" w:color="auto"/>
        <w:left w:val="none" w:sz="0" w:space="0" w:color="auto"/>
        <w:bottom w:val="none" w:sz="0" w:space="0" w:color="auto"/>
        <w:right w:val="none" w:sz="0" w:space="0" w:color="auto"/>
      </w:divBdr>
    </w:div>
    <w:div w:id="605582801">
      <w:bodyDiv w:val="1"/>
      <w:marLeft w:val="0"/>
      <w:marRight w:val="0"/>
      <w:marTop w:val="0"/>
      <w:marBottom w:val="0"/>
      <w:divBdr>
        <w:top w:val="none" w:sz="0" w:space="0" w:color="auto"/>
        <w:left w:val="none" w:sz="0" w:space="0" w:color="auto"/>
        <w:bottom w:val="none" w:sz="0" w:space="0" w:color="auto"/>
        <w:right w:val="none" w:sz="0" w:space="0" w:color="auto"/>
      </w:divBdr>
    </w:div>
    <w:div w:id="617680907">
      <w:bodyDiv w:val="1"/>
      <w:marLeft w:val="0"/>
      <w:marRight w:val="0"/>
      <w:marTop w:val="0"/>
      <w:marBottom w:val="0"/>
      <w:divBdr>
        <w:top w:val="none" w:sz="0" w:space="0" w:color="auto"/>
        <w:left w:val="none" w:sz="0" w:space="0" w:color="auto"/>
        <w:bottom w:val="none" w:sz="0" w:space="0" w:color="auto"/>
        <w:right w:val="none" w:sz="0" w:space="0" w:color="auto"/>
      </w:divBdr>
    </w:div>
    <w:div w:id="620498906">
      <w:bodyDiv w:val="1"/>
      <w:marLeft w:val="0"/>
      <w:marRight w:val="0"/>
      <w:marTop w:val="0"/>
      <w:marBottom w:val="0"/>
      <w:divBdr>
        <w:top w:val="none" w:sz="0" w:space="0" w:color="auto"/>
        <w:left w:val="none" w:sz="0" w:space="0" w:color="auto"/>
        <w:bottom w:val="none" w:sz="0" w:space="0" w:color="auto"/>
        <w:right w:val="none" w:sz="0" w:space="0" w:color="auto"/>
      </w:divBdr>
    </w:div>
    <w:div w:id="621157588">
      <w:bodyDiv w:val="1"/>
      <w:marLeft w:val="0"/>
      <w:marRight w:val="0"/>
      <w:marTop w:val="0"/>
      <w:marBottom w:val="0"/>
      <w:divBdr>
        <w:top w:val="none" w:sz="0" w:space="0" w:color="auto"/>
        <w:left w:val="none" w:sz="0" w:space="0" w:color="auto"/>
        <w:bottom w:val="none" w:sz="0" w:space="0" w:color="auto"/>
        <w:right w:val="none" w:sz="0" w:space="0" w:color="auto"/>
      </w:divBdr>
    </w:div>
    <w:div w:id="626358346">
      <w:bodyDiv w:val="1"/>
      <w:marLeft w:val="0"/>
      <w:marRight w:val="0"/>
      <w:marTop w:val="0"/>
      <w:marBottom w:val="0"/>
      <w:divBdr>
        <w:top w:val="none" w:sz="0" w:space="0" w:color="auto"/>
        <w:left w:val="none" w:sz="0" w:space="0" w:color="auto"/>
        <w:bottom w:val="none" w:sz="0" w:space="0" w:color="auto"/>
        <w:right w:val="none" w:sz="0" w:space="0" w:color="auto"/>
      </w:divBdr>
    </w:div>
    <w:div w:id="628828673">
      <w:bodyDiv w:val="1"/>
      <w:marLeft w:val="0"/>
      <w:marRight w:val="0"/>
      <w:marTop w:val="0"/>
      <w:marBottom w:val="0"/>
      <w:divBdr>
        <w:top w:val="none" w:sz="0" w:space="0" w:color="auto"/>
        <w:left w:val="none" w:sz="0" w:space="0" w:color="auto"/>
        <w:bottom w:val="none" w:sz="0" w:space="0" w:color="auto"/>
        <w:right w:val="none" w:sz="0" w:space="0" w:color="auto"/>
      </w:divBdr>
    </w:div>
    <w:div w:id="637682361">
      <w:bodyDiv w:val="1"/>
      <w:marLeft w:val="0"/>
      <w:marRight w:val="0"/>
      <w:marTop w:val="0"/>
      <w:marBottom w:val="0"/>
      <w:divBdr>
        <w:top w:val="none" w:sz="0" w:space="0" w:color="auto"/>
        <w:left w:val="none" w:sz="0" w:space="0" w:color="auto"/>
        <w:bottom w:val="none" w:sz="0" w:space="0" w:color="auto"/>
        <w:right w:val="none" w:sz="0" w:space="0" w:color="auto"/>
      </w:divBdr>
    </w:div>
    <w:div w:id="638926249">
      <w:bodyDiv w:val="1"/>
      <w:marLeft w:val="0"/>
      <w:marRight w:val="0"/>
      <w:marTop w:val="0"/>
      <w:marBottom w:val="0"/>
      <w:divBdr>
        <w:top w:val="none" w:sz="0" w:space="0" w:color="auto"/>
        <w:left w:val="none" w:sz="0" w:space="0" w:color="auto"/>
        <w:bottom w:val="none" w:sz="0" w:space="0" w:color="auto"/>
        <w:right w:val="none" w:sz="0" w:space="0" w:color="auto"/>
      </w:divBdr>
    </w:div>
    <w:div w:id="642738558">
      <w:bodyDiv w:val="1"/>
      <w:marLeft w:val="0"/>
      <w:marRight w:val="0"/>
      <w:marTop w:val="0"/>
      <w:marBottom w:val="0"/>
      <w:divBdr>
        <w:top w:val="none" w:sz="0" w:space="0" w:color="auto"/>
        <w:left w:val="none" w:sz="0" w:space="0" w:color="auto"/>
        <w:bottom w:val="none" w:sz="0" w:space="0" w:color="auto"/>
        <w:right w:val="none" w:sz="0" w:space="0" w:color="auto"/>
      </w:divBdr>
    </w:div>
    <w:div w:id="643124016">
      <w:bodyDiv w:val="1"/>
      <w:marLeft w:val="0"/>
      <w:marRight w:val="0"/>
      <w:marTop w:val="0"/>
      <w:marBottom w:val="0"/>
      <w:divBdr>
        <w:top w:val="none" w:sz="0" w:space="0" w:color="auto"/>
        <w:left w:val="none" w:sz="0" w:space="0" w:color="auto"/>
        <w:bottom w:val="none" w:sz="0" w:space="0" w:color="auto"/>
        <w:right w:val="none" w:sz="0" w:space="0" w:color="auto"/>
      </w:divBdr>
      <w:divsChild>
        <w:div w:id="1082875271">
          <w:marLeft w:val="600"/>
          <w:marRight w:val="0"/>
          <w:marTop w:val="0"/>
          <w:marBottom w:val="0"/>
          <w:divBdr>
            <w:top w:val="none" w:sz="0" w:space="0" w:color="auto"/>
            <w:left w:val="none" w:sz="0" w:space="0" w:color="auto"/>
            <w:bottom w:val="none" w:sz="0" w:space="0" w:color="auto"/>
            <w:right w:val="none" w:sz="0" w:space="0" w:color="auto"/>
          </w:divBdr>
        </w:div>
      </w:divsChild>
    </w:div>
    <w:div w:id="646015588">
      <w:bodyDiv w:val="1"/>
      <w:marLeft w:val="0"/>
      <w:marRight w:val="0"/>
      <w:marTop w:val="0"/>
      <w:marBottom w:val="0"/>
      <w:divBdr>
        <w:top w:val="none" w:sz="0" w:space="0" w:color="auto"/>
        <w:left w:val="none" w:sz="0" w:space="0" w:color="auto"/>
        <w:bottom w:val="none" w:sz="0" w:space="0" w:color="auto"/>
        <w:right w:val="none" w:sz="0" w:space="0" w:color="auto"/>
      </w:divBdr>
    </w:div>
    <w:div w:id="647710875">
      <w:bodyDiv w:val="1"/>
      <w:marLeft w:val="0"/>
      <w:marRight w:val="0"/>
      <w:marTop w:val="0"/>
      <w:marBottom w:val="0"/>
      <w:divBdr>
        <w:top w:val="none" w:sz="0" w:space="0" w:color="auto"/>
        <w:left w:val="none" w:sz="0" w:space="0" w:color="auto"/>
        <w:bottom w:val="none" w:sz="0" w:space="0" w:color="auto"/>
        <w:right w:val="none" w:sz="0" w:space="0" w:color="auto"/>
      </w:divBdr>
      <w:divsChild>
        <w:div w:id="333188441">
          <w:marLeft w:val="600"/>
          <w:marRight w:val="0"/>
          <w:marTop w:val="0"/>
          <w:marBottom w:val="0"/>
          <w:divBdr>
            <w:top w:val="none" w:sz="0" w:space="0" w:color="auto"/>
            <w:left w:val="none" w:sz="0" w:space="0" w:color="auto"/>
            <w:bottom w:val="none" w:sz="0" w:space="0" w:color="auto"/>
            <w:right w:val="none" w:sz="0" w:space="0" w:color="auto"/>
          </w:divBdr>
        </w:div>
      </w:divsChild>
    </w:div>
    <w:div w:id="656299584">
      <w:bodyDiv w:val="1"/>
      <w:marLeft w:val="0"/>
      <w:marRight w:val="0"/>
      <w:marTop w:val="0"/>
      <w:marBottom w:val="0"/>
      <w:divBdr>
        <w:top w:val="none" w:sz="0" w:space="0" w:color="auto"/>
        <w:left w:val="none" w:sz="0" w:space="0" w:color="auto"/>
        <w:bottom w:val="none" w:sz="0" w:space="0" w:color="auto"/>
        <w:right w:val="none" w:sz="0" w:space="0" w:color="auto"/>
      </w:divBdr>
    </w:div>
    <w:div w:id="658652176">
      <w:bodyDiv w:val="1"/>
      <w:marLeft w:val="0"/>
      <w:marRight w:val="0"/>
      <w:marTop w:val="0"/>
      <w:marBottom w:val="0"/>
      <w:divBdr>
        <w:top w:val="none" w:sz="0" w:space="0" w:color="auto"/>
        <w:left w:val="none" w:sz="0" w:space="0" w:color="auto"/>
        <w:bottom w:val="none" w:sz="0" w:space="0" w:color="auto"/>
        <w:right w:val="none" w:sz="0" w:space="0" w:color="auto"/>
      </w:divBdr>
    </w:div>
    <w:div w:id="659651671">
      <w:bodyDiv w:val="1"/>
      <w:marLeft w:val="0"/>
      <w:marRight w:val="0"/>
      <w:marTop w:val="0"/>
      <w:marBottom w:val="0"/>
      <w:divBdr>
        <w:top w:val="none" w:sz="0" w:space="0" w:color="auto"/>
        <w:left w:val="none" w:sz="0" w:space="0" w:color="auto"/>
        <w:bottom w:val="none" w:sz="0" w:space="0" w:color="auto"/>
        <w:right w:val="none" w:sz="0" w:space="0" w:color="auto"/>
      </w:divBdr>
    </w:div>
    <w:div w:id="665211705">
      <w:bodyDiv w:val="1"/>
      <w:marLeft w:val="0"/>
      <w:marRight w:val="0"/>
      <w:marTop w:val="0"/>
      <w:marBottom w:val="0"/>
      <w:divBdr>
        <w:top w:val="none" w:sz="0" w:space="0" w:color="auto"/>
        <w:left w:val="none" w:sz="0" w:space="0" w:color="auto"/>
        <w:bottom w:val="none" w:sz="0" w:space="0" w:color="auto"/>
        <w:right w:val="none" w:sz="0" w:space="0" w:color="auto"/>
      </w:divBdr>
    </w:div>
    <w:div w:id="665329124">
      <w:bodyDiv w:val="1"/>
      <w:marLeft w:val="0"/>
      <w:marRight w:val="0"/>
      <w:marTop w:val="0"/>
      <w:marBottom w:val="0"/>
      <w:divBdr>
        <w:top w:val="none" w:sz="0" w:space="0" w:color="auto"/>
        <w:left w:val="none" w:sz="0" w:space="0" w:color="auto"/>
        <w:bottom w:val="none" w:sz="0" w:space="0" w:color="auto"/>
        <w:right w:val="none" w:sz="0" w:space="0" w:color="auto"/>
      </w:divBdr>
    </w:div>
    <w:div w:id="678626862">
      <w:bodyDiv w:val="1"/>
      <w:marLeft w:val="0"/>
      <w:marRight w:val="0"/>
      <w:marTop w:val="0"/>
      <w:marBottom w:val="0"/>
      <w:divBdr>
        <w:top w:val="none" w:sz="0" w:space="0" w:color="auto"/>
        <w:left w:val="none" w:sz="0" w:space="0" w:color="auto"/>
        <w:bottom w:val="none" w:sz="0" w:space="0" w:color="auto"/>
        <w:right w:val="none" w:sz="0" w:space="0" w:color="auto"/>
      </w:divBdr>
    </w:div>
    <w:div w:id="679039514">
      <w:bodyDiv w:val="1"/>
      <w:marLeft w:val="0"/>
      <w:marRight w:val="0"/>
      <w:marTop w:val="0"/>
      <w:marBottom w:val="0"/>
      <w:divBdr>
        <w:top w:val="none" w:sz="0" w:space="0" w:color="auto"/>
        <w:left w:val="none" w:sz="0" w:space="0" w:color="auto"/>
        <w:bottom w:val="none" w:sz="0" w:space="0" w:color="auto"/>
        <w:right w:val="none" w:sz="0" w:space="0" w:color="auto"/>
      </w:divBdr>
    </w:div>
    <w:div w:id="679965405">
      <w:bodyDiv w:val="1"/>
      <w:marLeft w:val="0"/>
      <w:marRight w:val="0"/>
      <w:marTop w:val="0"/>
      <w:marBottom w:val="0"/>
      <w:divBdr>
        <w:top w:val="none" w:sz="0" w:space="0" w:color="auto"/>
        <w:left w:val="none" w:sz="0" w:space="0" w:color="auto"/>
        <w:bottom w:val="none" w:sz="0" w:space="0" w:color="auto"/>
        <w:right w:val="none" w:sz="0" w:space="0" w:color="auto"/>
      </w:divBdr>
    </w:div>
    <w:div w:id="681400520">
      <w:bodyDiv w:val="1"/>
      <w:marLeft w:val="0"/>
      <w:marRight w:val="0"/>
      <w:marTop w:val="0"/>
      <w:marBottom w:val="0"/>
      <w:divBdr>
        <w:top w:val="none" w:sz="0" w:space="0" w:color="auto"/>
        <w:left w:val="none" w:sz="0" w:space="0" w:color="auto"/>
        <w:bottom w:val="none" w:sz="0" w:space="0" w:color="auto"/>
        <w:right w:val="none" w:sz="0" w:space="0" w:color="auto"/>
      </w:divBdr>
      <w:divsChild>
        <w:div w:id="1199931172">
          <w:marLeft w:val="0"/>
          <w:marRight w:val="0"/>
          <w:marTop w:val="45"/>
          <w:marBottom w:val="0"/>
          <w:divBdr>
            <w:top w:val="single" w:sz="6" w:space="0" w:color="000000"/>
            <w:left w:val="single" w:sz="6" w:space="0" w:color="000000"/>
            <w:bottom w:val="single" w:sz="6" w:space="0" w:color="000000"/>
            <w:right w:val="single" w:sz="6" w:space="0" w:color="000000"/>
          </w:divBdr>
        </w:div>
      </w:divsChild>
    </w:div>
    <w:div w:id="681977217">
      <w:bodyDiv w:val="1"/>
      <w:marLeft w:val="0"/>
      <w:marRight w:val="0"/>
      <w:marTop w:val="0"/>
      <w:marBottom w:val="0"/>
      <w:divBdr>
        <w:top w:val="none" w:sz="0" w:space="0" w:color="auto"/>
        <w:left w:val="none" w:sz="0" w:space="0" w:color="auto"/>
        <w:bottom w:val="none" w:sz="0" w:space="0" w:color="auto"/>
        <w:right w:val="none" w:sz="0" w:space="0" w:color="auto"/>
      </w:divBdr>
    </w:div>
    <w:div w:id="682632327">
      <w:bodyDiv w:val="1"/>
      <w:marLeft w:val="0"/>
      <w:marRight w:val="0"/>
      <w:marTop w:val="0"/>
      <w:marBottom w:val="0"/>
      <w:divBdr>
        <w:top w:val="none" w:sz="0" w:space="0" w:color="auto"/>
        <w:left w:val="none" w:sz="0" w:space="0" w:color="auto"/>
        <w:bottom w:val="none" w:sz="0" w:space="0" w:color="auto"/>
        <w:right w:val="none" w:sz="0" w:space="0" w:color="auto"/>
      </w:divBdr>
      <w:divsChild>
        <w:div w:id="1970935680">
          <w:marLeft w:val="600"/>
          <w:marRight w:val="0"/>
          <w:marTop w:val="0"/>
          <w:marBottom w:val="0"/>
          <w:divBdr>
            <w:top w:val="none" w:sz="0" w:space="0" w:color="auto"/>
            <w:left w:val="none" w:sz="0" w:space="0" w:color="auto"/>
            <w:bottom w:val="none" w:sz="0" w:space="0" w:color="auto"/>
            <w:right w:val="none" w:sz="0" w:space="0" w:color="auto"/>
          </w:divBdr>
        </w:div>
      </w:divsChild>
    </w:div>
    <w:div w:id="685059972">
      <w:bodyDiv w:val="1"/>
      <w:marLeft w:val="0"/>
      <w:marRight w:val="0"/>
      <w:marTop w:val="0"/>
      <w:marBottom w:val="0"/>
      <w:divBdr>
        <w:top w:val="none" w:sz="0" w:space="0" w:color="auto"/>
        <w:left w:val="none" w:sz="0" w:space="0" w:color="auto"/>
        <w:bottom w:val="none" w:sz="0" w:space="0" w:color="auto"/>
        <w:right w:val="none" w:sz="0" w:space="0" w:color="auto"/>
      </w:divBdr>
    </w:div>
    <w:div w:id="691877207">
      <w:bodyDiv w:val="1"/>
      <w:marLeft w:val="0"/>
      <w:marRight w:val="0"/>
      <w:marTop w:val="0"/>
      <w:marBottom w:val="0"/>
      <w:divBdr>
        <w:top w:val="none" w:sz="0" w:space="0" w:color="auto"/>
        <w:left w:val="none" w:sz="0" w:space="0" w:color="auto"/>
        <w:bottom w:val="none" w:sz="0" w:space="0" w:color="auto"/>
        <w:right w:val="none" w:sz="0" w:space="0" w:color="auto"/>
      </w:divBdr>
    </w:div>
    <w:div w:id="700087550">
      <w:bodyDiv w:val="1"/>
      <w:marLeft w:val="0"/>
      <w:marRight w:val="0"/>
      <w:marTop w:val="0"/>
      <w:marBottom w:val="0"/>
      <w:divBdr>
        <w:top w:val="none" w:sz="0" w:space="0" w:color="auto"/>
        <w:left w:val="none" w:sz="0" w:space="0" w:color="auto"/>
        <w:bottom w:val="none" w:sz="0" w:space="0" w:color="auto"/>
        <w:right w:val="none" w:sz="0" w:space="0" w:color="auto"/>
      </w:divBdr>
    </w:div>
    <w:div w:id="706371718">
      <w:bodyDiv w:val="1"/>
      <w:marLeft w:val="0"/>
      <w:marRight w:val="0"/>
      <w:marTop w:val="0"/>
      <w:marBottom w:val="0"/>
      <w:divBdr>
        <w:top w:val="none" w:sz="0" w:space="0" w:color="auto"/>
        <w:left w:val="none" w:sz="0" w:space="0" w:color="auto"/>
        <w:bottom w:val="none" w:sz="0" w:space="0" w:color="auto"/>
        <w:right w:val="none" w:sz="0" w:space="0" w:color="auto"/>
      </w:divBdr>
    </w:div>
    <w:div w:id="715277742">
      <w:bodyDiv w:val="1"/>
      <w:marLeft w:val="0"/>
      <w:marRight w:val="0"/>
      <w:marTop w:val="0"/>
      <w:marBottom w:val="0"/>
      <w:divBdr>
        <w:top w:val="none" w:sz="0" w:space="0" w:color="auto"/>
        <w:left w:val="none" w:sz="0" w:space="0" w:color="auto"/>
        <w:bottom w:val="none" w:sz="0" w:space="0" w:color="auto"/>
        <w:right w:val="none" w:sz="0" w:space="0" w:color="auto"/>
      </w:divBdr>
    </w:div>
    <w:div w:id="718165704">
      <w:bodyDiv w:val="1"/>
      <w:marLeft w:val="0"/>
      <w:marRight w:val="0"/>
      <w:marTop w:val="0"/>
      <w:marBottom w:val="0"/>
      <w:divBdr>
        <w:top w:val="none" w:sz="0" w:space="0" w:color="auto"/>
        <w:left w:val="none" w:sz="0" w:space="0" w:color="auto"/>
        <w:bottom w:val="none" w:sz="0" w:space="0" w:color="auto"/>
        <w:right w:val="none" w:sz="0" w:space="0" w:color="auto"/>
      </w:divBdr>
    </w:div>
    <w:div w:id="727803298">
      <w:bodyDiv w:val="1"/>
      <w:marLeft w:val="0"/>
      <w:marRight w:val="0"/>
      <w:marTop w:val="0"/>
      <w:marBottom w:val="0"/>
      <w:divBdr>
        <w:top w:val="none" w:sz="0" w:space="0" w:color="auto"/>
        <w:left w:val="none" w:sz="0" w:space="0" w:color="auto"/>
        <w:bottom w:val="none" w:sz="0" w:space="0" w:color="auto"/>
        <w:right w:val="none" w:sz="0" w:space="0" w:color="auto"/>
      </w:divBdr>
    </w:div>
    <w:div w:id="728377872">
      <w:bodyDiv w:val="1"/>
      <w:marLeft w:val="0"/>
      <w:marRight w:val="0"/>
      <w:marTop w:val="0"/>
      <w:marBottom w:val="0"/>
      <w:divBdr>
        <w:top w:val="none" w:sz="0" w:space="0" w:color="auto"/>
        <w:left w:val="none" w:sz="0" w:space="0" w:color="auto"/>
        <w:bottom w:val="none" w:sz="0" w:space="0" w:color="auto"/>
        <w:right w:val="none" w:sz="0" w:space="0" w:color="auto"/>
      </w:divBdr>
    </w:div>
    <w:div w:id="728384538">
      <w:bodyDiv w:val="1"/>
      <w:marLeft w:val="0"/>
      <w:marRight w:val="0"/>
      <w:marTop w:val="0"/>
      <w:marBottom w:val="0"/>
      <w:divBdr>
        <w:top w:val="none" w:sz="0" w:space="0" w:color="auto"/>
        <w:left w:val="none" w:sz="0" w:space="0" w:color="auto"/>
        <w:bottom w:val="none" w:sz="0" w:space="0" w:color="auto"/>
        <w:right w:val="none" w:sz="0" w:space="0" w:color="auto"/>
      </w:divBdr>
    </w:div>
    <w:div w:id="728457063">
      <w:bodyDiv w:val="1"/>
      <w:marLeft w:val="0"/>
      <w:marRight w:val="0"/>
      <w:marTop w:val="0"/>
      <w:marBottom w:val="0"/>
      <w:divBdr>
        <w:top w:val="none" w:sz="0" w:space="0" w:color="auto"/>
        <w:left w:val="none" w:sz="0" w:space="0" w:color="auto"/>
        <w:bottom w:val="none" w:sz="0" w:space="0" w:color="auto"/>
        <w:right w:val="none" w:sz="0" w:space="0" w:color="auto"/>
      </w:divBdr>
    </w:div>
    <w:div w:id="738745551">
      <w:bodyDiv w:val="1"/>
      <w:marLeft w:val="0"/>
      <w:marRight w:val="0"/>
      <w:marTop w:val="0"/>
      <w:marBottom w:val="0"/>
      <w:divBdr>
        <w:top w:val="none" w:sz="0" w:space="0" w:color="auto"/>
        <w:left w:val="none" w:sz="0" w:space="0" w:color="auto"/>
        <w:bottom w:val="none" w:sz="0" w:space="0" w:color="auto"/>
        <w:right w:val="none" w:sz="0" w:space="0" w:color="auto"/>
      </w:divBdr>
    </w:div>
    <w:div w:id="742025242">
      <w:bodyDiv w:val="1"/>
      <w:marLeft w:val="0"/>
      <w:marRight w:val="0"/>
      <w:marTop w:val="0"/>
      <w:marBottom w:val="0"/>
      <w:divBdr>
        <w:top w:val="none" w:sz="0" w:space="0" w:color="auto"/>
        <w:left w:val="none" w:sz="0" w:space="0" w:color="auto"/>
        <w:bottom w:val="none" w:sz="0" w:space="0" w:color="auto"/>
        <w:right w:val="none" w:sz="0" w:space="0" w:color="auto"/>
      </w:divBdr>
    </w:div>
    <w:div w:id="745952183">
      <w:bodyDiv w:val="1"/>
      <w:marLeft w:val="0"/>
      <w:marRight w:val="0"/>
      <w:marTop w:val="0"/>
      <w:marBottom w:val="0"/>
      <w:divBdr>
        <w:top w:val="none" w:sz="0" w:space="0" w:color="auto"/>
        <w:left w:val="none" w:sz="0" w:space="0" w:color="auto"/>
        <w:bottom w:val="none" w:sz="0" w:space="0" w:color="auto"/>
        <w:right w:val="none" w:sz="0" w:space="0" w:color="auto"/>
      </w:divBdr>
    </w:div>
    <w:div w:id="747196729">
      <w:bodyDiv w:val="1"/>
      <w:marLeft w:val="0"/>
      <w:marRight w:val="0"/>
      <w:marTop w:val="0"/>
      <w:marBottom w:val="0"/>
      <w:divBdr>
        <w:top w:val="none" w:sz="0" w:space="0" w:color="auto"/>
        <w:left w:val="none" w:sz="0" w:space="0" w:color="auto"/>
        <w:bottom w:val="none" w:sz="0" w:space="0" w:color="auto"/>
        <w:right w:val="none" w:sz="0" w:space="0" w:color="auto"/>
      </w:divBdr>
    </w:div>
    <w:div w:id="748232384">
      <w:bodyDiv w:val="1"/>
      <w:marLeft w:val="0"/>
      <w:marRight w:val="0"/>
      <w:marTop w:val="0"/>
      <w:marBottom w:val="0"/>
      <w:divBdr>
        <w:top w:val="none" w:sz="0" w:space="0" w:color="auto"/>
        <w:left w:val="none" w:sz="0" w:space="0" w:color="auto"/>
        <w:bottom w:val="none" w:sz="0" w:space="0" w:color="auto"/>
        <w:right w:val="none" w:sz="0" w:space="0" w:color="auto"/>
      </w:divBdr>
    </w:div>
    <w:div w:id="750470967">
      <w:bodyDiv w:val="1"/>
      <w:marLeft w:val="0"/>
      <w:marRight w:val="0"/>
      <w:marTop w:val="0"/>
      <w:marBottom w:val="0"/>
      <w:divBdr>
        <w:top w:val="none" w:sz="0" w:space="0" w:color="auto"/>
        <w:left w:val="none" w:sz="0" w:space="0" w:color="auto"/>
        <w:bottom w:val="none" w:sz="0" w:space="0" w:color="auto"/>
        <w:right w:val="none" w:sz="0" w:space="0" w:color="auto"/>
      </w:divBdr>
    </w:div>
    <w:div w:id="751318676">
      <w:bodyDiv w:val="1"/>
      <w:marLeft w:val="0"/>
      <w:marRight w:val="0"/>
      <w:marTop w:val="0"/>
      <w:marBottom w:val="0"/>
      <w:divBdr>
        <w:top w:val="none" w:sz="0" w:space="0" w:color="auto"/>
        <w:left w:val="none" w:sz="0" w:space="0" w:color="auto"/>
        <w:bottom w:val="none" w:sz="0" w:space="0" w:color="auto"/>
        <w:right w:val="none" w:sz="0" w:space="0" w:color="auto"/>
      </w:divBdr>
    </w:div>
    <w:div w:id="757095658">
      <w:bodyDiv w:val="1"/>
      <w:marLeft w:val="0"/>
      <w:marRight w:val="0"/>
      <w:marTop w:val="0"/>
      <w:marBottom w:val="0"/>
      <w:divBdr>
        <w:top w:val="none" w:sz="0" w:space="0" w:color="auto"/>
        <w:left w:val="none" w:sz="0" w:space="0" w:color="auto"/>
        <w:bottom w:val="none" w:sz="0" w:space="0" w:color="auto"/>
        <w:right w:val="none" w:sz="0" w:space="0" w:color="auto"/>
      </w:divBdr>
    </w:div>
    <w:div w:id="759528152">
      <w:bodyDiv w:val="1"/>
      <w:marLeft w:val="0"/>
      <w:marRight w:val="0"/>
      <w:marTop w:val="0"/>
      <w:marBottom w:val="0"/>
      <w:divBdr>
        <w:top w:val="none" w:sz="0" w:space="0" w:color="auto"/>
        <w:left w:val="none" w:sz="0" w:space="0" w:color="auto"/>
        <w:bottom w:val="none" w:sz="0" w:space="0" w:color="auto"/>
        <w:right w:val="none" w:sz="0" w:space="0" w:color="auto"/>
      </w:divBdr>
      <w:divsChild>
        <w:div w:id="1064451284">
          <w:marLeft w:val="600"/>
          <w:marRight w:val="0"/>
          <w:marTop w:val="0"/>
          <w:marBottom w:val="0"/>
          <w:divBdr>
            <w:top w:val="none" w:sz="0" w:space="0" w:color="auto"/>
            <w:left w:val="none" w:sz="0" w:space="0" w:color="auto"/>
            <w:bottom w:val="none" w:sz="0" w:space="0" w:color="auto"/>
            <w:right w:val="none" w:sz="0" w:space="0" w:color="auto"/>
          </w:divBdr>
        </w:div>
      </w:divsChild>
    </w:div>
    <w:div w:id="760419922">
      <w:bodyDiv w:val="1"/>
      <w:marLeft w:val="0"/>
      <w:marRight w:val="0"/>
      <w:marTop w:val="0"/>
      <w:marBottom w:val="0"/>
      <w:divBdr>
        <w:top w:val="none" w:sz="0" w:space="0" w:color="auto"/>
        <w:left w:val="none" w:sz="0" w:space="0" w:color="auto"/>
        <w:bottom w:val="none" w:sz="0" w:space="0" w:color="auto"/>
        <w:right w:val="none" w:sz="0" w:space="0" w:color="auto"/>
      </w:divBdr>
    </w:div>
    <w:div w:id="762915149">
      <w:bodyDiv w:val="1"/>
      <w:marLeft w:val="0"/>
      <w:marRight w:val="0"/>
      <w:marTop w:val="0"/>
      <w:marBottom w:val="0"/>
      <w:divBdr>
        <w:top w:val="none" w:sz="0" w:space="0" w:color="auto"/>
        <w:left w:val="none" w:sz="0" w:space="0" w:color="auto"/>
        <w:bottom w:val="none" w:sz="0" w:space="0" w:color="auto"/>
        <w:right w:val="none" w:sz="0" w:space="0" w:color="auto"/>
      </w:divBdr>
    </w:div>
    <w:div w:id="764956064">
      <w:bodyDiv w:val="1"/>
      <w:marLeft w:val="0"/>
      <w:marRight w:val="0"/>
      <w:marTop w:val="0"/>
      <w:marBottom w:val="0"/>
      <w:divBdr>
        <w:top w:val="none" w:sz="0" w:space="0" w:color="auto"/>
        <w:left w:val="none" w:sz="0" w:space="0" w:color="auto"/>
        <w:bottom w:val="none" w:sz="0" w:space="0" w:color="auto"/>
        <w:right w:val="none" w:sz="0" w:space="0" w:color="auto"/>
      </w:divBdr>
    </w:div>
    <w:div w:id="765688960">
      <w:bodyDiv w:val="1"/>
      <w:marLeft w:val="0"/>
      <w:marRight w:val="0"/>
      <w:marTop w:val="0"/>
      <w:marBottom w:val="0"/>
      <w:divBdr>
        <w:top w:val="none" w:sz="0" w:space="0" w:color="auto"/>
        <w:left w:val="none" w:sz="0" w:space="0" w:color="auto"/>
        <w:bottom w:val="none" w:sz="0" w:space="0" w:color="auto"/>
        <w:right w:val="none" w:sz="0" w:space="0" w:color="auto"/>
      </w:divBdr>
    </w:div>
    <w:div w:id="775752736">
      <w:bodyDiv w:val="1"/>
      <w:marLeft w:val="0"/>
      <w:marRight w:val="0"/>
      <w:marTop w:val="0"/>
      <w:marBottom w:val="0"/>
      <w:divBdr>
        <w:top w:val="none" w:sz="0" w:space="0" w:color="auto"/>
        <w:left w:val="none" w:sz="0" w:space="0" w:color="auto"/>
        <w:bottom w:val="none" w:sz="0" w:space="0" w:color="auto"/>
        <w:right w:val="none" w:sz="0" w:space="0" w:color="auto"/>
      </w:divBdr>
    </w:div>
    <w:div w:id="778910597">
      <w:bodyDiv w:val="1"/>
      <w:marLeft w:val="0"/>
      <w:marRight w:val="0"/>
      <w:marTop w:val="0"/>
      <w:marBottom w:val="0"/>
      <w:divBdr>
        <w:top w:val="none" w:sz="0" w:space="0" w:color="auto"/>
        <w:left w:val="none" w:sz="0" w:space="0" w:color="auto"/>
        <w:bottom w:val="none" w:sz="0" w:space="0" w:color="auto"/>
        <w:right w:val="none" w:sz="0" w:space="0" w:color="auto"/>
      </w:divBdr>
    </w:div>
    <w:div w:id="781996464">
      <w:bodyDiv w:val="1"/>
      <w:marLeft w:val="0"/>
      <w:marRight w:val="0"/>
      <w:marTop w:val="0"/>
      <w:marBottom w:val="0"/>
      <w:divBdr>
        <w:top w:val="none" w:sz="0" w:space="0" w:color="auto"/>
        <w:left w:val="none" w:sz="0" w:space="0" w:color="auto"/>
        <w:bottom w:val="none" w:sz="0" w:space="0" w:color="auto"/>
        <w:right w:val="none" w:sz="0" w:space="0" w:color="auto"/>
      </w:divBdr>
    </w:div>
    <w:div w:id="787361624">
      <w:bodyDiv w:val="1"/>
      <w:marLeft w:val="0"/>
      <w:marRight w:val="0"/>
      <w:marTop w:val="0"/>
      <w:marBottom w:val="0"/>
      <w:divBdr>
        <w:top w:val="none" w:sz="0" w:space="0" w:color="auto"/>
        <w:left w:val="none" w:sz="0" w:space="0" w:color="auto"/>
        <w:bottom w:val="none" w:sz="0" w:space="0" w:color="auto"/>
        <w:right w:val="none" w:sz="0" w:space="0" w:color="auto"/>
      </w:divBdr>
    </w:div>
    <w:div w:id="789396756">
      <w:bodyDiv w:val="1"/>
      <w:marLeft w:val="0"/>
      <w:marRight w:val="0"/>
      <w:marTop w:val="0"/>
      <w:marBottom w:val="0"/>
      <w:divBdr>
        <w:top w:val="none" w:sz="0" w:space="0" w:color="auto"/>
        <w:left w:val="none" w:sz="0" w:space="0" w:color="auto"/>
        <w:bottom w:val="none" w:sz="0" w:space="0" w:color="auto"/>
        <w:right w:val="none" w:sz="0" w:space="0" w:color="auto"/>
      </w:divBdr>
    </w:div>
    <w:div w:id="792291740">
      <w:bodyDiv w:val="1"/>
      <w:marLeft w:val="0"/>
      <w:marRight w:val="0"/>
      <w:marTop w:val="0"/>
      <w:marBottom w:val="0"/>
      <w:divBdr>
        <w:top w:val="none" w:sz="0" w:space="0" w:color="auto"/>
        <w:left w:val="none" w:sz="0" w:space="0" w:color="auto"/>
        <w:bottom w:val="none" w:sz="0" w:space="0" w:color="auto"/>
        <w:right w:val="none" w:sz="0" w:space="0" w:color="auto"/>
      </w:divBdr>
    </w:div>
    <w:div w:id="795491905">
      <w:bodyDiv w:val="1"/>
      <w:marLeft w:val="0"/>
      <w:marRight w:val="0"/>
      <w:marTop w:val="0"/>
      <w:marBottom w:val="0"/>
      <w:divBdr>
        <w:top w:val="none" w:sz="0" w:space="0" w:color="auto"/>
        <w:left w:val="none" w:sz="0" w:space="0" w:color="auto"/>
        <w:bottom w:val="none" w:sz="0" w:space="0" w:color="auto"/>
        <w:right w:val="none" w:sz="0" w:space="0" w:color="auto"/>
      </w:divBdr>
    </w:div>
    <w:div w:id="798231498">
      <w:bodyDiv w:val="1"/>
      <w:marLeft w:val="0"/>
      <w:marRight w:val="0"/>
      <w:marTop w:val="0"/>
      <w:marBottom w:val="0"/>
      <w:divBdr>
        <w:top w:val="none" w:sz="0" w:space="0" w:color="auto"/>
        <w:left w:val="none" w:sz="0" w:space="0" w:color="auto"/>
        <w:bottom w:val="none" w:sz="0" w:space="0" w:color="auto"/>
        <w:right w:val="none" w:sz="0" w:space="0" w:color="auto"/>
      </w:divBdr>
    </w:div>
    <w:div w:id="799152831">
      <w:bodyDiv w:val="1"/>
      <w:marLeft w:val="0"/>
      <w:marRight w:val="0"/>
      <w:marTop w:val="0"/>
      <w:marBottom w:val="0"/>
      <w:divBdr>
        <w:top w:val="none" w:sz="0" w:space="0" w:color="auto"/>
        <w:left w:val="none" w:sz="0" w:space="0" w:color="auto"/>
        <w:bottom w:val="none" w:sz="0" w:space="0" w:color="auto"/>
        <w:right w:val="none" w:sz="0" w:space="0" w:color="auto"/>
      </w:divBdr>
    </w:div>
    <w:div w:id="815731346">
      <w:bodyDiv w:val="1"/>
      <w:marLeft w:val="0"/>
      <w:marRight w:val="0"/>
      <w:marTop w:val="0"/>
      <w:marBottom w:val="0"/>
      <w:divBdr>
        <w:top w:val="none" w:sz="0" w:space="0" w:color="auto"/>
        <w:left w:val="none" w:sz="0" w:space="0" w:color="auto"/>
        <w:bottom w:val="none" w:sz="0" w:space="0" w:color="auto"/>
        <w:right w:val="none" w:sz="0" w:space="0" w:color="auto"/>
      </w:divBdr>
      <w:divsChild>
        <w:div w:id="629940664">
          <w:marLeft w:val="600"/>
          <w:marRight w:val="0"/>
          <w:marTop w:val="0"/>
          <w:marBottom w:val="0"/>
          <w:divBdr>
            <w:top w:val="none" w:sz="0" w:space="0" w:color="auto"/>
            <w:left w:val="none" w:sz="0" w:space="0" w:color="auto"/>
            <w:bottom w:val="none" w:sz="0" w:space="0" w:color="auto"/>
            <w:right w:val="none" w:sz="0" w:space="0" w:color="auto"/>
          </w:divBdr>
        </w:div>
      </w:divsChild>
    </w:div>
    <w:div w:id="817114439">
      <w:bodyDiv w:val="1"/>
      <w:marLeft w:val="0"/>
      <w:marRight w:val="0"/>
      <w:marTop w:val="0"/>
      <w:marBottom w:val="0"/>
      <w:divBdr>
        <w:top w:val="none" w:sz="0" w:space="0" w:color="auto"/>
        <w:left w:val="none" w:sz="0" w:space="0" w:color="auto"/>
        <w:bottom w:val="none" w:sz="0" w:space="0" w:color="auto"/>
        <w:right w:val="none" w:sz="0" w:space="0" w:color="auto"/>
      </w:divBdr>
    </w:div>
    <w:div w:id="817572075">
      <w:bodyDiv w:val="1"/>
      <w:marLeft w:val="0"/>
      <w:marRight w:val="0"/>
      <w:marTop w:val="0"/>
      <w:marBottom w:val="0"/>
      <w:divBdr>
        <w:top w:val="none" w:sz="0" w:space="0" w:color="auto"/>
        <w:left w:val="none" w:sz="0" w:space="0" w:color="auto"/>
        <w:bottom w:val="none" w:sz="0" w:space="0" w:color="auto"/>
        <w:right w:val="none" w:sz="0" w:space="0" w:color="auto"/>
      </w:divBdr>
    </w:div>
    <w:div w:id="824708443">
      <w:bodyDiv w:val="1"/>
      <w:marLeft w:val="0"/>
      <w:marRight w:val="0"/>
      <w:marTop w:val="0"/>
      <w:marBottom w:val="0"/>
      <w:divBdr>
        <w:top w:val="none" w:sz="0" w:space="0" w:color="auto"/>
        <w:left w:val="none" w:sz="0" w:space="0" w:color="auto"/>
        <w:bottom w:val="none" w:sz="0" w:space="0" w:color="auto"/>
        <w:right w:val="none" w:sz="0" w:space="0" w:color="auto"/>
      </w:divBdr>
    </w:div>
    <w:div w:id="825704611">
      <w:bodyDiv w:val="1"/>
      <w:marLeft w:val="0"/>
      <w:marRight w:val="0"/>
      <w:marTop w:val="0"/>
      <w:marBottom w:val="0"/>
      <w:divBdr>
        <w:top w:val="none" w:sz="0" w:space="0" w:color="auto"/>
        <w:left w:val="none" w:sz="0" w:space="0" w:color="auto"/>
        <w:bottom w:val="none" w:sz="0" w:space="0" w:color="auto"/>
        <w:right w:val="none" w:sz="0" w:space="0" w:color="auto"/>
      </w:divBdr>
    </w:div>
    <w:div w:id="829909361">
      <w:bodyDiv w:val="1"/>
      <w:marLeft w:val="0"/>
      <w:marRight w:val="0"/>
      <w:marTop w:val="0"/>
      <w:marBottom w:val="0"/>
      <w:divBdr>
        <w:top w:val="none" w:sz="0" w:space="0" w:color="auto"/>
        <w:left w:val="none" w:sz="0" w:space="0" w:color="auto"/>
        <w:bottom w:val="none" w:sz="0" w:space="0" w:color="auto"/>
        <w:right w:val="none" w:sz="0" w:space="0" w:color="auto"/>
      </w:divBdr>
    </w:div>
    <w:div w:id="833839518">
      <w:bodyDiv w:val="1"/>
      <w:marLeft w:val="0"/>
      <w:marRight w:val="0"/>
      <w:marTop w:val="0"/>
      <w:marBottom w:val="0"/>
      <w:divBdr>
        <w:top w:val="none" w:sz="0" w:space="0" w:color="auto"/>
        <w:left w:val="none" w:sz="0" w:space="0" w:color="auto"/>
        <w:bottom w:val="none" w:sz="0" w:space="0" w:color="auto"/>
        <w:right w:val="none" w:sz="0" w:space="0" w:color="auto"/>
      </w:divBdr>
    </w:div>
    <w:div w:id="854685819">
      <w:bodyDiv w:val="1"/>
      <w:marLeft w:val="0"/>
      <w:marRight w:val="0"/>
      <w:marTop w:val="0"/>
      <w:marBottom w:val="0"/>
      <w:divBdr>
        <w:top w:val="none" w:sz="0" w:space="0" w:color="auto"/>
        <w:left w:val="none" w:sz="0" w:space="0" w:color="auto"/>
        <w:bottom w:val="none" w:sz="0" w:space="0" w:color="auto"/>
        <w:right w:val="none" w:sz="0" w:space="0" w:color="auto"/>
      </w:divBdr>
    </w:div>
    <w:div w:id="854853451">
      <w:bodyDiv w:val="1"/>
      <w:marLeft w:val="0"/>
      <w:marRight w:val="0"/>
      <w:marTop w:val="0"/>
      <w:marBottom w:val="0"/>
      <w:divBdr>
        <w:top w:val="none" w:sz="0" w:space="0" w:color="auto"/>
        <w:left w:val="none" w:sz="0" w:space="0" w:color="auto"/>
        <w:bottom w:val="none" w:sz="0" w:space="0" w:color="auto"/>
        <w:right w:val="none" w:sz="0" w:space="0" w:color="auto"/>
      </w:divBdr>
    </w:div>
    <w:div w:id="860894077">
      <w:bodyDiv w:val="1"/>
      <w:marLeft w:val="0"/>
      <w:marRight w:val="0"/>
      <w:marTop w:val="0"/>
      <w:marBottom w:val="0"/>
      <w:divBdr>
        <w:top w:val="none" w:sz="0" w:space="0" w:color="auto"/>
        <w:left w:val="none" w:sz="0" w:space="0" w:color="auto"/>
        <w:bottom w:val="none" w:sz="0" w:space="0" w:color="auto"/>
        <w:right w:val="none" w:sz="0" w:space="0" w:color="auto"/>
      </w:divBdr>
    </w:div>
    <w:div w:id="861743997">
      <w:bodyDiv w:val="1"/>
      <w:marLeft w:val="0"/>
      <w:marRight w:val="0"/>
      <w:marTop w:val="0"/>
      <w:marBottom w:val="0"/>
      <w:divBdr>
        <w:top w:val="none" w:sz="0" w:space="0" w:color="auto"/>
        <w:left w:val="none" w:sz="0" w:space="0" w:color="auto"/>
        <w:bottom w:val="none" w:sz="0" w:space="0" w:color="auto"/>
        <w:right w:val="none" w:sz="0" w:space="0" w:color="auto"/>
      </w:divBdr>
    </w:div>
    <w:div w:id="864290046">
      <w:bodyDiv w:val="1"/>
      <w:marLeft w:val="0"/>
      <w:marRight w:val="0"/>
      <w:marTop w:val="0"/>
      <w:marBottom w:val="0"/>
      <w:divBdr>
        <w:top w:val="none" w:sz="0" w:space="0" w:color="auto"/>
        <w:left w:val="none" w:sz="0" w:space="0" w:color="auto"/>
        <w:bottom w:val="none" w:sz="0" w:space="0" w:color="auto"/>
        <w:right w:val="none" w:sz="0" w:space="0" w:color="auto"/>
      </w:divBdr>
    </w:div>
    <w:div w:id="867254221">
      <w:bodyDiv w:val="1"/>
      <w:marLeft w:val="0"/>
      <w:marRight w:val="0"/>
      <w:marTop w:val="0"/>
      <w:marBottom w:val="0"/>
      <w:divBdr>
        <w:top w:val="none" w:sz="0" w:space="0" w:color="auto"/>
        <w:left w:val="none" w:sz="0" w:space="0" w:color="auto"/>
        <w:bottom w:val="none" w:sz="0" w:space="0" w:color="auto"/>
        <w:right w:val="none" w:sz="0" w:space="0" w:color="auto"/>
      </w:divBdr>
    </w:div>
    <w:div w:id="874544148">
      <w:bodyDiv w:val="1"/>
      <w:marLeft w:val="0"/>
      <w:marRight w:val="0"/>
      <w:marTop w:val="0"/>
      <w:marBottom w:val="0"/>
      <w:divBdr>
        <w:top w:val="none" w:sz="0" w:space="0" w:color="auto"/>
        <w:left w:val="none" w:sz="0" w:space="0" w:color="auto"/>
        <w:bottom w:val="none" w:sz="0" w:space="0" w:color="auto"/>
        <w:right w:val="none" w:sz="0" w:space="0" w:color="auto"/>
      </w:divBdr>
    </w:div>
    <w:div w:id="880090737">
      <w:bodyDiv w:val="1"/>
      <w:marLeft w:val="0"/>
      <w:marRight w:val="0"/>
      <w:marTop w:val="0"/>
      <w:marBottom w:val="0"/>
      <w:divBdr>
        <w:top w:val="none" w:sz="0" w:space="0" w:color="auto"/>
        <w:left w:val="none" w:sz="0" w:space="0" w:color="auto"/>
        <w:bottom w:val="none" w:sz="0" w:space="0" w:color="auto"/>
        <w:right w:val="none" w:sz="0" w:space="0" w:color="auto"/>
      </w:divBdr>
    </w:div>
    <w:div w:id="881819101">
      <w:bodyDiv w:val="1"/>
      <w:marLeft w:val="0"/>
      <w:marRight w:val="0"/>
      <w:marTop w:val="0"/>
      <w:marBottom w:val="0"/>
      <w:divBdr>
        <w:top w:val="none" w:sz="0" w:space="0" w:color="auto"/>
        <w:left w:val="none" w:sz="0" w:space="0" w:color="auto"/>
        <w:bottom w:val="none" w:sz="0" w:space="0" w:color="auto"/>
        <w:right w:val="none" w:sz="0" w:space="0" w:color="auto"/>
      </w:divBdr>
    </w:div>
    <w:div w:id="881945573">
      <w:bodyDiv w:val="1"/>
      <w:marLeft w:val="0"/>
      <w:marRight w:val="0"/>
      <w:marTop w:val="0"/>
      <w:marBottom w:val="0"/>
      <w:divBdr>
        <w:top w:val="none" w:sz="0" w:space="0" w:color="auto"/>
        <w:left w:val="none" w:sz="0" w:space="0" w:color="auto"/>
        <w:bottom w:val="none" w:sz="0" w:space="0" w:color="auto"/>
        <w:right w:val="none" w:sz="0" w:space="0" w:color="auto"/>
      </w:divBdr>
    </w:div>
    <w:div w:id="883756497">
      <w:bodyDiv w:val="1"/>
      <w:marLeft w:val="0"/>
      <w:marRight w:val="0"/>
      <w:marTop w:val="0"/>
      <w:marBottom w:val="0"/>
      <w:divBdr>
        <w:top w:val="none" w:sz="0" w:space="0" w:color="auto"/>
        <w:left w:val="none" w:sz="0" w:space="0" w:color="auto"/>
        <w:bottom w:val="none" w:sz="0" w:space="0" w:color="auto"/>
        <w:right w:val="none" w:sz="0" w:space="0" w:color="auto"/>
      </w:divBdr>
    </w:div>
    <w:div w:id="888034303">
      <w:bodyDiv w:val="1"/>
      <w:marLeft w:val="0"/>
      <w:marRight w:val="0"/>
      <w:marTop w:val="0"/>
      <w:marBottom w:val="0"/>
      <w:divBdr>
        <w:top w:val="none" w:sz="0" w:space="0" w:color="auto"/>
        <w:left w:val="none" w:sz="0" w:space="0" w:color="auto"/>
        <w:bottom w:val="none" w:sz="0" w:space="0" w:color="auto"/>
        <w:right w:val="none" w:sz="0" w:space="0" w:color="auto"/>
      </w:divBdr>
    </w:div>
    <w:div w:id="902910831">
      <w:bodyDiv w:val="1"/>
      <w:marLeft w:val="0"/>
      <w:marRight w:val="0"/>
      <w:marTop w:val="0"/>
      <w:marBottom w:val="0"/>
      <w:divBdr>
        <w:top w:val="none" w:sz="0" w:space="0" w:color="auto"/>
        <w:left w:val="none" w:sz="0" w:space="0" w:color="auto"/>
        <w:bottom w:val="none" w:sz="0" w:space="0" w:color="auto"/>
        <w:right w:val="none" w:sz="0" w:space="0" w:color="auto"/>
      </w:divBdr>
    </w:div>
    <w:div w:id="904487715">
      <w:bodyDiv w:val="1"/>
      <w:marLeft w:val="0"/>
      <w:marRight w:val="0"/>
      <w:marTop w:val="0"/>
      <w:marBottom w:val="0"/>
      <w:divBdr>
        <w:top w:val="none" w:sz="0" w:space="0" w:color="auto"/>
        <w:left w:val="none" w:sz="0" w:space="0" w:color="auto"/>
        <w:bottom w:val="none" w:sz="0" w:space="0" w:color="auto"/>
        <w:right w:val="none" w:sz="0" w:space="0" w:color="auto"/>
      </w:divBdr>
    </w:div>
    <w:div w:id="914316027">
      <w:bodyDiv w:val="1"/>
      <w:marLeft w:val="0"/>
      <w:marRight w:val="0"/>
      <w:marTop w:val="0"/>
      <w:marBottom w:val="0"/>
      <w:divBdr>
        <w:top w:val="none" w:sz="0" w:space="0" w:color="auto"/>
        <w:left w:val="none" w:sz="0" w:space="0" w:color="auto"/>
        <w:bottom w:val="none" w:sz="0" w:space="0" w:color="auto"/>
        <w:right w:val="none" w:sz="0" w:space="0" w:color="auto"/>
      </w:divBdr>
    </w:div>
    <w:div w:id="927350477">
      <w:bodyDiv w:val="1"/>
      <w:marLeft w:val="0"/>
      <w:marRight w:val="0"/>
      <w:marTop w:val="0"/>
      <w:marBottom w:val="0"/>
      <w:divBdr>
        <w:top w:val="none" w:sz="0" w:space="0" w:color="auto"/>
        <w:left w:val="none" w:sz="0" w:space="0" w:color="auto"/>
        <w:bottom w:val="none" w:sz="0" w:space="0" w:color="auto"/>
        <w:right w:val="none" w:sz="0" w:space="0" w:color="auto"/>
      </w:divBdr>
    </w:div>
    <w:div w:id="927691202">
      <w:bodyDiv w:val="1"/>
      <w:marLeft w:val="0"/>
      <w:marRight w:val="0"/>
      <w:marTop w:val="0"/>
      <w:marBottom w:val="0"/>
      <w:divBdr>
        <w:top w:val="none" w:sz="0" w:space="0" w:color="auto"/>
        <w:left w:val="none" w:sz="0" w:space="0" w:color="auto"/>
        <w:bottom w:val="none" w:sz="0" w:space="0" w:color="auto"/>
        <w:right w:val="none" w:sz="0" w:space="0" w:color="auto"/>
      </w:divBdr>
    </w:div>
    <w:div w:id="933167131">
      <w:bodyDiv w:val="1"/>
      <w:marLeft w:val="0"/>
      <w:marRight w:val="0"/>
      <w:marTop w:val="0"/>
      <w:marBottom w:val="0"/>
      <w:divBdr>
        <w:top w:val="none" w:sz="0" w:space="0" w:color="auto"/>
        <w:left w:val="none" w:sz="0" w:space="0" w:color="auto"/>
        <w:bottom w:val="none" w:sz="0" w:space="0" w:color="auto"/>
        <w:right w:val="none" w:sz="0" w:space="0" w:color="auto"/>
      </w:divBdr>
    </w:div>
    <w:div w:id="933394310">
      <w:bodyDiv w:val="1"/>
      <w:marLeft w:val="0"/>
      <w:marRight w:val="0"/>
      <w:marTop w:val="0"/>
      <w:marBottom w:val="0"/>
      <w:divBdr>
        <w:top w:val="none" w:sz="0" w:space="0" w:color="auto"/>
        <w:left w:val="none" w:sz="0" w:space="0" w:color="auto"/>
        <w:bottom w:val="none" w:sz="0" w:space="0" w:color="auto"/>
        <w:right w:val="none" w:sz="0" w:space="0" w:color="auto"/>
      </w:divBdr>
    </w:div>
    <w:div w:id="933441867">
      <w:bodyDiv w:val="1"/>
      <w:marLeft w:val="0"/>
      <w:marRight w:val="0"/>
      <w:marTop w:val="0"/>
      <w:marBottom w:val="0"/>
      <w:divBdr>
        <w:top w:val="none" w:sz="0" w:space="0" w:color="auto"/>
        <w:left w:val="none" w:sz="0" w:space="0" w:color="auto"/>
        <w:bottom w:val="none" w:sz="0" w:space="0" w:color="auto"/>
        <w:right w:val="none" w:sz="0" w:space="0" w:color="auto"/>
      </w:divBdr>
    </w:div>
    <w:div w:id="946617015">
      <w:bodyDiv w:val="1"/>
      <w:marLeft w:val="0"/>
      <w:marRight w:val="0"/>
      <w:marTop w:val="0"/>
      <w:marBottom w:val="0"/>
      <w:divBdr>
        <w:top w:val="none" w:sz="0" w:space="0" w:color="auto"/>
        <w:left w:val="none" w:sz="0" w:space="0" w:color="auto"/>
        <w:bottom w:val="none" w:sz="0" w:space="0" w:color="auto"/>
        <w:right w:val="none" w:sz="0" w:space="0" w:color="auto"/>
      </w:divBdr>
    </w:div>
    <w:div w:id="947156854">
      <w:bodyDiv w:val="1"/>
      <w:marLeft w:val="0"/>
      <w:marRight w:val="0"/>
      <w:marTop w:val="0"/>
      <w:marBottom w:val="0"/>
      <w:divBdr>
        <w:top w:val="none" w:sz="0" w:space="0" w:color="auto"/>
        <w:left w:val="none" w:sz="0" w:space="0" w:color="auto"/>
        <w:bottom w:val="none" w:sz="0" w:space="0" w:color="auto"/>
        <w:right w:val="none" w:sz="0" w:space="0" w:color="auto"/>
      </w:divBdr>
    </w:div>
    <w:div w:id="947615926">
      <w:bodyDiv w:val="1"/>
      <w:marLeft w:val="0"/>
      <w:marRight w:val="0"/>
      <w:marTop w:val="0"/>
      <w:marBottom w:val="0"/>
      <w:divBdr>
        <w:top w:val="none" w:sz="0" w:space="0" w:color="auto"/>
        <w:left w:val="none" w:sz="0" w:space="0" w:color="auto"/>
        <w:bottom w:val="none" w:sz="0" w:space="0" w:color="auto"/>
        <w:right w:val="none" w:sz="0" w:space="0" w:color="auto"/>
      </w:divBdr>
    </w:div>
    <w:div w:id="950013723">
      <w:bodyDiv w:val="1"/>
      <w:marLeft w:val="0"/>
      <w:marRight w:val="0"/>
      <w:marTop w:val="0"/>
      <w:marBottom w:val="0"/>
      <w:divBdr>
        <w:top w:val="none" w:sz="0" w:space="0" w:color="auto"/>
        <w:left w:val="none" w:sz="0" w:space="0" w:color="auto"/>
        <w:bottom w:val="none" w:sz="0" w:space="0" w:color="auto"/>
        <w:right w:val="none" w:sz="0" w:space="0" w:color="auto"/>
      </w:divBdr>
    </w:div>
    <w:div w:id="963773782">
      <w:bodyDiv w:val="1"/>
      <w:marLeft w:val="0"/>
      <w:marRight w:val="0"/>
      <w:marTop w:val="0"/>
      <w:marBottom w:val="0"/>
      <w:divBdr>
        <w:top w:val="none" w:sz="0" w:space="0" w:color="auto"/>
        <w:left w:val="none" w:sz="0" w:space="0" w:color="auto"/>
        <w:bottom w:val="none" w:sz="0" w:space="0" w:color="auto"/>
        <w:right w:val="none" w:sz="0" w:space="0" w:color="auto"/>
      </w:divBdr>
    </w:div>
    <w:div w:id="972561503">
      <w:bodyDiv w:val="1"/>
      <w:marLeft w:val="0"/>
      <w:marRight w:val="0"/>
      <w:marTop w:val="0"/>
      <w:marBottom w:val="0"/>
      <w:divBdr>
        <w:top w:val="none" w:sz="0" w:space="0" w:color="auto"/>
        <w:left w:val="none" w:sz="0" w:space="0" w:color="auto"/>
        <w:bottom w:val="none" w:sz="0" w:space="0" w:color="auto"/>
        <w:right w:val="none" w:sz="0" w:space="0" w:color="auto"/>
      </w:divBdr>
    </w:div>
    <w:div w:id="973558933">
      <w:bodyDiv w:val="1"/>
      <w:marLeft w:val="0"/>
      <w:marRight w:val="0"/>
      <w:marTop w:val="0"/>
      <w:marBottom w:val="0"/>
      <w:divBdr>
        <w:top w:val="none" w:sz="0" w:space="0" w:color="auto"/>
        <w:left w:val="none" w:sz="0" w:space="0" w:color="auto"/>
        <w:bottom w:val="none" w:sz="0" w:space="0" w:color="auto"/>
        <w:right w:val="none" w:sz="0" w:space="0" w:color="auto"/>
      </w:divBdr>
    </w:div>
    <w:div w:id="974027466">
      <w:bodyDiv w:val="1"/>
      <w:marLeft w:val="0"/>
      <w:marRight w:val="0"/>
      <w:marTop w:val="0"/>
      <w:marBottom w:val="0"/>
      <w:divBdr>
        <w:top w:val="none" w:sz="0" w:space="0" w:color="auto"/>
        <w:left w:val="none" w:sz="0" w:space="0" w:color="auto"/>
        <w:bottom w:val="none" w:sz="0" w:space="0" w:color="auto"/>
        <w:right w:val="none" w:sz="0" w:space="0" w:color="auto"/>
      </w:divBdr>
    </w:div>
    <w:div w:id="974064197">
      <w:bodyDiv w:val="1"/>
      <w:marLeft w:val="0"/>
      <w:marRight w:val="0"/>
      <w:marTop w:val="0"/>
      <w:marBottom w:val="0"/>
      <w:divBdr>
        <w:top w:val="none" w:sz="0" w:space="0" w:color="auto"/>
        <w:left w:val="none" w:sz="0" w:space="0" w:color="auto"/>
        <w:bottom w:val="none" w:sz="0" w:space="0" w:color="auto"/>
        <w:right w:val="none" w:sz="0" w:space="0" w:color="auto"/>
      </w:divBdr>
    </w:div>
    <w:div w:id="976256964">
      <w:bodyDiv w:val="1"/>
      <w:marLeft w:val="0"/>
      <w:marRight w:val="0"/>
      <w:marTop w:val="0"/>
      <w:marBottom w:val="0"/>
      <w:divBdr>
        <w:top w:val="none" w:sz="0" w:space="0" w:color="auto"/>
        <w:left w:val="none" w:sz="0" w:space="0" w:color="auto"/>
        <w:bottom w:val="none" w:sz="0" w:space="0" w:color="auto"/>
        <w:right w:val="none" w:sz="0" w:space="0" w:color="auto"/>
      </w:divBdr>
    </w:div>
    <w:div w:id="977419762">
      <w:bodyDiv w:val="1"/>
      <w:marLeft w:val="0"/>
      <w:marRight w:val="0"/>
      <w:marTop w:val="0"/>
      <w:marBottom w:val="0"/>
      <w:divBdr>
        <w:top w:val="none" w:sz="0" w:space="0" w:color="auto"/>
        <w:left w:val="none" w:sz="0" w:space="0" w:color="auto"/>
        <w:bottom w:val="none" w:sz="0" w:space="0" w:color="auto"/>
        <w:right w:val="none" w:sz="0" w:space="0" w:color="auto"/>
      </w:divBdr>
    </w:div>
    <w:div w:id="981541460">
      <w:bodyDiv w:val="1"/>
      <w:marLeft w:val="0"/>
      <w:marRight w:val="0"/>
      <w:marTop w:val="0"/>
      <w:marBottom w:val="0"/>
      <w:divBdr>
        <w:top w:val="none" w:sz="0" w:space="0" w:color="auto"/>
        <w:left w:val="none" w:sz="0" w:space="0" w:color="auto"/>
        <w:bottom w:val="none" w:sz="0" w:space="0" w:color="auto"/>
        <w:right w:val="none" w:sz="0" w:space="0" w:color="auto"/>
      </w:divBdr>
    </w:div>
    <w:div w:id="988829189">
      <w:bodyDiv w:val="1"/>
      <w:marLeft w:val="0"/>
      <w:marRight w:val="0"/>
      <w:marTop w:val="0"/>
      <w:marBottom w:val="0"/>
      <w:divBdr>
        <w:top w:val="none" w:sz="0" w:space="0" w:color="auto"/>
        <w:left w:val="none" w:sz="0" w:space="0" w:color="auto"/>
        <w:bottom w:val="none" w:sz="0" w:space="0" w:color="auto"/>
        <w:right w:val="none" w:sz="0" w:space="0" w:color="auto"/>
      </w:divBdr>
      <w:divsChild>
        <w:div w:id="378555736">
          <w:marLeft w:val="600"/>
          <w:marRight w:val="0"/>
          <w:marTop w:val="0"/>
          <w:marBottom w:val="0"/>
          <w:divBdr>
            <w:top w:val="none" w:sz="0" w:space="0" w:color="auto"/>
            <w:left w:val="none" w:sz="0" w:space="0" w:color="auto"/>
            <w:bottom w:val="none" w:sz="0" w:space="0" w:color="auto"/>
            <w:right w:val="none" w:sz="0" w:space="0" w:color="auto"/>
          </w:divBdr>
        </w:div>
      </w:divsChild>
    </w:div>
    <w:div w:id="993684568">
      <w:bodyDiv w:val="1"/>
      <w:marLeft w:val="0"/>
      <w:marRight w:val="0"/>
      <w:marTop w:val="0"/>
      <w:marBottom w:val="0"/>
      <w:divBdr>
        <w:top w:val="none" w:sz="0" w:space="0" w:color="auto"/>
        <w:left w:val="none" w:sz="0" w:space="0" w:color="auto"/>
        <w:bottom w:val="none" w:sz="0" w:space="0" w:color="auto"/>
        <w:right w:val="none" w:sz="0" w:space="0" w:color="auto"/>
      </w:divBdr>
    </w:div>
    <w:div w:id="1009217145">
      <w:bodyDiv w:val="1"/>
      <w:marLeft w:val="0"/>
      <w:marRight w:val="0"/>
      <w:marTop w:val="0"/>
      <w:marBottom w:val="0"/>
      <w:divBdr>
        <w:top w:val="none" w:sz="0" w:space="0" w:color="auto"/>
        <w:left w:val="none" w:sz="0" w:space="0" w:color="auto"/>
        <w:bottom w:val="none" w:sz="0" w:space="0" w:color="auto"/>
        <w:right w:val="none" w:sz="0" w:space="0" w:color="auto"/>
      </w:divBdr>
    </w:div>
    <w:div w:id="1011417121">
      <w:bodyDiv w:val="1"/>
      <w:marLeft w:val="0"/>
      <w:marRight w:val="0"/>
      <w:marTop w:val="0"/>
      <w:marBottom w:val="0"/>
      <w:divBdr>
        <w:top w:val="none" w:sz="0" w:space="0" w:color="auto"/>
        <w:left w:val="none" w:sz="0" w:space="0" w:color="auto"/>
        <w:bottom w:val="none" w:sz="0" w:space="0" w:color="auto"/>
        <w:right w:val="none" w:sz="0" w:space="0" w:color="auto"/>
      </w:divBdr>
    </w:div>
    <w:div w:id="1024868435">
      <w:bodyDiv w:val="1"/>
      <w:marLeft w:val="0"/>
      <w:marRight w:val="0"/>
      <w:marTop w:val="0"/>
      <w:marBottom w:val="0"/>
      <w:divBdr>
        <w:top w:val="none" w:sz="0" w:space="0" w:color="auto"/>
        <w:left w:val="none" w:sz="0" w:space="0" w:color="auto"/>
        <w:bottom w:val="none" w:sz="0" w:space="0" w:color="auto"/>
        <w:right w:val="none" w:sz="0" w:space="0" w:color="auto"/>
      </w:divBdr>
    </w:div>
    <w:div w:id="1026713294">
      <w:bodyDiv w:val="1"/>
      <w:marLeft w:val="0"/>
      <w:marRight w:val="0"/>
      <w:marTop w:val="0"/>
      <w:marBottom w:val="0"/>
      <w:divBdr>
        <w:top w:val="none" w:sz="0" w:space="0" w:color="auto"/>
        <w:left w:val="none" w:sz="0" w:space="0" w:color="auto"/>
        <w:bottom w:val="none" w:sz="0" w:space="0" w:color="auto"/>
        <w:right w:val="none" w:sz="0" w:space="0" w:color="auto"/>
      </w:divBdr>
    </w:div>
    <w:div w:id="1029335213">
      <w:bodyDiv w:val="1"/>
      <w:marLeft w:val="0"/>
      <w:marRight w:val="0"/>
      <w:marTop w:val="0"/>
      <w:marBottom w:val="0"/>
      <w:divBdr>
        <w:top w:val="none" w:sz="0" w:space="0" w:color="auto"/>
        <w:left w:val="none" w:sz="0" w:space="0" w:color="auto"/>
        <w:bottom w:val="none" w:sz="0" w:space="0" w:color="auto"/>
        <w:right w:val="none" w:sz="0" w:space="0" w:color="auto"/>
      </w:divBdr>
    </w:div>
    <w:div w:id="1044447258">
      <w:bodyDiv w:val="1"/>
      <w:marLeft w:val="0"/>
      <w:marRight w:val="0"/>
      <w:marTop w:val="0"/>
      <w:marBottom w:val="0"/>
      <w:divBdr>
        <w:top w:val="none" w:sz="0" w:space="0" w:color="auto"/>
        <w:left w:val="none" w:sz="0" w:space="0" w:color="auto"/>
        <w:bottom w:val="none" w:sz="0" w:space="0" w:color="auto"/>
        <w:right w:val="none" w:sz="0" w:space="0" w:color="auto"/>
      </w:divBdr>
    </w:div>
    <w:div w:id="1045058073">
      <w:bodyDiv w:val="1"/>
      <w:marLeft w:val="0"/>
      <w:marRight w:val="0"/>
      <w:marTop w:val="0"/>
      <w:marBottom w:val="0"/>
      <w:divBdr>
        <w:top w:val="none" w:sz="0" w:space="0" w:color="auto"/>
        <w:left w:val="none" w:sz="0" w:space="0" w:color="auto"/>
        <w:bottom w:val="none" w:sz="0" w:space="0" w:color="auto"/>
        <w:right w:val="none" w:sz="0" w:space="0" w:color="auto"/>
      </w:divBdr>
    </w:div>
    <w:div w:id="1045640889">
      <w:bodyDiv w:val="1"/>
      <w:marLeft w:val="0"/>
      <w:marRight w:val="0"/>
      <w:marTop w:val="0"/>
      <w:marBottom w:val="0"/>
      <w:divBdr>
        <w:top w:val="none" w:sz="0" w:space="0" w:color="auto"/>
        <w:left w:val="none" w:sz="0" w:space="0" w:color="auto"/>
        <w:bottom w:val="none" w:sz="0" w:space="0" w:color="auto"/>
        <w:right w:val="none" w:sz="0" w:space="0" w:color="auto"/>
      </w:divBdr>
    </w:div>
    <w:div w:id="1048261008">
      <w:bodyDiv w:val="1"/>
      <w:marLeft w:val="0"/>
      <w:marRight w:val="0"/>
      <w:marTop w:val="0"/>
      <w:marBottom w:val="0"/>
      <w:divBdr>
        <w:top w:val="none" w:sz="0" w:space="0" w:color="auto"/>
        <w:left w:val="none" w:sz="0" w:space="0" w:color="auto"/>
        <w:bottom w:val="none" w:sz="0" w:space="0" w:color="auto"/>
        <w:right w:val="none" w:sz="0" w:space="0" w:color="auto"/>
      </w:divBdr>
    </w:div>
    <w:div w:id="1051033475">
      <w:bodyDiv w:val="1"/>
      <w:marLeft w:val="0"/>
      <w:marRight w:val="0"/>
      <w:marTop w:val="0"/>
      <w:marBottom w:val="0"/>
      <w:divBdr>
        <w:top w:val="none" w:sz="0" w:space="0" w:color="auto"/>
        <w:left w:val="none" w:sz="0" w:space="0" w:color="auto"/>
        <w:bottom w:val="none" w:sz="0" w:space="0" w:color="auto"/>
        <w:right w:val="none" w:sz="0" w:space="0" w:color="auto"/>
      </w:divBdr>
    </w:div>
    <w:div w:id="1052536569">
      <w:bodyDiv w:val="1"/>
      <w:marLeft w:val="0"/>
      <w:marRight w:val="0"/>
      <w:marTop w:val="0"/>
      <w:marBottom w:val="0"/>
      <w:divBdr>
        <w:top w:val="none" w:sz="0" w:space="0" w:color="auto"/>
        <w:left w:val="none" w:sz="0" w:space="0" w:color="auto"/>
        <w:bottom w:val="none" w:sz="0" w:space="0" w:color="auto"/>
        <w:right w:val="none" w:sz="0" w:space="0" w:color="auto"/>
      </w:divBdr>
    </w:div>
    <w:div w:id="1052579561">
      <w:bodyDiv w:val="1"/>
      <w:marLeft w:val="0"/>
      <w:marRight w:val="0"/>
      <w:marTop w:val="0"/>
      <w:marBottom w:val="0"/>
      <w:divBdr>
        <w:top w:val="none" w:sz="0" w:space="0" w:color="auto"/>
        <w:left w:val="none" w:sz="0" w:space="0" w:color="auto"/>
        <w:bottom w:val="none" w:sz="0" w:space="0" w:color="auto"/>
        <w:right w:val="none" w:sz="0" w:space="0" w:color="auto"/>
      </w:divBdr>
    </w:div>
    <w:div w:id="1056516080">
      <w:bodyDiv w:val="1"/>
      <w:marLeft w:val="0"/>
      <w:marRight w:val="0"/>
      <w:marTop w:val="0"/>
      <w:marBottom w:val="0"/>
      <w:divBdr>
        <w:top w:val="none" w:sz="0" w:space="0" w:color="auto"/>
        <w:left w:val="none" w:sz="0" w:space="0" w:color="auto"/>
        <w:bottom w:val="none" w:sz="0" w:space="0" w:color="auto"/>
        <w:right w:val="none" w:sz="0" w:space="0" w:color="auto"/>
      </w:divBdr>
    </w:div>
    <w:div w:id="1056856448">
      <w:bodyDiv w:val="1"/>
      <w:marLeft w:val="0"/>
      <w:marRight w:val="0"/>
      <w:marTop w:val="0"/>
      <w:marBottom w:val="0"/>
      <w:divBdr>
        <w:top w:val="none" w:sz="0" w:space="0" w:color="auto"/>
        <w:left w:val="none" w:sz="0" w:space="0" w:color="auto"/>
        <w:bottom w:val="none" w:sz="0" w:space="0" w:color="auto"/>
        <w:right w:val="none" w:sz="0" w:space="0" w:color="auto"/>
      </w:divBdr>
    </w:div>
    <w:div w:id="1061440479">
      <w:bodyDiv w:val="1"/>
      <w:marLeft w:val="0"/>
      <w:marRight w:val="0"/>
      <w:marTop w:val="0"/>
      <w:marBottom w:val="0"/>
      <w:divBdr>
        <w:top w:val="none" w:sz="0" w:space="0" w:color="auto"/>
        <w:left w:val="none" w:sz="0" w:space="0" w:color="auto"/>
        <w:bottom w:val="none" w:sz="0" w:space="0" w:color="auto"/>
        <w:right w:val="none" w:sz="0" w:space="0" w:color="auto"/>
      </w:divBdr>
    </w:div>
    <w:div w:id="1065104214">
      <w:bodyDiv w:val="1"/>
      <w:marLeft w:val="0"/>
      <w:marRight w:val="0"/>
      <w:marTop w:val="0"/>
      <w:marBottom w:val="0"/>
      <w:divBdr>
        <w:top w:val="none" w:sz="0" w:space="0" w:color="auto"/>
        <w:left w:val="none" w:sz="0" w:space="0" w:color="auto"/>
        <w:bottom w:val="none" w:sz="0" w:space="0" w:color="auto"/>
        <w:right w:val="none" w:sz="0" w:space="0" w:color="auto"/>
      </w:divBdr>
    </w:div>
    <w:div w:id="1066343437">
      <w:bodyDiv w:val="1"/>
      <w:marLeft w:val="0"/>
      <w:marRight w:val="0"/>
      <w:marTop w:val="0"/>
      <w:marBottom w:val="0"/>
      <w:divBdr>
        <w:top w:val="none" w:sz="0" w:space="0" w:color="auto"/>
        <w:left w:val="none" w:sz="0" w:space="0" w:color="auto"/>
        <w:bottom w:val="none" w:sz="0" w:space="0" w:color="auto"/>
        <w:right w:val="none" w:sz="0" w:space="0" w:color="auto"/>
      </w:divBdr>
    </w:div>
    <w:div w:id="1071586782">
      <w:bodyDiv w:val="1"/>
      <w:marLeft w:val="0"/>
      <w:marRight w:val="0"/>
      <w:marTop w:val="0"/>
      <w:marBottom w:val="0"/>
      <w:divBdr>
        <w:top w:val="none" w:sz="0" w:space="0" w:color="auto"/>
        <w:left w:val="none" w:sz="0" w:space="0" w:color="auto"/>
        <w:bottom w:val="none" w:sz="0" w:space="0" w:color="auto"/>
        <w:right w:val="none" w:sz="0" w:space="0" w:color="auto"/>
      </w:divBdr>
    </w:div>
    <w:div w:id="1076054049">
      <w:bodyDiv w:val="1"/>
      <w:marLeft w:val="0"/>
      <w:marRight w:val="0"/>
      <w:marTop w:val="0"/>
      <w:marBottom w:val="0"/>
      <w:divBdr>
        <w:top w:val="none" w:sz="0" w:space="0" w:color="auto"/>
        <w:left w:val="none" w:sz="0" w:space="0" w:color="auto"/>
        <w:bottom w:val="none" w:sz="0" w:space="0" w:color="auto"/>
        <w:right w:val="none" w:sz="0" w:space="0" w:color="auto"/>
      </w:divBdr>
    </w:div>
    <w:div w:id="1080954207">
      <w:bodyDiv w:val="1"/>
      <w:marLeft w:val="0"/>
      <w:marRight w:val="0"/>
      <w:marTop w:val="0"/>
      <w:marBottom w:val="0"/>
      <w:divBdr>
        <w:top w:val="none" w:sz="0" w:space="0" w:color="auto"/>
        <w:left w:val="none" w:sz="0" w:space="0" w:color="auto"/>
        <w:bottom w:val="none" w:sz="0" w:space="0" w:color="auto"/>
        <w:right w:val="none" w:sz="0" w:space="0" w:color="auto"/>
      </w:divBdr>
    </w:div>
    <w:div w:id="1085616891">
      <w:bodyDiv w:val="1"/>
      <w:marLeft w:val="0"/>
      <w:marRight w:val="0"/>
      <w:marTop w:val="0"/>
      <w:marBottom w:val="0"/>
      <w:divBdr>
        <w:top w:val="none" w:sz="0" w:space="0" w:color="auto"/>
        <w:left w:val="none" w:sz="0" w:space="0" w:color="auto"/>
        <w:bottom w:val="none" w:sz="0" w:space="0" w:color="auto"/>
        <w:right w:val="none" w:sz="0" w:space="0" w:color="auto"/>
      </w:divBdr>
    </w:div>
    <w:div w:id="1089623496">
      <w:bodyDiv w:val="1"/>
      <w:marLeft w:val="0"/>
      <w:marRight w:val="0"/>
      <w:marTop w:val="0"/>
      <w:marBottom w:val="0"/>
      <w:divBdr>
        <w:top w:val="none" w:sz="0" w:space="0" w:color="auto"/>
        <w:left w:val="none" w:sz="0" w:space="0" w:color="auto"/>
        <w:bottom w:val="none" w:sz="0" w:space="0" w:color="auto"/>
        <w:right w:val="none" w:sz="0" w:space="0" w:color="auto"/>
      </w:divBdr>
    </w:div>
    <w:div w:id="1094596112">
      <w:bodyDiv w:val="1"/>
      <w:marLeft w:val="0"/>
      <w:marRight w:val="0"/>
      <w:marTop w:val="0"/>
      <w:marBottom w:val="0"/>
      <w:divBdr>
        <w:top w:val="none" w:sz="0" w:space="0" w:color="auto"/>
        <w:left w:val="none" w:sz="0" w:space="0" w:color="auto"/>
        <w:bottom w:val="none" w:sz="0" w:space="0" w:color="auto"/>
        <w:right w:val="none" w:sz="0" w:space="0" w:color="auto"/>
      </w:divBdr>
    </w:div>
    <w:div w:id="1095369487">
      <w:bodyDiv w:val="1"/>
      <w:marLeft w:val="0"/>
      <w:marRight w:val="0"/>
      <w:marTop w:val="0"/>
      <w:marBottom w:val="0"/>
      <w:divBdr>
        <w:top w:val="none" w:sz="0" w:space="0" w:color="auto"/>
        <w:left w:val="none" w:sz="0" w:space="0" w:color="auto"/>
        <w:bottom w:val="none" w:sz="0" w:space="0" w:color="auto"/>
        <w:right w:val="none" w:sz="0" w:space="0" w:color="auto"/>
      </w:divBdr>
    </w:div>
    <w:div w:id="1096679847">
      <w:bodyDiv w:val="1"/>
      <w:marLeft w:val="0"/>
      <w:marRight w:val="0"/>
      <w:marTop w:val="0"/>
      <w:marBottom w:val="0"/>
      <w:divBdr>
        <w:top w:val="none" w:sz="0" w:space="0" w:color="auto"/>
        <w:left w:val="none" w:sz="0" w:space="0" w:color="auto"/>
        <w:bottom w:val="none" w:sz="0" w:space="0" w:color="auto"/>
        <w:right w:val="none" w:sz="0" w:space="0" w:color="auto"/>
      </w:divBdr>
    </w:div>
    <w:div w:id="1098402973">
      <w:bodyDiv w:val="1"/>
      <w:marLeft w:val="0"/>
      <w:marRight w:val="0"/>
      <w:marTop w:val="0"/>
      <w:marBottom w:val="0"/>
      <w:divBdr>
        <w:top w:val="none" w:sz="0" w:space="0" w:color="auto"/>
        <w:left w:val="none" w:sz="0" w:space="0" w:color="auto"/>
        <w:bottom w:val="none" w:sz="0" w:space="0" w:color="auto"/>
        <w:right w:val="none" w:sz="0" w:space="0" w:color="auto"/>
      </w:divBdr>
    </w:div>
    <w:div w:id="1099644989">
      <w:bodyDiv w:val="1"/>
      <w:marLeft w:val="0"/>
      <w:marRight w:val="0"/>
      <w:marTop w:val="0"/>
      <w:marBottom w:val="0"/>
      <w:divBdr>
        <w:top w:val="none" w:sz="0" w:space="0" w:color="auto"/>
        <w:left w:val="none" w:sz="0" w:space="0" w:color="auto"/>
        <w:bottom w:val="none" w:sz="0" w:space="0" w:color="auto"/>
        <w:right w:val="none" w:sz="0" w:space="0" w:color="auto"/>
      </w:divBdr>
    </w:div>
    <w:div w:id="1115447279">
      <w:bodyDiv w:val="1"/>
      <w:marLeft w:val="0"/>
      <w:marRight w:val="0"/>
      <w:marTop w:val="0"/>
      <w:marBottom w:val="0"/>
      <w:divBdr>
        <w:top w:val="none" w:sz="0" w:space="0" w:color="auto"/>
        <w:left w:val="none" w:sz="0" w:space="0" w:color="auto"/>
        <w:bottom w:val="none" w:sz="0" w:space="0" w:color="auto"/>
        <w:right w:val="none" w:sz="0" w:space="0" w:color="auto"/>
      </w:divBdr>
    </w:div>
    <w:div w:id="1128815345">
      <w:bodyDiv w:val="1"/>
      <w:marLeft w:val="0"/>
      <w:marRight w:val="0"/>
      <w:marTop w:val="0"/>
      <w:marBottom w:val="0"/>
      <w:divBdr>
        <w:top w:val="none" w:sz="0" w:space="0" w:color="auto"/>
        <w:left w:val="none" w:sz="0" w:space="0" w:color="auto"/>
        <w:bottom w:val="none" w:sz="0" w:space="0" w:color="auto"/>
        <w:right w:val="none" w:sz="0" w:space="0" w:color="auto"/>
      </w:divBdr>
      <w:divsChild>
        <w:div w:id="1903982752">
          <w:marLeft w:val="600"/>
          <w:marRight w:val="0"/>
          <w:marTop w:val="0"/>
          <w:marBottom w:val="0"/>
          <w:divBdr>
            <w:top w:val="none" w:sz="0" w:space="0" w:color="auto"/>
            <w:left w:val="none" w:sz="0" w:space="0" w:color="auto"/>
            <w:bottom w:val="none" w:sz="0" w:space="0" w:color="auto"/>
            <w:right w:val="none" w:sz="0" w:space="0" w:color="auto"/>
          </w:divBdr>
        </w:div>
      </w:divsChild>
    </w:div>
    <w:div w:id="1130975378">
      <w:bodyDiv w:val="1"/>
      <w:marLeft w:val="0"/>
      <w:marRight w:val="0"/>
      <w:marTop w:val="0"/>
      <w:marBottom w:val="0"/>
      <w:divBdr>
        <w:top w:val="none" w:sz="0" w:space="0" w:color="auto"/>
        <w:left w:val="none" w:sz="0" w:space="0" w:color="auto"/>
        <w:bottom w:val="none" w:sz="0" w:space="0" w:color="auto"/>
        <w:right w:val="none" w:sz="0" w:space="0" w:color="auto"/>
      </w:divBdr>
    </w:div>
    <w:div w:id="1135370805">
      <w:bodyDiv w:val="1"/>
      <w:marLeft w:val="0"/>
      <w:marRight w:val="0"/>
      <w:marTop w:val="0"/>
      <w:marBottom w:val="0"/>
      <w:divBdr>
        <w:top w:val="none" w:sz="0" w:space="0" w:color="auto"/>
        <w:left w:val="none" w:sz="0" w:space="0" w:color="auto"/>
        <w:bottom w:val="none" w:sz="0" w:space="0" w:color="auto"/>
        <w:right w:val="none" w:sz="0" w:space="0" w:color="auto"/>
      </w:divBdr>
    </w:div>
    <w:div w:id="1139802422">
      <w:bodyDiv w:val="1"/>
      <w:marLeft w:val="0"/>
      <w:marRight w:val="0"/>
      <w:marTop w:val="0"/>
      <w:marBottom w:val="0"/>
      <w:divBdr>
        <w:top w:val="none" w:sz="0" w:space="0" w:color="auto"/>
        <w:left w:val="none" w:sz="0" w:space="0" w:color="auto"/>
        <w:bottom w:val="none" w:sz="0" w:space="0" w:color="auto"/>
        <w:right w:val="none" w:sz="0" w:space="0" w:color="auto"/>
      </w:divBdr>
      <w:divsChild>
        <w:div w:id="537284051">
          <w:marLeft w:val="600"/>
          <w:marRight w:val="0"/>
          <w:marTop w:val="0"/>
          <w:marBottom w:val="0"/>
          <w:divBdr>
            <w:top w:val="none" w:sz="0" w:space="0" w:color="auto"/>
            <w:left w:val="none" w:sz="0" w:space="0" w:color="auto"/>
            <w:bottom w:val="none" w:sz="0" w:space="0" w:color="auto"/>
            <w:right w:val="none" w:sz="0" w:space="0" w:color="auto"/>
          </w:divBdr>
        </w:div>
      </w:divsChild>
    </w:div>
    <w:div w:id="1141726238">
      <w:bodyDiv w:val="1"/>
      <w:marLeft w:val="0"/>
      <w:marRight w:val="0"/>
      <w:marTop w:val="0"/>
      <w:marBottom w:val="0"/>
      <w:divBdr>
        <w:top w:val="none" w:sz="0" w:space="0" w:color="auto"/>
        <w:left w:val="none" w:sz="0" w:space="0" w:color="auto"/>
        <w:bottom w:val="none" w:sz="0" w:space="0" w:color="auto"/>
        <w:right w:val="none" w:sz="0" w:space="0" w:color="auto"/>
      </w:divBdr>
    </w:div>
    <w:div w:id="1142231585">
      <w:bodyDiv w:val="1"/>
      <w:marLeft w:val="0"/>
      <w:marRight w:val="0"/>
      <w:marTop w:val="0"/>
      <w:marBottom w:val="0"/>
      <w:divBdr>
        <w:top w:val="none" w:sz="0" w:space="0" w:color="auto"/>
        <w:left w:val="none" w:sz="0" w:space="0" w:color="auto"/>
        <w:bottom w:val="none" w:sz="0" w:space="0" w:color="auto"/>
        <w:right w:val="none" w:sz="0" w:space="0" w:color="auto"/>
      </w:divBdr>
      <w:divsChild>
        <w:div w:id="684021077">
          <w:marLeft w:val="600"/>
          <w:marRight w:val="0"/>
          <w:marTop w:val="0"/>
          <w:marBottom w:val="0"/>
          <w:divBdr>
            <w:top w:val="none" w:sz="0" w:space="0" w:color="auto"/>
            <w:left w:val="none" w:sz="0" w:space="0" w:color="auto"/>
            <w:bottom w:val="none" w:sz="0" w:space="0" w:color="auto"/>
            <w:right w:val="none" w:sz="0" w:space="0" w:color="auto"/>
          </w:divBdr>
        </w:div>
      </w:divsChild>
    </w:div>
    <w:div w:id="1143044347">
      <w:bodyDiv w:val="1"/>
      <w:marLeft w:val="0"/>
      <w:marRight w:val="0"/>
      <w:marTop w:val="0"/>
      <w:marBottom w:val="0"/>
      <w:divBdr>
        <w:top w:val="none" w:sz="0" w:space="0" w:color="auto"/>
        <w:left w:val="none" w:sz="0" w:space="0" w:color="auto"/>
        <w:bottom w:val="none" w:sz="0" w:space="0" w:color="auto"/>
        <w:right w:val="none" w:sz="0" w:space="0" w:color="auto"/>
      </w:divBdr>
    </w:div>
    <w:div w:id="1159033063">
      <w:bodyDiv w:val="1"/>
      <w:marLeft w:val="0"/>
      <w:marRight w:val="0"/>
      <w:marTop w:val="0"/>
      <w:marBottom w:val="0"/>
      <w:divBdr>
        <w:top w:val="none" w:sz="0" w:space="0" w:color="auto"/>
        <w:left w:val="none" w:sz="0" w:space="0" w:color="auto"/>
        <w:bottom w:val="none" w:sz="0" w:space="0" w:color="auto"/>
        <w:right w:val="none" w:sz="0" w:space="0" w:color="auto"/>
      </w:divBdr>
    </w:div>
    <w:div w:id="1164051106">
      <w:bodyDiv w:val="1"/>
      <w:marLeft w:val="0"/>
      <w:marRight w:val="0"/>
      <w:marTop w:val="0"/>
      <w:marBottom w:val="0"/>
      <w:divBdr>
        <w:top w:val="none" w:sz="0" w:space="0" w:color="auto"/>
        <w:left w:val="none" w:sz="0" w:space="0" w:color="auto"/>
        <w:bottom w:val="none" w:sz="0" w:space="0" w:color="auto"/>
        <w:right w:val="none" w:sz="0" w:space="0" w:color="auto"/>
      </w:divBdr>
      <w:divsChild>
        <w:div w:id="2029599183">
          <w:marLeft w:val="600"/>
          <w:marRight w:val="0"/>
          <w:marTop w:val="0"/>
          <w:marBottom w:val="0"/>
          <w:divBdr>
            <w:top w:val="none" w:sz="0" w:space="0" w:color="auto"/>
            <w:left w:val="none" w:sz="0" w:space="0" w:color="auto"/>
            <w:bottom w:val="none" w:sz="0" w:space="0" w:color="auto"/>
            <w:right w:val="none" w:sz="0" w:space="0" w:color="auto"/>
          </w:divBdr>
        </w:div>
      </w:divsChild>
    </w:div>
    <w:div w:id="1165321172">
      <w:bodyDiv w:val="1"/>
      <w:marLeft w:val="0"/>
      <w:marRight w:val="0"/>
      <w:marTop w:val="0"/>
      <w:marBottom w:val="0"/>
      <w:divBdr>
        <w:top w:val="none" w:sz="0" w:space="0" w:color="auto"/>
        <w:left w:val="none" w:sz="0" w:space="0" w:color="auto"/>
        <w:bottom w:val="none" w:sz="0" w:space="0" w:color="auto"/>
        <w:right w:val="none" w:sz="0" w:space="0" w:color="auto"/>
      </w:divBdr>
      <w:divsChild>
        <w:div w:id="693308034">
          <w:marLeft w:val="600"/>
          <w:marRight w:val="0"/>
          <w:marTop w:val="0"/>
          <w:marBottom w:val="0"/>
          <w:divBdr>
            <w:top w:val="none" w:sz="0" w:space="0" w:color="auto"/>
            <w:left w:val="none" w:sz="0" w:space="0" w:color="auto"/>
            <w:bottom w:val="none" w:sz="0" w:space="0" w:color="auto"/>
            <w:right w:val="none" w:sz="0" w:space="0" w:color="auto"/>
          </w:divBdr>
        </w:div>
        <w:div w:id="670986963">
          <w:marLeft w:val="600"/>
          <w:marRight w:val="0"/>
          <w:marTop w:val="0"/>
          <w:marBottom w:val="0"/>
          <w:divBdr>
            <w:top w:val="none" w:sz="0" w:space="0" w:color="auto"/>
            <w:left w:val="none" w:sz="0" w:space="0" w:color="auto"/>
            <w:bottom w:val="none" w:sz="0" w:space="0" w:color="auto"/>
            <w:right w:val="none" w:sz="0" w:space="0" w:color="auto"/>
          </w:divBdr>
        </w:div>
      </w:divsChild>
    </w:div>
    <w:div w:id="1167018312">
      <w:bodyDiv w:val="1"/>
      <w:marLeft w:val="0"/>
      <w:marRight w:val="0"/>
      <w:marTop w:val="0"/>
      <w:marBottom w:val="0"/>
      <w:divBdr>
        <w:top w:val="none" w:sz="0" w:space="0" w:color="auto"/>
        <w:left w:val="none" w:sz="0" w:space="0" w:color="auto"/>
        <w:bottom w:val="none" w:sz="0" w:space="0" w:color="auto"/>
        <w:right w:val="none" w:sz="0" w:space="0" w:color="auto"/>
      </w:divBdr>
    </w:div>
    <w:div w:id="1168210937">
      <w:bodyDiv w:val="1"/>
      <w:marLeft w:val="0"/>
      <w:marRight w:val="0"/>
      <w:marTop w:val="0"/>
      <w:marBottom w:val="0"/>
      <w:divBdr>
        <w:top w:val="none" w:sz="0" w:space="0" w:color="auto"/>
        <w:left w:val="none" w:sz="0" w:space="0" w:color="auto"/>
        <w:bottom w:val="none" w:sz="0" w:space="0" w:color="auto"/>
        <w:right w:val="none" w:sz="0" w:space="0" w:color="auto"/>
      </w:divBdr>
    </w:div>
    <w:div w:id="1169253817">
      <w:bodyDiv w:val="1"/>
      <w:marLeft w:val="0"/>
      <w:marRight w:val="0"/>
      <w:marTop w:val="0"/>
      <w:marBottom w:val="0"/>
      <w:divBdr>
        <w:top w:val="none" w:sz="0" w:space="0" w:color="auto"/>
        <w:left w:val="none" w:sz="0" w:space="0" w:color="auto"/>
        <w:bottom w:val="none" w:sz="0" w:space="0" w:color="auto"/>
        <w:right w:val="none" w:sz="0" w:space="0" w:color="auto"/>
      </w:divBdr>
      <w:divsChild>
        <w:div w:id="2065788814">
          <w:marLeft w:val="600"/>
          <w:marRight w:val="0"/>
          <w:marTop w:val="0"/>
          <w:marBottom w:val="0"/>
          <w:divBdr>
            <w:top w:val="none" w:sz="0" w:space="0" w:color="auto"/>
            <w:left w:val="none" w:sz="0" w:space="0" w:color="auto"/>
            <w:bottom w:val="none" w:sz="0" w:space="0" w:color="auto"/>
            <w:right w:val="none" w:sz="0" w:space="0" w:color="auto"/>
          </w:divBdr>
        </w:div>
      </w:divsChild>
    </w:div>
    <w:div w:id="1174148323">
      <w:bodyDiv w:val="1"/>
      <w:marLeft w:val="0"/>
      <w:marRight w:val="0"/>
      <w:marTop w:val="0"/>
      <w:marBottom w:val="0"/>
      <w:divBdr>
        <w:top w:val="none" w:sz="0" w:space="0" w:color="auto"/>
        <w:left w:val="none" w:sz="0" w:space="0" w:color="auto"/>
        <w:bottom w:val="none" w:sz="0" w:space="0" w:color="auto"/>
        <w:right w:val="none" w:sz="0" w:space="0" w:color="auto"/>
      </w:divBdr>
    </w:div>
    <w:div w:id="1175877946">
      <w:bodyDiv w:val="1"/>
      <w:marLeft w:val="0"/>
      <w:marRight w:val="0"/>
      <w:marTop w:val="0"/>
      <w:marBottom w:val="0"/>
      <w:divBdr>
        <w:top w:val="none" w:sz="0" w:space="0" w:color="auto"/>
        <w:left w:val="none" w:sz="0" w:space="0" w:color="auto"/>
        <w:bottom w:val="none" w:sz="0" w:space="0" w:color="auto"/>
        <w:right w:val="none" w:sz="0" w:space="0" w:color="auto"/>
      </w:divBdr>
      <w:divsChild>
        <w:div w:id="1689911648">
          <w:marLeft w:val="600"/>
          <w:marRight w:val="0"/>
          <w:marTop w:val="0"/>
          <w:marBottom w:val="0"/>
          <w:divBdr>
            <w:top w:val="none" w:sz="0" w:space="0" w:color="auto"/>
            <w:left w:val="none" w:sz="0" w:space="0" w:color="auto"/>
            <w:bottom w:val="none" w:sz="0" w:space="0" w:color="auto"/>
            <w:right w:val="none" w:sz="0" w:space="0" w:color="auto"/>
          </w:divBdr>
        </w:div>
      </w:divsChild>
    </w:div>
    <w:div w:id="1176072541">
      <w:bodyDiv w:val="1"/>
      <w:marLeft w:val="0"/>
      <w:marRight w:val="0"/>
      <w:marTop w:val="0"/>
      <w:marBottom w:val="0"/>
      <w:divBdr>
        <w:top w:val="none" w:sz="0" w:space="0" w:color="auto"/>
        <w:left w:val="none" w:sz="0" w:space="0" w:color="auto"/>
        <w:bottom w:val="none" w:sz="0" w:space="0" w:color="auto"/>
        <w:right w:val="none" w:sz="0" w:space="0" w:color="auto"/>
      </w:divBdr>
    </w:div>
    <w:div w:id="1190072960">
      <w:bodyDiv w:val="1"/>
      <w:marLeft w:val="0"/>
      <w:marRight w:val="0"/>
      <w:marTop w:val="0"/>
      <w:marBottom w:val="0"/>
      <w:divBdr>
        <w:top w:val="none" w:sz="0" w:space="0" w:color="auto"/>
        <w:left w:val="none" w:sz="0" w:space="0" w:color="auto"/>
        <w:bottom w:val="none" w:sz="0" w:space="0" w:color="auto"/>
        <w:right w:val="none" w:sz="0" w:space="0" w:color="auto"/>
      </w:divBdr>
      <w:divsChild>
        <w:div w:id="1502233653">
          <w:marLeft w:val="600"/>
          <w:marRight w:val="0"/>
          <w:marTop w:val="0"/>
          <w:marBottom w:val="0"/>
          <w:divBdr>
            <w:top w:val="none" w:sz="0" w:space="0" w:color="auto"/>
            <w:left w:val="none" w:sz="0" w:space="0" w:color="auto"/>
            <w:bottom w:val="none" w:sz="0" w:space="0" w:color="auto"/>
            <w:right w:val="none" w:sz="0" w:space="0" w:color="auto"/>
          </w:divBdr>
        </w:div>
      </w:divsChild>
    </w:div>
    <w:div w:id="1190489575">
      <w:bodyDiv w:val="1"/>
      <w:marLeft w:val="0"/>
      <w:marRight w:val="0"/>
      <w:marTop w:val="0"/>
      <w:marBottom w:val="0"/>
      <w:divBdr>
        <w:top w:val="none" w:sz="0" w:space="0" w:color="auto"/>
        <w:left w:val="none" w:sz="0" w:space="0" w:color="auto"/>
        <w:bottom w:val="none" w:sz="0" w:space="0" w:color="auto"/>
        <w:right w:val="none" w:sz="0" w:space="0" w:color="auto"/>
      </w:divBdr>
    </w:div>
    <w:div w:id="1198079750">
      <w:bodyDiv w:val="1"/>
      <w:marLeft w:val="0"/>
      <w:marRight w:val="0"/>
      <w:marTop w:val="0"/>
      <w:marBottom w:val="0"/>
      <w:divBdr>
        <w:top w:val="none" w:sz="0" w:space="0" w:color="auto"/>
        <w:left w:val="none" w:sz="0" w:space="0" w:color="auto"/>
        <w:bottom w:val="none" w:sz="0" w:space="0" w:color="auto"/>
        <w:right w:val="none" w:sz="0" w:space="0" w:color="auto"/>
      </w:divBdr>
    </w:div>
    <w:div w:id="1198158139">
      <w:bodyDiv w:val="1"/>
      <w:marLeft w:val="0"/>
      <w:marRight w:val="0"/>
      <w:marTop w:val="0"/>
      <w:marBottom w:val="0"/>
      <w:divBdr>
        <w:top w:val="none" w:sz="0" w:space="0" w:color="auto"/>
        <w:left w:val="none" w:sz="0" w:space="0" w:color="auto"/>
        <w:bottom w:val="none" w:sz="0" w:space="0" w:color="auto"/>
        <w:right w:val="none" w:sz="0" w:space="0" w:color="auto"/>
      </w:divBdr>
    </w:div>
    <w:div w:id="1198814871">
      <w:bodyDiv w:val="1"/>
      <w:marLeft w:val="0"/>
      <w:marRight w:val="0"/>
      <w:marTop w:val="0"/>
      <w:marBottom w:val="0"/>
      <w:divBdr>
        <w:top w:val="none" w:sz="0" w:space="0" w:color="auto"/>
        <w:left w:val="none" w:sz="0" w:space="0" w:color="auto"/>
        <w:bottom w:val="none" w:sz="0" w:space="0" w:color="auto"/>
        <w:right w:val="none" w:sz="0" w:space="0" w:color="auto"/>
      </w:divBdr>
      <w:divsChild>
        <w:div w:id="1340232358">
          <w:marLeft w:val="600"/>
          <w:marRight w:val="0"/>
          <w:marTop w:val="0"/>
          <w:marBottom w:val="0"/>
          <w:divBdr>
            <w:top w:val="none" w:sz="0" w:space="0" w:color="auto"/>
            <w:left w:val="none" w:sz="0" w:space="0" w:color="auto"/>
            <w:bottom w:val="none" w:sz="0" w:space="0" w:color="auto"/>
            <w:right w:val="none" w:sz="0" w:space="0" w:color="auto"/>
          </w:divBdr>
        </w:div>
      </w:divsChild>
    </w:div>
    <w:div w:id="1199705305">
      <w:bodyDiv w:val="1"/>
      <w:marLeft w:val="0"/>
      <w:marRight w:val="0"/>
      <w:marTop w:val="0"/>
      <w:marBottom w:val="0"/>
      <w:divBdr>
        <w:top w:val="none" w:sz="0" w:space="0" w:color="auto"/>
        <w:left w:val="none" w:sz="0" w:space="0" w:color="auto"/>
        <w:bottom w:val="none" w:sz="0" w:space="0" w:color="auto"/>
        <w:right w:val="none" w:sz="0" w:space="0" w:color="auto"/>
      </w:divBdr>
    </w:div>
    <w:div w:id="1207067627">
      <w:bodyDiv w:val="1"/>
      <w:marLeft w:val="0"/>
      <w:marRight w:val="0"/>
      <w:marTop w:val="0"/>
      <w:marBottom w:val="0"/>
      <w:divBdr>
        <w:top w:val="none" w:sz="0" w:space="0" w:color="auto"/>
        <w:left w:val="none" w:sz="0" w:space="0" w:color="auto"/>
        <w:bottom w:val="none" w:sz="0" w:space="0" w:color="auto"/>
        <w:right w:val="none" w:sz="0" w:space="0" w:color="auto"/>
      </w:divBdr>
    </w:div>
    <w:div w:id="1208297325">
      <w:bodyDiv w:val="1"/>
      <w:marLeft w:val="0"/>
      <w:marRight w:val="0"/>
      <w:marTop w:val="0"/>
      <w:marBottom w:val="0"/>
      <w:divBdr>
        <w:top w:val="none" w:sz="0" w:space="0" w:color="auto"/>
        <w:left w:val="none" w:sz="0" w:space="0" w:color="auto"/>
        <w:bottom w:val="none" w:sz="0" w:space="0" w:color="auto"/>
        <w:right w:val="none" w:sz="0" w:space="0" w:color="auto"/>
      </w:divBdr>
    </w:div>
    <w:div w:id="1213225346">
      <w:bodyDiv w:val="1"/>
      <w:marLeft w:val="0"/>
      <w:marRight w:val="0"/>
      <w:marTop w:val="0"/>
      <w:marBottom w:val="0"/>
      <w:divBdr>
        <w:top w:val="none" w:sz="0" w:space="0" w:color="auto"/>
        <w:left w:val="none" w:sz="0" w:space="0" w:color="auto"/>
        <w:bottom w:val="none" w:sz="0" w:space="0" w:color="auto"/>
        <w:right w:val="none" w:sz="0" w:space="0" w:color="auto"/>
      </w:divBdr>
    </w:div>
    <w:div w:id="1214611077">
      <w:bodyDiv w:val="1"/>
      <w:marLeft w:val="0"/>
      <w:marRight w:val="0"/>
      <w:marTop w:val="0"/>
      <w:marBottom w:val="0"/>
      <w:divBdr>
        <w:top w:val="none" w:sz="0" w:space="0" w:color="auto"/>
        <w:left w:val="none" w:sz="0" w:space="0" w:color="auto"/>
        <w:bottom w:val="none" w:sz="0" w:space="0" w:color="auto"/>
        <w:right w:val="none" w:sz="0" w:space="0" w:color="auto"/>
      </w:divBdr>
      <w:divsChild>
        <w:div w:id="1780372311">
          <w:marLeft w:val="480"/>
          <w:marRight w:val="0"/>
          <w:marTop w:val="0"/>
          <w:marBottom w:val="0"/>
          <w:divBdr>
            <w:top w:val="none" w:sz="0" w:space="0" w:color="auto"/>
            <w:left w:val="none" w:sz="0" w:space="0" w:color="auto"/>
            <w:bottom w:val="none" w:sz="0" w:space="0" w:color="auto"/>
            <w:right w:val="none" w:sz="0" w:space="0" w:color="auto"/>
          </w:divBdr>
        </w:div>
      </w:divsChild>
    </w:div>
    <w:div w:id="1215654199">
      <w:bodyDiv w:val="1"/>
      <w:marLeft w:val="0"/>
      <w:marRight w:val="0"/>
      <w:marTop w:val="0"/>
      <w:marBottom w:val="0"/>
      <w:divBdr>
        <w:top w:val="none" w:sz="0" w:space="0" w:color="auto"/>
        <w:left w:val="none" w:sz="0" w:space="0" w:color="auto"/>
        <w:bottom w:val="none" w:sz="0" w:space="0" w:color="auto"/>
        <w:right w:val="none" w:sz="0" w:space="0" w:color="auto"/>
      </w:divBdr>
    </w:div>
    <w:div w:id="1221211186">
      <w:bodyDiv w:val="1"/>
      <w:marLeft w:val="0"/>
      <w:marRight w:val="0"/>
      <w:marTop w:val="0"/>
      <w:marBottom w:val="0"/>
      <w:divBdr>
        <w:top w:val="none" w:sz="0" w:space="0" w:color="auto"/>
        <w:left w:val="none" w:sz="0" w:space="0" w:color="auto"/>
        <w:bottom w:val="none" w:sz="0" w:space="0" w:color="auto"/>
        <w:right w:val="none" w:sz="0" w:space="0" w:color="auto"/>
      </w:divBdr>
    </w:div>
    <w:div w:id="1226143232">
      <w:bodyDiv w:val="1"/>
      <w:marLeft w:val="0"/>
      <w:marRight w:val="0"/>
      <w:marTop w:val="0"/>
      <w:marBottom w:val="0"/>
      <w:divBdr>
        <w:top w:val="none" w:sz="0" w:space="0" w:color="auto"/>
        <w:left w:val="none" w:sz="0" w:space="0" w:color="auto"/>
        <w:bottom w:val="none" w:sz="0" w:space="0" w:color="auto"/>
        <w:right w:val="none" w:sz="0" w:space="0" w:color="auto"/>
      </w:divBdr>
    </w:div>
    <w:div w:id="1226261697">
      <w:bodyDiv w:val="1"/>
      <w:marLeft w:val="0"/>
      <w:marRight w:val="0"/>
      <w:marTop w:val="0"/>
      <w:marBottom w:val="0"/>
      <w:divBdr>
        <w:top w:val="none" w:sz="0" w:space="0" w:color="auto"/>
        <w:left w:val="none" w:sz="0" w:space="0" w:color="auto"/>
        <w:bottom w:val="none" w:sz="0" w:space="0" w:color="auto"/>
        <w:right w:val="none" w:sz="0" w:space="0" w:color="auto"/>
      </w:divBdr>
    </w:div>
    <w:div w:id="1228154331">
      <w:bodyDiv w:val="1"/>
      <w:marLeft w:val="0"/>
      <w:marRight w:val="0"/>
      <w:marTop w:val="0"/>
      <w:marBottom w:val="0"/>
      <w:divBdr>
        <w:top w:val="none" w:sz="0" w:space="0" w:color="auto"/>
        <w:left w:val="none" w:sz="0" w:space="0" w:color="auto"/>
        <w:bottom w:val="none" w:sz="0" w:space="0" w:color="auto"/>
        <w:right w:val="none" w:sz="0" w:space="0" w:color="auto"/>
      </w:divBdr>
    </w:div>
    <w:div w:id="1235899653">
      <w:bodyDiv w:val="1"/>
      <w:marLeft w:val="0"/>
      <w:marRight w:val="0"/>
      <w:marTop w:val="0"/>
      <w:marBottom w:val="0"/>
      <w:divBdr>
        <w:top w:val="none" w:sz="0" w:space="0" w:color="auto"/>
        <w:left w:val="none" w:sz="0" w:space="0" w:color="auto"/>
        <w:bottom w:val="none" w:sz="0" w:space="0" w:color="auto"/>
        <w:right w:val="none" w:sz="0" w:space="0" w:color="auto"/>
      </w:divBdr>
    </w:div>
    <w:div w:id="1240478917">
      <w:bodyDiv w:val="1"/>
      <w:marLeft w:val="0"/>
      <w:marRight w:val="0"/>
      <w:marTop w:val="0"/>
      <w:marBottom w:val="0"/>
      <w:divBdr>
        <w:top w:val="none" w:sz="0" w:space="0" w:color="auto"/>
        <w:left w:val="none" w:sz="0" w:space="0" w:color="auto"/>
        <w:bottom w:val="none" w:sz="0" w:space="0" w:color="auto"/>
        <w:right w:val="none" w:sz="0" w:space="0" w:color="auto"/>
      </w:divBdr>
      <w:divsChild>
        <w:div w:id="2134597003">
          <w:marLeft w:val="600"/>
          <w:marRight w:val="0"/>
          <w:marTop w:val="0"/>
          <w:marBottom w:val="0"/>
          <w:divBdr>
            <w:top w:val="none" w:sz="0" w:space="0" w:color="auto"/>
            <w:left w:val="none" w:sz="0" w:space="0" w:color="auto"/>
            <w:bottom w:val="none" w:sz="0" w:space="0" w:color="auto"/>
            <w:right w:val="none" w:sz="0" w:space="0" w:color="auto"/>
          </w:divBdr>
        </w:div>
      </w:divsChild>
    </w:div>
    <w:div w:id="1241646203">
      <w:bodyDiv w:val="1"/>
      <w:marLeft w:val="0"/>
      <w:marRight w:val="0"/>
      <w:marTop w:val="0"/>
      <w:marBottom w:val="0"/>
      <w:divBdr>
        <w:top w:val="none" w:sz="0" w:space="0" w:color="auto"/>
        <w:left w:val="none" w:sz="0" w:space="0" w:color="auto"/>
        <w:bottom w:val="none" w:sz="0" w:space="0" w:color="auto"/>
        <w:right w:val="none" w:sz="0" w:space="0" w:color="auto"/>
      </w:divBdr>
    </w:div>
    <w:div w:id="1244872076">
      <w:bodyDiv w:val="1"/>
      <w:marLeft w:val="0"/>
      <w:marRight w:val="0"/>
      <w:marTop w:val="0"/>
      <w:marBottom w:val="0"/>
      <w:divBdr>
        <w:top w:val="none" w:sz="0" w:space="0" w:color="auto"/>
        <w:left w:val="none" w:sz="0" w:space="0" w:color="auto"/>
        <w:bottom w:val="none" w:sz="0" w:space="0" w:color="auto"/>
        <w:right w:val="none" w:sz="0" w:space="0" w:color="auto"/>
      </w:divBdr>
      <w:divsChild>
        <w:div w:id="1271627373">
          <w:marLeft w:val="600"/>
          <w:marRight w:val="0"/>
          <w:marTop w:val="0"/>
          <w:marBottom w:val="0"/>
          <w:divBdr>
            <w:top w:val="none" w:sz="0" w:space="0" w:color="auto"/>
            <w:left w:val="none" w:sz="0" w:space="0" w:color="auto"/>
            <w:bottom w:val="none" w:sz="0" w:space="0" w:color="auto"/>
            <w:right w:val="none" w:sz="0" w:space="0" w:color="auto"/>
          </w:divBdr>
        </w:div>
      </w:divsChild>
    </w:div>
    <w:div w:id="1250889704">
      <w:bodyDiv w:val="1"/>
      <w:marLeft w:val="0"/>
      <w:marRight w:val="0"/>
      <w:marTop w:val="0"/>
      <w:marBottom w:val="0"/>
      <w:divBdr>
        <w:top w:val="none" w:sz="0" w:space="0" w:color="auto"/>
        <w:left w:val="none" w:sz="0" w:space="0" w:color="auto"/>
        <w:bottom w:val="none" w:sz="0" w:space="0" w:color="auto"/>
        <w:right w:val="none" w:sz="0" w:space="0" w:color="auto"/>
      </w:divBdr>
    </w:div>
    <w:div w:id="1252012452">
      <w:bodyDiv w:val="1"/>
      <w:marLeft w:val="0"/>
      <w:marRight w:val="0"/>
      <w:marTop w:val="0"/>
      <w:marBottom w:val="0"/>
      <w:divBdr>
        <w:top w:val="none" w:sz="0" w:space="0" w:color="auto"/>
        <w:left w:val="none" w:sz="0" w:space="0" w:color="auto"/>
        <w:bottom w:val="none" w:sz="0" w:space="0" w:color="auto"/>
        <w:right w:val="none" w:sz="0" w:space="0" w:color="auto"/>
      </w:divBdr>
    </w:div>
    <w:div w:id="1256787945">
      <w:bodyDiv w:val="1"/>
      <w:marLeft w:val="0"/>
      <w:marRight w:val="0"/>
      <w:marTop w:val="0"/>
      <w:marBottom w:val="0"/>
      <w:divBdr>
        <w:top w:val="none" w:sz="0" w:space="0" w:color="auto"/>
        <w:left w:val="none" w:sz="0" w:space="0" w:color="auto"/>
        <w:bottom w:val="none" w:sz="0" w:space="0" w:color="auto"/>
        <w:right w:val="none" w:sz="0" w:space="0" w:color="auto"/>
      </w:divBdr>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
    <w:div w:id="1265503905">
      <w:bodyDiv w:val="1"/>
      <w:marLeft w:val="0"/>
      <w:marRight w:val="0"/>
      <w:marTop w:val="0"/>
      <w:marBottom w:val="0"/>
      <w:divBdr>
        <w:top w:val="none" w:sz="0" w:space="0" w:color="auto"/>
        <w:left w:val="none" w:sz="0" w:space="0" w:color="auto"/>
        <w:bottom w:val="none" w:sz="0" w:space="0" w:color="auto"/>
        <w:right w:val="none" w:sz="0" w:space="0" w:color="auto"/>
      </w:divBdr>
    </w:div>
    <w:div w:id="1267886038">
      <w:bodyDiv w:val="1"/>
      <w:marLeft w:val="0"/>
      <w:marRight w:val="0"/>
      <w:marTop w:val="0"/>
      <w:marBottom w:val="0"/>
      <w:divBdr>
        <w:top w:val="none" w:sz="0" w:space="0" w:color="auto"/>
        <w:left w:val="none" w:sz="0" w:space="0" w:color="auto"/>
        <w:bottom w:val="none" w:sz="0" w:space="0" w:color="auto"/>
        <w:right w:val="none" w:sz="0" w:space="0" w:color="auto"/>
      </w:divBdr>
    </w:div>
    <w:div w:id="1274166936">
      <w:bodyDiv w:val="1"/>
      <w:marLeft w:val="0"/>
      <w:marRight w:val="0"/>
      <w:marTop w:val="0"/>
      <w:marBottom w:val="0"/>
      <w:divBdr>
        <w:top w:val="none" w:sz="0" w:space="0" w:color="auto"/>
        <w:left w:val="none" w:sz="0" w:space="0" w:color="auto"/>
        <w:bottom w:val="none" w:sz="0" w:space="0" w:color="auto"/>
        <w:right w:val="none" w:sz="0" w:space="0" w:color="auto"/>
      </w:divBdr>
    </w:div>
    <w:div w:id="1277173054">
      <w:bodyDiv w:val="1"/>
      <w:marLeft w:val="0"/>
      <w:marRight w:val="0"/>
      <w:marTop w:val="0"/>
      <w:marBottom w:val="0"/>
      <w:divBdr>
        <w:top w:val="none" w:sz="0" w:space="0" w:color="auto"/>
        <w:left w:val="none" w:sz="0" w:space="0" w:color="auto"/>
        <w:bottom w:val="none" w:sz="0" w:space="0" w:color="auto"/>
        <w:right w:val="none" w:sz="0" w:space="0" w:color="auto"/>
      </w:divBdr>
    </w:div>
    <w:div w:id="1280836946">
      <w:bodyDiv w:val="1"/>
      <w:marLeft w:val="0"/>
      <w:marRight w:val="0"/>
      <w:marTop w:val="0"/>
      <w:marBottom w:val="0"/>
      <w:divBdr>
        <w:top w:val="none" w:sz="0" w:space="0" w:color="auto"/>
        <w:left w:val="none" w:sz="0" w:space="0" w:color="auto"/>
        <w:bottom w:val="none" w:sz="0" w:space="0" w:color="auto"/>
        <w:right w:val="none" w:sz="0" w:space="0" w:color="auto"/>
      </w:divBdr>
    </w:div>
    <w:div w:id="1287614787">
      <w:bodyDiv w:val="1"/>
      <w:marLeft w:val="0"/>
      <w:marRight w:val="0"/>
      <w:marTop w:val="0"/>
      <w:marBottom w:val="0"/>
      <w:divBdr>
        <w:top w:val="none" w:sz="0" w:space="0" w:color="auto"/>
        <w:left w:val="none" w:sz="0" w:space="0" w:color="auto"/>
        <w:bottom w:val="none" w:sz="0" w:space="0" w:color="auto"/>
        <w:right w:val="none" w:sz="0" w:space="0" w:color="auto"/>
      </w:divBdr>
    </w:div>
    <w:div w:id="1302660251">
      <w:bodyDiv w:val="1"/>
      <w:marLeft w:val="0"/>
      <w:marRight w:val="0"/>
      <w:marTop w:val="0"/>
      <w:marBottom w:val="0"/>
      <w:divBdr>
        <w:top w:val="none" w:sz="0" w:space="0" w:color="auto"/>
        <w:left w:val="none" w:sz="0" w:space="0" w:color="auto"/>
        <w:bottom w:val="none" w:sz="0" w:space="0" w:color="auto"/>
        <w:right w:val="none" w:sz="0" w:space="0" w:color="auto"/>
      </w:divBdr>
    </w:div>
    <w:div w:id="1304971513">
      <w:bodyDiv w:val="1"/>
      <w:marLeft w:val="0"/>
      <w:marRight w:val="0"/>
      <w:marTop w:val="0"/>
      <w:marBottom w:val="0"/>
      <w:divBdr>
        <w:top w:val="none" w:sz="0" w:space="0" w:color="auto"/>
        <w:left w:val="none" w:sz="0" w:space="0" w:color="auto"/>
        <w:bottom w:val="none" w:sz="0" w:space="0" w:color="auto"/>
        <w:right w:val="none" w:sz="0" w:space="0" w:color="auto"/>
      </w:divBdr>
    </w:div>
    <w:div w:id="1306277059">
      <w:bodyDiv w:val="1"/>
      <w:marLeft w:val="0"/>
      <w:marRight w:val="0"/>
      <w:marTop w:val="0"/>
      <w:marBottom w:val="0"/>
      <w:divBdr>
        <w:top w:val="none" w:sz="0" w:space="0" w:color="auto"/>
        <w:left w:val="none" w:sz="0" w:space="0" w:color="auto"/>
        <w:bottom w:val="none" w:sz="0" w:space="0" w:color="auto"/>
        <w:right w:val="none" w:sz="0" w:space="0" w:color="auto"/>
      </w:divBdr>
    </w:div>
    <w:div w:id="1306738875">
      <w:bodyDiv w:val="1"/>
      <w:marLeft w:val="0"/>
      <w:marRight w:val="0"/>
      <w:marTop w:val="0"/>
      <w:marBottom w:val="0"/>
      <w:divBdr>
        <w:top w:val="none" w:sz="0" w:space="0" w:color="auto"/>
        <w:left w:val="none" w:sz="0" w:space="0" w:color="auto"/>
        <w:bottom w:val="none" w:sz="0" w:space="0" w:color="auto"/>
        <w:right w:val="none" w:sz="0" w:space="0" w:color="auto"/>
      </w:divBdr>
    </w:div>
    <w:div w:id="1310134132">
      <w:bodyDiv w:val="1"/>
      <w:marLeft w:val="0"/>
      <w:marRight w:val="0"/>
      <w:marTop w:val="0"/>
      <w:marBottom w:val="0"/>
      <w:divBdr>
        <w:top w:val="none" w:sz="0" w:space="0" w:color="auto"/>
        <w:left w:val="none" w:sz="0" w:space="0" w:color="auto"/>
        <w:bottom w:val="none" w:sz="0" w:space="0" w:color="auto"/>
        <w:right w:val="none" w:sz="0" w:space="0" w:color="auto"/>
      </w:divBdr>
    </w:div>
    <w:div w:id="1318336502">
      <w:bodyDiv w:val="1"/>
      <w:marLeft w:val="0"/>
      <w:marRight w:val="0"/>
      <w:marTop w:val="0"/>
      <w:marBottom w:val="0"/>
      <w:divBdr>
        <w:top w:val="none" w:sz="0" w:space="0" w:color="auto"/>
        <w:left w:val="none" w:sz="0" w:space="0" w:color="auto"/>
        <w:bottom w:val="none" w:sz="0" w:space="0" w:color="auto"/>
        <w:right w:val="none" w:sz="0" w:space="0" w:color="auto"/>
      </w:divBdr>
    </w:div>
    <w:div w:id="1326131455">
      <w:bodyDiv w:val="1"/>
      <w:marLeft w:val="0"/>
      <w:marRight w:val="0"/>
      <w:marTop w:val="0"/>
      <w:marBottom w:val="0"/>
      <w:divBdr>
        <w:top w:val="none" w:sz="0" w:space="0" w:color="auto"/>
        <w:left w:val="none" w:sz="0" w:space="0" w:color="auto"/>
        <w:bottom w:val="none" w:sz="0" w:space="0" w:color="auto"/>
        <w:right w:val="none" w:sz="0" w:space="0" w:color="auto"/>
      </w:divBdr>
    </w:div>
    <w:div w:id="1330517822">
      <w:bodyDiv w:val="1"/>
      <w:marLeft w:val="0"/>
      <w:marRight w:val="0"/>
      <w:marTop w:val="0"/>
      <w:marBottom w:val="0"/>
      <w:divBdr>
        <w:top w:val="none" w:sz="0" w:space="0" w:color="auto"/>
        <w:left w:val="none" w:sz="0" w:space="0" w:color="auto"/>
        <w:bottom w:val="none" w:sz="0" w:space="0" w:color="auto"/>
        <w:right w:val="none" w:sz="0" w:space="0" w:color="auto"/>
      </w:divBdr>
    </w:div>
    <w:div w:id="1331057798">
      <w:bodyDiv w:val="1"/>
      <w:marLeft w:val="0"/>
      <w:marRight w:val="0"/>
      <w:marTop w:val="0"/>
      <w:marBottom w:val="0"/>
      <w:divBdr>
        <w:top w:val="none" w:sz="0" w:space="0" w:color="auto"/>
        <w:left w:val="none" w:sz="0" w:space="0" w:color="auto"/>
        <w:bottom w:val="none" w:sz="0" w:space="0" w:color="auto"/>
        <w:right w:val="none" w:sz="0" w:space="0" w:color="auto"/>
      </w:divBdr>
    </w:div>
    <w:div w:id="1332682564">
      <w:bodyDiv w:val="1"/>
      <w:marLeft w:val="0"/>
      <w:marRight w:val="0"/>
      <w:marTop w:val="0"/>
      <w:marBottom w:val="0"/>
      <w:divBdr>
        <w:top w:val="none" w:sz="0" w:space="0" w:color="auto"/>
        <w:left w:val="none" w:sz="0" w:space="0" w:color="auto"/>
        <w:bottom w:val="none" w:sz="0" w:space="0" w:color="auto"/>
        <w:right w:val="none" w:sz="0" w:space="0" w:color="auto"/>
      </w:divBdr>
    </w:div>
    <w:div w:id="1332874486">
      <w:bodyDiv w:val="1"/>
      <w:marLeft w:val="0"/>
      <w:marRight w:val="0"/>
      <w:marTop w:val="0"/>
      <w:marBottom w:val="0"/>
      <w:divBdr>
        <w:top w:val="none" w:sz="0" w:space="0" w:color="auto"/>
        <w:left w:val="none" w:sz="0" w:space="0" w:color="auto"/>
        <w:bottom w:val="none" w:sz="0" w:space="0" w:color="auto"/>
        <w:right w:val="none" w:sz="0" w:space="0" w:color="auto"/>
      </w:divBdr>
    </w:div>
    <w:div w:id="1337534715">
      <w:bodyDiv w:val="1"/>
      <w:marLeft w:val="0"/>
      <w:marRight w:val="0"/>
      <w:marTop w:val="0"/>
      <w:marBottom w:val="0"/>
      <w:divBdr>
        <w:top w:val="none" w:sz="0" w:space="0" w:color="auto"/>
        <w:left w:val="none" w:sz="0" w:space="0" w:color="auto"/>
        <w:bottom w:val="none" w:sz="0" w:space="0" w:color="auto"/>
        <w:right w:val="none" w:sz="0" w:space="0" w:color="auto"/>
      </w:divBdr>
    </w:div>
    <w:div w:id="1338119641">
      <w:bodyDiv w:val="1"/>
      <w:marLeft w:val="0"/>
      <w:marRight w:val="0"/>
      <w:marTop w:val="0"/>
      <w:marBottom w:val="0"/>
      <w:divBdr>
        <w:top w:val="none" w:sz="0" w:space="0" w:color="auto"/>
        <w:left w:val="none" w:sz="0" w:space="0" w:color="auto"/>
        <w:bottom w:val="none" w:sz="0" w:space="0" w:color="auto"/>
        <w:right w:val="none" w:sz="0" w:space="0" w:color="auto"/>
      </w:divBdr>
    </w:div>
    <w:div w:id="1351252627">
      <w:bodyDiv w:val="1"/>
      <w:marLeft w:val="0"/>
      <w:marRight w:val="0"/>
      <w:marTop w:val="0"/>
      <w:marBottom w:val="0"/>
      <w:divBdr>
        <w:top w:val="none" w:sz="0" w:space="0" w:color="auto"/>
        <w:left w:val="none" w:sz="0" w:space="0" w:color="auto"/>
        <w:bottom w:val="none" w:sz="0" w:space="0" w:color="auto"/>
        <w:right w:val="none" w:sz="0" w:space="0" w:color="auto"/>
      </w:divBdr>
    </w:div>
    <w:div w:id="1362515240">
      <w:bodyDiv w:val="1"/>
      <w:marLeft w:val="0"/>
      <w:marRight w:val="0"/>
      <w:marTop w:val="0"/>
      <w:marBottom w:val="0"/>
      <w:divBdr>
        <w:top w:val="none" w:sz="0" w:space="0" w:color="auto"/>
        <w:left w:val="none" w:sz="0" w:space="0" w:color="auto"/>
        <w:bottom w:val="none" w:sz="0" w:space="0" w:color="auto"/>
        <w:right w:val="none" w:sz="0" w:space="0" w:color="auto"/>
      </w:divBdr>
    </w:div>
    <w:div w:id="1370107881">
      <w:bodyDiv w:val="1"/>
      <w:marLeft w:val="0"/>
      <w:marRight w:val="0"/>
      <w:marTop w:val="0"/>
      <w:marBottom w:val="0"/>
      <w:divBdr>
        <w:top w:val="none" w:sz="0" w:space="0" w:color="auto"/>
        <w:left w:val="none" w:sz="0" w:space="0" w:color="auto"/>
        <w:bottom w:val="none" w:sz="0" w:space="0" w:color="auto"/>
        <w:right w:val="none" w:sz="0" w:space="0" w:color="auto"/>
      </w:divBdr>
    </w:div>
    <w:div w:id="1370498388">
      <w:bodyDiv w:val="1"/>
      <w:marLeft w:val="0"/>
      <w:marRight w:val="0"/>
      <w:marTop w:val="0"/>
      <w:marBottom w:val="0"/>
      <w:divBdr>
        <w:top w:val="none" w:sz="0" w:space="0" w:color="auto"/>
        <w:left w:val="none" w:sz="0" w:space="0" w:color="auto"/>
        <w:bottom w:val="none" w:sz="0" w:space="0" w:color="auto"/>
        <w:right w:val="none" w:sz="0" w:space="0" w:color="auto"/>
      </w:divBdr>
    </w:div>
    <w:div w:id="1371875772">
      <w:bodyDiv w:val="1"/>
      <w:marLeft w:val="0"/>
      <w:marRight w:val="0"/>
      <w:marTop w:val="0"/>
      <w:marBottom w:val="0"/>
      <w:divBdr>
        <w:top w:val="none" w:sz="0" w:space="0" w:color="auto"/>
        <w:left w:val="none" w:sz="0" w:space="0" w:color="auto"/>
        <w:bottom w:val="none" w:sz="0" w:space="0" w:color="auto"/>
        <w:right w:val="none" w:sz="0" w:space="0" w:color="auto"/>
      </w:divBdr>
    </w:div>
    <w:div w:id="1371953094">
      <w:bodyDiv w:val="1"/>
      <w:marLeft w:val="0"/>
      <w:marRight w:val="0"/>
      <w:marTop w:val="0"/>
      <w:marBottom w:val="0"/>
      <w:divBdr>
        <w:top w:val="none" w:sz="0" w:space="0" w:color="auto"/>
        <w:left w:val="none" w:sz="0" w:space="0" w:color="auto"/>
        <w:bottom w:val="none" w:sz="0" w:space="0" w:color="auto"/>
        <w:right w:val="none" w:sz="0" w:space="0" w:color="auto"/>
      </w:divBdr>
      <w:divsChild>
        <w:div w:id="2038576350">
          <w:marLeft w:val="600"/>
          <w:marRight w:val="0"/>
          <w:marTop w:val="0"/>
          <w:marBottom w:val="0"/>
          <w:divBdr>
            <w:top w:val="none" w:sz="0" w:space="0" w:color="auto"/>
            <w:left w:val="none" w:sz="0" w:space="0" w:color="auto"/>
            <w:bottom w:val="none" w:sz="0" w:space="0" w:color="auto"/>
            <w:right w:val="none" w:sz="0" w:space="0" w:color="auto"/>
          </w:divBdr>
        </w:div>
      </w:divsChild>
    </w:div>
    <w:div w:id="1374773920">
      <w:bodyDiv w:val="1"/>
      <w:marLeft w:val="0"/>
      <w:marRight w:val="0"/>
      <w:marTop w:val="0"/>
      <w:marBottom w:val="0"/>
      <w:divBdr>
        <w:top w:val="none" w:sz="0" w:space="0" w:color="auto"/>
        <w:left w:val="none" w:sz="0" w:space="0" w:color="auto"/>
        <w:bottom w:val="none" w:sz="0" w:space="0" w:color="auto"/>
        <w:right w:val="none" w:sz="0" w:space="0" w:color="auto"/>
      </w:divBdr>
    </w:div>
    <w:div w:id="1377508275">
      <w:bodyDiv w:val="1"/>
      <w:marLeft w:val="0"/>
      <w:marRight w:val="0"/>
      <w:marTop w:val="0"/>
      <w:marBottom w:val="0"/>
      <w:divBdr>
        <w:top w:val="none" w:sz="0" w:space="0" w:color="auto"/>
        <w:left w:val="none" w:sz="0" w:space="0" w:color="auto"/>
        <w:bottom w:val="none" w:sz="0" w:space="0" w:color="auto"/>
        <w:right w:val="none" w:sz="0" w:space="0" w:color="auto"/>
      </w:divBdr>
    </w:div>
    <w:div w:id="1378817209">
      <w:bodyDiv w:val="1"/>
      <w:marLeft w:val="0"/>
      <w:marRight w:val="0"/>
      <w:marTop w:val="0"/>
      <w:marBottom w:val="0"/>
      <w:divBdr>
        <w:top w:val="none" w:sz="0" w:space="0" w:color="auto"/>
        <w:left w:val="none" w:sz="0" w:space="0" w:color="auto"/>
        <w:bottom w:val="none" w:sz="0" w:space="0" w:color="auto"/>
        <w:right w:val="none" w:sz="0" w:space="0" w:color="auto"/>
      </w:divBdr>
    </w:div>
    <w:div w:id="1383941197">
      <w:bodyDiv w:val="1"/>
      <w:marLeft w:val="0"/>
      <w:marRight w:val="0"/>
      <w:marTop w:val="0"/>
      <w:marBottom w:val="0"/>
      <w:divBdr>
        <w:top w:val="none" w:sz="0" w:space="0" w:color="auto"/>
        <w:left w:val="none" w:sz="0" w:space="0" w:color="auto"/>
        <w:bottom w:val="none" w:sz="0" w:space="0" w:color="auto"/>
        <w:right w:val="none" w:sz="0" w:space="0" w:color="auto"/>
      </w:divBdr>
    </w:div>
    <w:div w:id="1388410699">
      <w:bodyDiv w:val="1"/>
      <w:marLeft w:val="0"/>
      <w:marRight w:val="0"/>
      <w:marTop w:val="0"/>
      <w:marBottom w:val="0"/>
      <w:divBdr>
        <w:top w:val="none" w:sz="0" w:space="0" w:color="auto"/>
        <w:left w:val="none" w:sz="0" w:space="0" w:color="auto"/>
        <w:bottom w:val="none" w:sz="0" w:space="0" w:color="auto"/>
        <w:right w:val="none" w:sz="0" w:space="0" w:color="auto"/>
      </w:divBdr>
    </w:div>
    <w:div w:id="1388643357">
      <w:bodyDiv w:val="1"/>
      <w:marLeft w:val="0"/>
      <w:marRight w:val="0"/>
      <w:marTop w:val="0"/>
      <w:marBottom w:val="0"/>
      <w:divBdr>
        <w:top w:val="none" w:sz="0" w:space="0" w:color="auto"/>
        <w:left w:val="none" w:sz="0" w:space="0" w:color="auto"/>
        <w:bottom w:val="none" w:sz="0" w:space="0" w:color="auto"/>
        <w:right w:val="none" w:sz="0" w:space="0" w:color="auto"/>
      </w:divBdr>
    </w:div>
    <w:div w:id="1395468126">
      <w:bodyDiv w:val="1"/>
      <w:marLeft w:val="0"/>
      <w:marRight w:val="0"/>
      <w:marTop w:val="0"/>
      <w:marBottom w:val="0"/>
      <w:divBdr>
        <w:top w:val="none" w:sz="0" w:space="0" w:color="auto"/>
        <w:left w:val="none" w:sz="0" w:space="0" w:color="auto"/>
        <w:bottom w:val="none" w:sz="0" w:space="0" w:color="auto"/>
        <w:right w:val="none" w:sz="0" w:space="0" w:color="auto"/>
      </w:divBdr>
    </w:div>
    <w:div w:id="1396661539">
      <w:bodyDiv w:val="1"/>
      <w:marLeft w:val="0"/>
      <w:marRight w:val="0"/>
      <w:marTop w:val="0"/>
      <w:marBottom w:val="0"/>
      <w:divBdr>
        <w:top w:val="none" w:sz="0" w:space="0" w:color="auto"/>
        <w:left w:val="none" w:sz="0" w:space="0" w:color="auto"/>
        <w:bottom w:val="none" w:sz="0" w:space="0" w:color="auto"/>
        <w:right w:val="none" w:sz="0" w:space="0" w:color="auto"/>
      </w:divBdr>
    </w:div>
    <w:div w:id="1402948637">
      <w:bodyDiv w:val="1"/>
      <w:marLeft w:val="0"/>
      <w:marRight w:val="0"/>
      <w:marTop w:val="0"/>
      <w:marBottom w:val="0"/>
      <w:divBdr>
        <w:top w:val="none" w:sz="0" w:space="0" w:color="auto"/>
        <w:left w:val="none" w:sz="0" w:space="0" w:color="auto"/>
        <w:bottom w:val="none" w:sz="0" w:space="0" w:color="auto"/>
        <w:right w:val="none" w:sz="0" w:space="0" w:color="auto"/>
      </w:divBdr>
    </w:div>
    <w:div w:id="1403453780">
      <w:bodyDiv w:val="1"/>
      <w:marLeft w:val="0"/>
      <w:marRight w:val="0"/>
      <w:marTop w:val="0"/>
      <w:marBottom w:val="0"/>
      <w:divBdr>
        <w:top w:val="none" w:sz="0" w:space="0" w:color="auto"/>
        <w:left w:val="none" w:sz="0" w:space="0" w:color="auto"/>
        <w:bottom w:val="none" w:sz="0" w:space="0" w:color="auto"/>
        <w:right w:val="none" w:sz="0" w:space="0" w:color="auto"/>
      </w:divBdr>
    </w:div>
    <w:div w:id="1414231777">
      <w:bodyDiv w:val="1"/>
      <w:marLeft w:val="0"/>
      <w:marRight w:val="0"/>
      <w:marTop w:val="0"/>
      <w:marBottom w:val="0"/>
      <w:divBdr>
        <w:top w:val="none" w:sz="0" w:space="0" w:color="auto"/>
        <w:left w:val="none" w:sz="0" w:space="0" w:color="auto"/>
        <w:bottom w:val="none" w:sz="0" w:space="0" w:color="auto"/>
        <w:right w:val="none" w:sz="0" w:space="0" w:color="auto"/>
      </w:divBdr>
    </w:div>
    <w:div w:id="1414281860">
      <w:bodyDiv w:val="1"/>
      <w:marLeft w:val="0"/>
      <w:marRight w:val="0"/>
      <w:marTop w:val="0"/>
      <w:marBottom w:val="0"/>
      <w:divBdr>
        <w:top w:val="none" w:sz="0" w:space="0" w:color="auto"/>
        <w:left w:val="none" w:sz="0" w:space="0" w:color="auto"/>
        <w:bottom w:val="none" w:sz="0" w:space="0" w:color="auto"/>
        <w:right w:val="none" w:sz="0" w:space="0" w:color="auto"/>
      </w:divBdr>
    </w:div>
    <w:div w:id="1422800344">
      <w:bodyDiv w:val="1"/>
      <w:marLeft w:val="0"/>
      <w:marRight w:val="0"/>
      <w:marTop w:val="0"/>
      <w:marBottom w:val="0"/>
      <w:divBdr>
        <w:top w:val="none" w:sz="0" w:space="0" w:color="auto"/>
        <w:left w:val="none" w:sz="0" w:space="0" w:color="auto"/>
        <w:bottom w:val="none" w:sz="0" w:space="0" w:color="auto"/>
        <w:right w:val="none" w:sz="0" w:space="0" w:color="auto"/>
      </w:divBdr>
    </w:div>
    <w:div w:id="1443304054">
      <w:bodyDiv w:val="1"/>
      <w:marLeft w:val="0"/>
      <w:marRight w:val="0"/>
      <w:marTop w:val="0"/>
      <w:marBottom w:val="0"/>
      <w:divBdr>
        <w:top w:val="none" w:sz="0" w:space="0" w:color="auto"/>
        <w:left w:val="none" w:sz="0" w:space="0" w:color="auto"/>
        <w:bottom w:val="none" w:sz="0" w:space="0" w:color="auto"/>
        <w:right w:val="none" w:sz="0" w:space="0" w:color="auto"/>
      </w:divBdr>
    </w:div>
    <w:div w:id="1450317961">
      <w:bodyDiv w:val="1"/>
      <w:marLeft w:val="0"/>
      <w:marRight w:val="0"/>
      <w:marTop w:val="0"/>
      <w:marBottom w:val="0"/>
      <w:divBdr>
        <w:top w:val="none" w:sz="0" w:space="0" w:color="auto"/>
        <w:left w:val="none" w:sz="0" w:space="0" w:color="auto"/>
        <w:bottom w:val="none" w:sz="0" w:space="0" w:color="auto"/>
        <w:right w:val="none" w:sz="0" w:space="0" w:color="auto"/>
      </w:divBdr>
    </w:div>
    <w:div w:id="1451360732">
      <w:bodyDiv w:val="1"/>
      <w:marLeft w:val="0"/>
      <w:marRight w:val="0"/>
      <w:marTop w:val="0"/>
      <w:marBottom w:val="0"/>
      <w:divBdr>
        <w:top w:val="none" w:sz="0" w:space="0" w:color="auto"/>
        <w:left w:val="none" w:sz="0" w:space="0" w:color="auto"/>
        <w:bottom w:val="none" w:sz="0" w:space="0" w:color="auto"/>
        <w:right w:val="none" w:sz="0" w:space="0" w:color="auto"/>
      </w:divBdr>
    </w:div>
    <w:div w:id="1453358049">
      <w:bodyDiv w:val="1"/>
      <w:marLeft w:val="0"/>
      <w:marRight w:val="0"/>
      <w:marTop w:val="0"/>
      <w:marBottom w:val="0"/>
      <w:divBdr>
        <w:top w:val="none" w:sz="0" w:space="0" w:color="auto"/>
        <w:left w:val="none" w:sz="0" w:space="0" w:color="auto"/>
        <w:bottom w:val="none" w:sz="0" w:space="0" w:color="auto"/>
        <w:right w:val="none" w:sz="0" w:space="0" w:color="auto"/>
      </w:divBdr>
    </w:div>
    <w:div w:id="1459907463">
      <w:bodyDiv w:val="1"/>
      <w:marLeft w:val="0"/>
      <w:marRight w:val="0"/>
      <w:marTop w:val="0"/>
      <w:marBottom w:val="0"/>
      <w:divBdr>
        <w:top w:val="none" w:sz="0" w:space="0" w:color="auto"/>
        <w:left w:val="none" w:sz="0" w:space="0" w:color="auto"/>
        <w:bottom w:val="none" w:sz="0" w:space="0" w:color="auto"/>
        <w:right w:val="none" w:sz="0" w:space="0" w:color="auto"/>
      </w:divBdr>
    </w:div>
    <w:div w:id="1460293817">
      <w:bodyDiv w:val="1"/>
      <w:marLeft w:val="0"/>
      <w:marRight w:val="0"/>
      <w:marTop w:val="0"/>
      <w:marBottom w:val="0"/>
      <w:divBdr>
        <w:top w:val="none" w:sz="0" w:space="0" w:color="auto"/>
        <w:left w:val="none" w:sz="0" w:space="0" w:color="auto"/>
        <w:bottom w:val="none" w:sz="0" w:space="0" w:color="auto"/>
        <w:right w:val="none" w:sz="0" w:space="0" w:color="auto"/>
      </w:divBdr>
    </w:div>
    <w:div w:id="1460538901">
      <w:bodyDiv w:val="1"/>
      <w:marLeft w:val="0"/>
      <w:marRight w:val="0"/>
      <w:marTop w:val="0"/>
      <w:marBottom w:val="0"/>
      <w:divBdr>
        <w:top w:val="none" w:sz="0" w:space="0" w:color="auto"/>
        <w:left w:val="none" w:sz="0" w:space="0" w:color="auto"/>
        <w:bottom w:val="none" w:sz="0" w:space="0" w:color="auto"/>
        <w:right w:val="none" w:sz="0" w:space="0" w:color="auto"/>
      </w:divBdr>
    </w:div>
    <w:div w:id="1463770789">
      <w:bodyDiv w:val="1"/>
      <w:marLeft w:val="0"/>
      <w:marRight w:val="0"/>
      <w:marTop w:val="0"/>
      <w:marBottom w:val="0"/>
      <w:divBdr>
        <w:top w:val="none" w:sz="0" w:space="0" w:color="auto"/>
        <w:left w:val="none" w:sz="0" w:space="0" w:color="auto"/>
        <w:bottom w:val="none" w:sz="0" w:space="0" w:color="auto"/>
        <w:right w:val="none" w:sz="0" w:space="0" w:color="auto"/>
      </w:divBdr>
    </w:div>
    <w:div w:id="1480682933">
      <w:bodyDiv w:val="1"/>
      <w:marLeft w:val="0"/>
      <w:marRight w:val="0"/>
      <w:marTop w:val="0"/>
      <w:marBottom w:val="0"/>
      <w:divBdr>
        <w:top w:val="none" w:sz="0" w:space="0" w:color="auto"/>
        <w:left w:val="none" w:sz="0" w:space="0" w:color="auto"/>
        <w:bottom w:val="none" w:sz="0" w:space="0" w:color="auto"/>
        <w:right w:val="none" w:sz="0" w:space="0" w:color="auto"/>
      </w:divBdr>
    </w:div>
    <w:div w:id="1486119476">
      <w:bodyDiv w:val="1"/>
      <w:marLeft w:val="0"/>
      <w:marRight w:val="0"/>
      <w:marTop w:val="0"/>
      <w:marBottom w:val="0"/>
      <w:divBdr>
        <w:top w:val="none" w:sz="0" w:space="0" w:color="auto"/>
        <w:left w:val="none" w:sz="0" w:space="0" w:color="auto"/>
        <w:bottom w:val="none" w:sz="0" w:space="0" w:color="auto"/>
        <w:right w:val="none" w:sz="0" w:space="0" w:color="auto"/>
      </w:divBdr>
    </w:div>
    <w:div w:id="1486818999">
      <w:bodyDiv w:val="1"/>
      <w:marLeft w:val="0"/>
      <w:marRight w:val="0"/>
      <w:marTop w:val="0"/>
      <w:marBottom w:val="0"/>
      <w:divBdr>
        <w:top w:val="none" w:sz="0" w:space="0" w:color="auto"/>
        <w:left w:val="none" w:sz="0" w:space="0" w:color="auto"/>
        <w:bottom w:val="none" w:sz="0" w:space="0" w:color="auto"/>
        <w:right w:val="none" w:sz="0" w:space="0" w:color="auto"/>
      </w:divBdr>
    </w:div>
    <w:div w:id="1487670645">
      <w:bodyDiv w:val="1"/>
      <w:marLeft w:val="0"/>
      <w:marRight w:val="0"/>
      <w:marTop w:val="0"/>
      <w:marBottom w:val="0"/>
      <w:divBdr>
        <w:top w:val="none" w:sz="0" w:space="0" w:color="auto"/>
        <w:left w:val="none" w:sz="0" w:space="0" w:color="auto"/>
        <w:bottom w:val="none" w:sz="0" w:space="0" w:color="auto"/>
        <w:right w:val="none" w:sz="0" w:space="0" w:color="auto"/>
      </w:divBdr>
    </w:div>
    <w:div w:id="1494905904">
      <w:bodyDiv w:val="1"/>
      <w:marLeft w:val="0"/>
      <w:marRight w:val="0"/>
      <w:marTop w:val="0"/>
      <w:marBottom w:val="0"/>
      <w:divBdr>
        <w:top w:val="none" w:sz="0" w:space="0" w:color="auto"/>
        <w:left w:val="none" w:sz="0" w:space="0" w:color="auto"/>
        <w:bottom w:val="none" w:sz="0" w:space="0" w:color="auto"/>
        <w:right w:val="none" w:sz="0" w:space="0" w:color="auto"/>
      </w:divBdr>
    </w:div>
    <w:div w:id="1497302429">
      <w:bodyDiv w:val="1"/>
      <w:marLeft w:val="0"/>
      <w:marRight w:val="0"/>
      <w:marTop w:val="0"/>
      <w:marBottom w:val="0"/>
      <w:divBdr>
        <w:top w:val="none" w:sz="0" w:space="0" w:color="auto"/>
        <w:left w:val="none" w:sz="0" w:space="0" w:color="auto"/>
        <w:bottom w:val="none" w:sz="0" w:space="0" w:color="auto"/>
        <w:right w:val="none" w:sz="0" w:space="0" w:color="auto"/>
      </w:divBdr>
    </w:div>
    <w:div w:id="1500383303">
      <w:bodyDiv w:val="1"/>
      <w:marLeft w:val="0"/>
      <w:marRight w:val="0"/>
      <w:marTop w:val="0"/>
      <w:marBottom w:val="0"/>
      <w:divBdr>
        <w:top w:val="none" w:sz="0" w:space="0" w:color="auto"/>
        <w:left w:val="none" w:sz="0" w:space="0" w:color="auto"/>
        <w:bottom w:val="none" w:sz="0" w:space="0" w:color="auto"/>
        <w:right w:val="none" w:sz="0" w:space="0" w:color="auto"/>
      </w:divBdr>
    </w:div>
    <w:div w:id="1501197981">
      <w:bodyDiv w:val="1"/>
      <w:marLeft w:val="0"/>
      <w:marRight w:val="0"/>
      <w:marTop w:val="0"/>
      <w:marBottom w:val="0"/>
      <w:divBdr>
        <w:top w:val="none" w:sz="0" w:space="0" w:color="auto"/>
        <w:left w:val="none" w:sz="0" w:space="0" w:color="auto"/>
        <w:bottom w:val="none" w:sz="0" w:space="0" w:color="auto"/>
        <w:right w:val="none" w:sz="0" w:space="0" w:color="auto"/>
      </w:divBdr>
    </w:div>
    <w:div w:id="1502507162">
      <w:bodyDiv w:val="1"/>
      <w:marLeft w:val="0"/>
      <w:marRight w:val="0"/>
      <w:marTop w:val="0"/>
      <w:marBottom w:val="0"/>
      <w:divBdr>
        <w:top w:val="none" w:sz="0" w:space="0" w:color="auto"/>
        <w:left w:val="none" w:sz="0" w:space="0" w:color="auto"/>
        <w:bottom w:val="none" w:sz="0" w:space="0" w:color="auto"/>
        <w:right w:val="none" w:sz="0" w:space="0" w:color="auto"/>
      </w:divBdr>
      <w:divsChild>
        <w:div w:id="168378255">
          <w:marLeft w:val="600"/>
          <w:marRight w:val="0"/>
          <w:marTop w:val="0"/>
          <w:marBottom w:val="0"/>
          <w:divBdr>
            <w:top w:val="none" w:sz="0" w:space="0" w:color="auto"/>
            <w:left w:val="none" w:sz="0" w:space="0" w:color="auto"/>
            <w:bottom w:val="none" w:sz="0" w:space="0" w:color="auto"/>
            <w:right w:val="none" w:sz="0" w:space="0" w:color="auto"/>
          </w:divBdr>
        </w:div>
      </w:divsChild>
    </w:div>
    <w:div w:id="1508788795">
      <w:bodyDiv w:val="1"/>
      <w:marLeft w:val="0"/>
      <w:marRight w:val="0"/>
      <w:marTop w:val="0"/>
      <w:marBottom w:val="0"/>
      <w:divBdr>
        <w:top w:val="none" w:sz="0" w:space="0" w:color="auto"/>
        <w:left w:val="none" w:sz="0" w:space="0" w:color="auto"/>
        <w:bottom w:val="none" w:sz="0" w:space="0" w:color="auto"/>
        <w:right w:val="none" w:sz="0" w:space="0" w:color="auto"/>
      </w:divBdr>
    </w:div>
    <w:div w:id="1510408411">
      <w:bodyDiv w:val="1"/>
      <w:marLeft w:val="0"/>
      <w:marRight w:val="0"/>
      <w:marTop w:val="0"/>
      <w:marBottom w:val="0"/>
      <w:divBdr>
        <w:top w:val="none" w:sz="0" w:space="0" w:color="auto"/>
        <w:left w:val="none" w:sz="0" w:space="0" w:color="auto"/>
        <w:bottom w:val="none" w:sz="0" w:space="0" w:color="auto"/>
        <w:right w:val="none" w:sz="0" w:space="0" w:color="auto"/>
      </w:divBdr>
    </w:div>
    <w:div w:id="1511526173">
      <w:bodyDiv w:val="1"/>
      <w:marLeft w:val="0"/>
      <w:marRight w:val="0"/>
      <w:marTop w:val="0"/>
      <w:marBottom w:val="0"/>
      <w:divBdr>
        <w:top w:val="none" w:sz="0" w:space="0" w:color="auto"/>
        <w:left w:val="none" w:sz="0" w:space="0" w:color="auto"/>
        <w:bottom w:val="none" w:sz="0" w:space="0" w:color="auto"/>
        <w:right w:val="none" w:sz="0" w:space="0" w:color="auto"/>
      </w:divBdr>
      <w:divsChild>
        <w:div w:id="1631084286">
          <w:marLeft w:val="600"/>
          <w:marRight w:val="0"/>
          <w:marTop w:val="0"/>
          <w:marBottom w:val="0"/>
          <w:divBdr>
            <w:top w:val="none" w:sz="0" w:space="0" w:color="auto"/>
            <w:left w:val="none" w:sz="0" w:space="0" w:color="auto"/>
            <w:bottom w:val="none" w:sz="0" w:space="0" w:color="auto"/>
            <w:right w:val="none" w:sz="0" w:space="0" w:color="auto"/>
          </w:divBdr>
        </w:div>
      </w:divsChild>
    </w:div>
    <w:div w:id="1512522332">
      <w:bodyDiv w:val="1"/>
      <w:marLeft w:val="0"/>
      <w:marRight w:val="0"/>
      <w:marTop w:val="0"/>
      <w:marBottom w:val="0"/>
      <w:divBdr>
        <w:top w:val="none" w:sz="0" w:space="0" w:color="auto"/>
        <w:left w:val="none" w:sz="0" w:space="0" w:color="auto"/>
        <w:bottom w:val="none" w:sz="0" w:space="0" w:color="auto"/>
        <w:right w:val="none" w:sz="0" w:space="0" w:color="auto"/>
      </w:divBdr>
    </w:div>
    <w:div w:id="1516337415">
      <w:bodyDiv w:val="1"/>
      <w:marLeft w:val="0"/>
      <w:marRight w:val="0"/>
      <w:marTop w:val="0"/>
      <w:marBottom w:val="0"/>
      <w:divBdr>
        <w:top w:val="none" w:sz="0" w:space="0" w:color="auto"/>
        <w:left w:val="none" w:sz="0" w:space="0" w:color="auto"/>
        <w:bottom w:val="none" w:sz="0" w:space="0" w:color="auto"/>
        <w:right w:val="none" w:sz="0" w:space="0" w:color="auto"/>
      </w:divBdr>
    </w:div>
    <w:div w:id="1516573980">
      <w:bodyDiv w:val="1"/>
      <w:marLeft w:val="0"/>
      <w:marRight w:val="0"/>
      <w:marTop w:val="0"/>
      <w:marBottom w:val="0"/>
      <w:divBdr>
        <w:top w:val="none" w:sz="0" w:space="0" w:color="auto"/>
        <w:left w:val="none" w:sz="0" w:space="0" w:color="auto"/>
        <w:bottom w:val="none" w:sz="0" w:space="0" w:color="auto"/>
        <w:right w:val="none" w:sz="0" w:space="0" w:color="auto"/>
      </w:divBdr>
    </w:div>
    <w:div w:id="1517840132">
      <w:bodyDiv w:val="1"/>
      <w:marLeft w:val="0"/>
      <w:marRight w:val="0"/>
      <w:marTop w:val="0"/>
      <w:marBottom w:val="0"/>
      <w:divBdr>
        <w:top w:val="none" w:sz="0" w:space="0" w:color="auto"/>
        <w:left w:val="none" w:sz="0" w:space="0" w:color="auto"/>
        <w:bottom w:val="none" w:sz="0" w:space="0" w:color="auto"/>
        <w:right w:val="none" w:sz="0" w:space="0" w:color="auto"/>
      </w:divBdr>
    </w:div>
    <w:div w:id="1523739777">
      <w:bodyDiv w:val="1"/>
      <w:marLeft w:val="0"/>
      <w:marRight w:val="0"/>
      <w:marTop w:val="0"/>
      <w:marBottom w:val="0"/>
      <w:divBdr>
        <w:top w:val="none" w:sz="0" w:space="0" w:color="auto"/>
        <w:left w:val="none" w:sz="0" w:space="0" w:color="auto"/>
        <w:bottom w:val="none" w:sz="0" w:space="0" w:color="auto"/>
        <w:right w:val="none" w:sz="0" w:space="0" w:color="auto"/>
      </w:divBdr>
    </w:div>
    <w:div w:id="1524511107">
      <w:bodyDiv w:val="1"/>
      <w:marLeft w:val="0"/>
      <w:marRight w:val="0"/>
      <w:marTop w:val="0"/>
      <w:marBottom w:val="0"/>
      <w:divBdr>
        <w:top w:val="none" w:sz="0" w:space="0" w:color="auto"/>
        <w:left w:val="none" w:sz="0" w:space="0" w:color="auto"/>
        <w:bottom w:val="none" w:sz="0" w:space="0" w:color="auto"/>
        <w:right w:val="none" w:sz="0" w:space="0" w:color="auto"/>
      </w:divBdr>
      <w:divsChild>
        <w:div w:id="131023956">
          <w:marLeft w:val="600"/>
          <w:marRight w:val="0"/>
          <w:marTop w:val="0"/>
          <w:marBottom w:val="0"/>
          <w:divBdr>
            <w:top w:val="none" w:sz="0" w:space="0" w:color="auto"/>
            <w:left w:val="none" w:sz="0" w:space="0" w:color="auto"/>
            <w:bottom w:val="none" w:sz="0" w:space="0" w:color="auto"/>
            <w:right w:val="none" w:sz="0" w:space="0" w:color="auto"/>
          </w:divBdr>
        </w:div>
      </w:divsChild>
    </w:div>
    <w:div w:id="1528375425">
      <w:bodyDiv w:val="1"/>
      <w:marLeft w:val="0"/>
      <w:marRight w:val="0"/>
      <w:marTop w:val="0"/>
      <w:marBottom w:val="0"/>
      <w:divBdr>
        <w:top w:val="none" w:sz="0" w:space="0" w:color="auto"/>
        <w:left w:val="none" w:sz="0" w:space="0" w:color="auto"/>
        <w:bottom w:val="none" w:sz="0" w:space="0" w:color="auto"/>
        <w:right w:val="none" w:sz="0" w:space="0" w:color="auto"/>
      </w:divBdr>
    </w:div>
    <w:div w:id="1532259308">
      <w:bodyDiv w:val="1"/>
      <w:marLeft w:val="0"/>
      <w:marRight w:val="0"/>
      <w:marTop w:val="0"/>
      <w:marBottom w:val="0"/>
      <w:divBdr>
        <w:top w:val="none" w:sz="0" w:space="0" w:color="auto"/>
        <w:left w:val="none" w:sz="0" w:space="0" w:color="auto"/>
        <w:bottom w:val="none" w:sz="0" w:space="0" w:color="auto"/>
        <w:right w:val="none" w:sz="0" w:space="0" w:color="auto"/>
      </w:divBdr>
    </w:div>
    <w:div w:id="1534732336">
      <w:bodyDiv w:val="1"/>
      <w:marLeft w:val="0"/>
      <w:marRight w:val="0"/>
      <w:marTop w:val="0"/>
      <w:marBottom w:val="0"/>
      <w:divBdr>
        <w:top w:val="none" w:sz="0" w:space="0" w:color="auto"/>
        <w:left w:val="none" w:sz="0" w:space="0" w:color="auto"/>
        <w:bottom w:val="none" w:sz="0" w:space="0" w:color="auto"/>
        <w:right w:val="none" w:sz="0" w:space="0" w:color="auto"/>
      </w:divBdr>
    </w:div>
    <w:div w:id="1538276224">
      <w:bodyDiv w:val="1"/>
      <w:marLeft w:val="0"/>
      <w:marRight w:val="0"/>
      <w:marTop w:val="0"/>
      <w:marBottom w:val="0"/>
      <w:divBdr>
        <w:top w:val="none" w:sz="0" w:space="0" w:color="auto"/>
        <w:left w:val="none" w:sz="0" w:space="0" w:color="auto"/>
        <w:bottom w:val="none" w:sz="0" w:space="0" w:color="auto"/>
        <w:right w:val="none" w:sz="0" w:space="0" w:color="auto"/>
      </w:divBdr>
    </w:div>
    <w:div w:id="1539968121">
      <w:bodyDiv w:val="1"/>
      <w:marLeft w:val="0"/>
      <w:marRight w:val="0"/>
      <w:marTop w:val="0"/>
      <w:marBottom w:val="0"/>
      <w:divBdr>
        <w:top w:val="none" w:sz="0" w:space="0" w:color="auto"/>
        <w:left w:val="none" w:sz="0" w:space="0" w:color="auto"/>
        <w:bottom w:val="none" w:sz="0" w:space="0" w:color="auto"/>
        <w:right w:val="none" w:sz="0" w:space="0" w:color="auto"/>
      </w:divBdr>
    </w:div>
    <w:div w:id="1540318517">
      <w:bodyDiv w:val="1"/>
      <w:marLeft w:val="0"/>
      <w:marRight w:val="0"/>
      <w:marTop w:val="0"/>
      <w:marBottom w:val="0"/>
      <w:divBdr>
        <w:top w:val="none" w:sz="0" w:space="0" w:color="auto"/>
        <w:left w:val="none" w:sz="0" w:space="0" w:color="auto"/>
        <w:bottom w:val="none" w:sz="0" w:space="0" w:color="auto"/>
        <w:right w:val="none" w:sz="0" w:space="0" w:color="auto"/>
      </w:divBdr>
    </w:div>
    <w:div w:id="1554585308">
      <w:bodyDiv w:val="1"/>
      <w:marLeft w:val="0"/>
      <w:marRight w:val="0"/>
      <w:marTop w:val="0"/>
      <w:marBottom w:val="0"/>
      <w:divBdr>
        <w:top w:val="none" w:sz="0" w:space="0" w:color="auto"/>
        <w:left w:val="none" w:sz="0" w:space="0" w:color="auto"/>
        <w:bottom w:val="none" w:sz="0" w:space="0" w:color="auto"/>
        <w:right w:val="none" w:sz="0" w:space="0" w:color="auto"/>
      </w:divBdr>
    </w:div>
    <w:div w:id="1570768474">
      <w:bodyDiv w:val="1"/>
      <w:marLeft w:val="0"/>
      <w:marRight w:val="0"/>
      <w:marTop w:val="0"/>
      <w:marBottom w:val="0"/>
      <w:divBdr>
        <w:top w:val="none" w:sz="0" w:space="0" w:color="auto"/>
        <w:left w:val="none" w:sz="0" w:space="0" w:color="auto"/>
        <w:bottom w:val="none" w:sz="0" w:space="0" w:color="auto"/>
        <w:right w:val="none" w:sz="0" w:space="0" w:color="auto"/>
      </w:divBdr>
    </w:div>
    <w:div w:id="1579753987">
      <w:bodyDiv w:val="1"/>
      <w:marLeft w:val="0"/>
      <w:marRight w:val="0"/>
      <w:marTop w:val="0"/>
      <w:marBottom w:val="0"/>
      <w:divBdr>
        <w:top w:val="none" w:sz="0" w:space="0" w:color="auto"/>
        <w:left w:val="none" w:sz="0" w:space="0" w:color="auto"/>
        <w:bottom w:val="none" w:sz="0" w:space="0" w:color="auto"/>
        <w:right w:val="none" w:sz="0" w:space="0" w:color="auto"/>
      </w:divBdr>
    </w:div>
    <w:div w:id="1581057402">
      <w:bodyDiv w:val="1"/>
      <w:marLeft w:val="0"/>
      <w:marRight w:val="0"/>
      <w:marTop w:val="0"/>
      <w:marBottom w:val="0"/>
      <w:divBdr>
        <w:top w:val="none" w:sz="0" w:space="0" w:color="auto"/>
        <w:left w:val="none" w:sz="0" w:space="0" w:color="auto"/>
        <w:bottom w:val="none" w:sz="0" w:space="0" w:color="auto"/>
        <w:right w:val="none" w:sz="0" w:space="0" w:color="auto"/>
      </w:divBdr>
    </w:div>
    <w:div w:id="1582593328">
      <w:bodyDiv w:val="1"/>
      <w:marLeft w:val="0"/>
      <w:marRight w:val="0"/>
      <w:marTop w:val="0"/>
      <w:marBottom w:val="0"/>
      <w:divBdr>
        <w:top w:val="none" w:sz="0" w:space="0" w:color="auto"/>
        <w:left w:val="none" w:sz="0" w:space="0" w:color="auto"/>
        <w:bottom w:val="none" w:sz="0" w:space="0" w:color="auto"/>
        <w:right w:val="none" w:sz="0" w:space="0" w:color="auto"/>
      </w:divBdr>
    </w:div>
    <w:div w:id="1586647141">
      <w:bodyDiv w:val="1"/>
      <w:marLeft w:val="0"/>
      <w:marRight w:val="0"/>
      <w:marTop w:val="0"/>
      <w:marBottom w:val="0"/>
      <w:divBdr>
        <w:top w:val="none" w:sz="0" w:space="0" w:color="auto"/>
        <w:left w:val="none" w:sz="0" w:space="0" w:color="auto"/>
        <w:bottom w:val="none" w:sz="0" w:space="0" w:color="auto"/>
        <w:right w:val="none" w:sz="0" w:space="0" w:color="auto"/>
      </w:divBdr>
    </w:div>
    <w:div w:id="1593926961">
      <w:bodyDiv w:val="1"/>
      <w:marLeft w:val="0"/>
      <w:marRight w:val="0"/>
      <w:marTop w:val="0"/>
      <w:marBottom w:val="0"/>
      <w:divBdr>
        <w:top w:val="none" w:sz="0" w:space="0" w:color="auto"/>
        <w:left w:val="none" w:sz="0" w:space="0" w:color="auto"/>
        <w:bottom w:val="none" w:sz="0" w:space="0" w:color="auto"/>
        <w:right w:val="none" w:sz="0" w:space="0" w:color="auto"/>
      </w:divBdr>
    </w:div>
    <w:div w:id="1594050713">
      <w:bodyDiv w:val="1"/>
      <w:marLeft w:val="0"/>
      <w:marRight w:val="0"/>
      <w:marTop w:val="0"/>
      <w:marBottom w:val="0"/>
      <w:divBdr>
        <w:top w:val="none" w:sz="0" w:space="0" w:color="auto"/>
        <w:left w:val="none" w:sz="0" w:space="0" w:color="auto"/>
        <w:bottom w:val="none" w:sz="0" w:space="0" w:color="auto"/>
        <w:right w:val="none" w:sz="0" w:space="0" w:color="auto"/>
      </w:divBdr>
    </w:div>
    <w:div w:id="1594510231">
      <w:bodyDiv w:val="1"/>
      <w:marLeft w:val="0"/>
      <w:marRight w:val="0"/>
      <w:marTop w:val="0"/>
      <w:marBottom w:val="0"/>
      <w:divBdr>
        <w:top w:val="none" w:sz="0" w:space="0" w:color="auto"/>
        <w:left w:val="none" w:sz="0" w:space="0" w:color="auto"/>
        <w:bottom w:val="none" w:sz="0" w:space="0" w:color="auto"/>
        <w:right w:val="none" w:sz="0" w:space="0" w:color="auto"/>
      </w:divBdr>
    </w:div>
    <w:div w:id="1597714610">
      <w:bodyDiv w:val="1"/>
      <w:marLeft w:val="0"/>
      <w:marRight w:val="0"/>
      <w:marTop w:val="0"/>
      <w:marBottom w:val="0"/>
      <w:divBdr>
        <w:top w:val="none" w:sz="0" w:space="0" w:color="auto"/>
        <w:left w:val="none" w:sz="0" w:space="0" w:color="auto"/>
        <w:bottom w:val="none" w:sz="0" w:space="0" w:color="auto"/>
        <w:right w:val="none" w:sz="0" w:space="0" w:color="auto"/>
      </w:divBdr>
      <w:divsChild>
        <w:div w:id="2017078097">
          <w:marLeft w:val="600"/>
          <w:marRight w:val="0"/>
          <w:marTop w:val="0"/>
          <w:marBottom w:val="0"/>
          <w:divBdr>
            <w:top w:val="none" w:sz="0" w:space="0" w:color="auto"/>
            <w:left w:val="none" w:sz="0" w:space="0" w:color="auto"/>
            <w:bottom w:val="none" w:sz="0" w:space="0" w:color="auto"/>
            <w:right w:val="none" w:sz="0" w:space="0" w:color="auto"/>
          </w:divBdr>
        </w:div>
      </w:divsChild>
    </w:div>
    <w:div w:id="1599094612">
      <w:bodyDiv w:val="1"/>
      <w:marLeft w:val="0"/>
      <w:marRight w:val="0"/>
      <w:marTop w:val="0"/>
      <w:marBottom w:val="0"/>
      <w:divBdr>
        <w:top w:val="none" w:sz="0" w:space="0" w:color="auto"/>
        <w:left w:val="none" w:sz="0" w:space="0" w:color="auto"/>
        <w:bottom w:val="none" w:sz="0" w:space="0" w:color="auto"/>
        <w:right w:val="none" w:sz="0" w:space="0" w:color="auto"/>
      </w:divBdr>
    </w:div>
    <w:div w:id="1600528828">
      <w:bodyDiv w:val="1"/>
      <w:marLeft w:val="0"/>
      <w:marRight w:val="0"/>
      <w:marTop w:val="0"/>
      <w:marBottom w:val="0"/>
      <w:divBdr>
        <w:top w:val="none" w:sz="0" w:space="0" w:color="auto"/>
        <w:left w:val="none" w:sz="0" w:space="0" w:color="auto"/>
        <w:bottom w:val="none" w:sz="0" w:space="0" w:color="auto"/>
        <w:right w:val="none" w:sz="0" w:space="0" w:color="auto"/>
      </w:divBdr>
    </w:div>
    <w:div w:id="1601569181">
      <w:bodyDiv w:val="1"/>
      <w:marLeft w:val="0"/>
      <w:marRight w:val="0"/>
      <w:marTop w:val="0"/>
      <w:marBottom w:val="0"/>
      <w:divBdr>
        <w:top w:val="none" w:sz="0" w:space="0" w:color="auto"/>
        <w:left w:val="none" w:sz="0" w:space="0" w:color="auto"/>
        <w:bottom w:val="none" w:sz="0" w:space="0" w:color="auto"/>
        <w:right w:val="none" w:sz="0" w:space="0" w:color="auto"/>
      </w:divBdr>
    </w:div>
    <w:div w:id="1604537860">
      <w:bodyDiv w:val="1"/>
      <w:marLeft w:val="0"/>
      <w:marRight w:val="0"/>
      <w:marTop w:val="0"/>
      <w:marBottom w:val="0"/>
      <w:divBdr>
        <w:top w:val="none" w:sz="0" w:space="0" w:color="auto"/>
        <w:left w:val="none" w:sz="0" w:space="0" w:color="auto"/>
        <w:bottom w:val="none" w:sz="0" w:space="0" w:color="auto"/>
        <w:right w:val="none" w:sz="0" w:space="0" w:color="auto"/>
      </w:divBdr>
    </w:div>
    <w:div w:id="1605844070">
      <w:bodyDiv w:val="1"/>
      <w:marLeft w:val="0"/>
      <w:marRight w:val="0"/>
      <w:marTop w:val="0"/>
      <w:marBottom w:val="0"/>
      <w:divBdr>
        <w:top w:val="none" w:sz="0" w:space="0" w:color="auto"/>
        <w:left w:val="none" w:sz="0" w:space="0" w:color="auto"/>
        <w:bottom w:val="none" w:sz="0" w:space="0" w:color="auto"/>
        <w:right w:val="none" w:sz="0" w:space="0" w:color="auto"/>
      </w:divBdr>
      <w:divsChild>
        <w:div w:id="297610446">
          <w:marLeft w:val="600"/>
          <w:marRight w:val="0"/>
          <w:marTop w:val="0"/>
          <w:marBottom w:val="0"/>
          <w:divBdr>
            <w:top w:val="none" w:sz="0" w:space="0" w:color="auto"/>
            <w:left w:val="none" w:sz="0" w:space="0" w:color="auto"/>
            <w:bottom w:val="none" w:sz="0" w:space="0" w:color="auto"/>
            <w:right w:val="none" w:sz="0" w:space="0" w:color="auto"/>
          </w:divBdr>
        </w:div>
      </w:divsChild>
    </w:div>
    <w:div w:id="1611859841">
      <w:bodyDiv w:val="1"/>
      <w:marLeft w:val="0"/>
      <w:marRight w:val="0"/>
      <w:marTop w:val="0"/>
      <w:marBottom w:val="0"/>
      <w:divBdr>
        <w:top w:val="none" w:sz="0" w:space="0" w:color="auto"/>
        <w:left w:val="none" w:sz="0" w:space="0" w:color="auto"/>
        <w:bottom w:val="none" w:sz="0" w:space="0" w:color="auto"/>
        <w:right w:val="none" w:sz="0" w:space="0" w:color="auto"/>
      </w:divBdr>
    </w:div>
    <w:div w:id="1614365664">
      <w:bodyDiv w:val="1"/>
      <w:marLeft w:val="0"/>
      <w:marRight w:val="0"/>
      <w:marTop w:val="0"/>
      <w:marBottom w:val="0"/>
      <w:divBdr>
        <w:top w:val="none" w:sz="0" w:space="0" w:color="auto"/>
        <w:left w:val="none" w:sz="0" w:space="0" w:color="auto"/>
        <w:bottom w:val="none" w:sz="0" w:space="0" w:color="auto"/>
        <w:right w:val="none" w:sz="0" w:space="0" w:color="auto"/>
      </w:divBdr>
    </w:div>
    <w:div w:id="1618099947">
      <w:bodyDiv w:val="1"/>
      <w:marLeft w:val="0"/>
      <w:marRight w:val="0"/>
      <w:marTop w:val="0"/>
      <w:marBottom w:val="0"/>
      <w:divBdr>
        <w:top w:val="none" w:sz="0" w:space="0" w:color="auto"/>
        <w:left w:val="none" w:sz="0" w:space="0" w:color="auto"/>
        <w:bottom w:val="none" w:sz="0" w:space="0" w:color="auto"/>
        <w:right w:val="none" w:sz="0" w:space="0" w:color="auto"/>
      </w:divBdr>
    </w:div>
    <w:div w:id="1620531267">
      <w:bodyDiv w:val="1"/>
      <w:marLeft w:val="0"/>
      <w:marRight w:val="0"/>
      <w:marTop w:val="0"/>
      <w:marBottom w:val="0"/>
      <w:divBdr>
        <w:top w:val="none" w:sz="0" w:space="0" w:color="auto"/>
        <w:left w:val="none" w:sz="0" w:space="0" w:color="auto"/>
        <w:bottom w:val="none" w:sz="0" w:space="0" w:color="auto"/>
        <w:right w:val="none" w:sz="0" w:space="0" w:color="auto"/>
      </w:divBdr>
    </w:div>
    <w:div w:id="1624581286">
      <w:bodyDiv w:val="1"/>
      <w:marLeft w:val="0"/>
      <w:marRight w:val="0"/>
      <w:marTop w:val="0"/>
      <w:marBottom w:val="0"/>
      <w:divBdr>
        <w:top w:val="none" w:sz="0" w:space="0" w:color="auto"/>
        <w:left w:val="none" w:sz="0" w:space="0" w:color="auto"/>
        <w:bottom w:val="none" w:sz="0" w:space="0" w:color="auto"/>
        <w:right w:val="none" w:sz="0" w:space="0" w:color="auto"/>
      </w:divBdr>
    </w:div>
    <w:div w:id="1626885366">
      <w:bodyDiv w:val="1"/>
      <w:marLeft w:val="0"/>
      <w:marRight w:val="0"/>
      <w:marTop w:val="0"/>
      <w:marBottom w:val="0"/>
      <w:divBdr>
        <w:top w:val="none" w:sz="0" w:space="0" w:color="auto"/>
        <w:left w:val="none" w:sz="0" w:space="0" w:color="auto"/>
        <w:bottom w:val="none" w:sz="0" w:space="0" w:color="auto"/>
        <w:right w:val="none" w:sz="0" w:space="0" w:color="auto"/>
      </w:divBdr>
    </w:div>
    <w:div w:id="1632520943">
      <w:bodyDiv w:val="1"/>
      <w:marLeft w:val="0"/>
      <w:marRight w:val="0"/>
      <w:marTop w:val="0"/>
      <w:marBottom w:val="0"/>
      <w:divBdr>
        <w:top w:val="none" w:sz="0" w:space="0" w:color="auto"/>
        <w:left w:val="none" w:sz="0" w:space="0" w:color="auto"/>
        <w:bottom w:val="none" w:sz="0" w:space="0" w:color="auto"/>
        <w:right w:val="none" w:sz="0" w:space="0" w:color="auto"/>
      </w:divBdr>
    </w:div>
    <w:div w:id="1636984061">
      <w:bodyDiv w:val="1"/>
      <w:marLeft w:val="0"/>
      <w:marRight w:val="0"/>
      <w:marTop w:val="0"/>
      <w:marBottom w:val="0"/>
      <w:divBdr>
        <w:top w:val="none" w:sz="0" w:space="0" w:color="auto"/>
        <w:left w:val="none" w:sz="0" w:space="0" w:color="auto"/>
        <w:bottom w:val="none" w:sz="0" w:space="0" w:color="auto"/>
        <w:right w:val="none" w:sz="0" w:space="0" w:color="auto"/>
      </w:divBdr>
    </w:div>
    <w:div w:id="1637753634">
      <w:bodyDiv w:val="1"/>
      <w:marLeft w:val="0"/>
      <w:marRight w:val="0"/>
      <w:marTop w:val="0"/>
      <w:marBottom w:val="0"/>
      <w:divBdr>
        <w:top w:val="none" w:sz="0" w:space="0" w:color="auto"/>
        <w:left w:val="none" w:sz="0" w:space="0" w:color="auto"/>
        <w:bottom w:val="none" w:sz="0" w:space="0" w:color="auto"/>
        <w:right w:val="none" w:sz="0" w:space="0" w:color="auto"/>
      </w:divBdr>
    </w:div>
    <w:div w:id="1638682134">
      <w:bodyDiv w:val="1"/>
      <w:marLeft w:val="0"/>
      <w:marRight w:val="0"/>
      <w:marTop w:val="0"/>
      <w:marBottom w:val="0"/>
      <w:divBdr>
        <w:top w:val="none" w:sz="0" w:space="0" w:color="auto"/>
        <w:left w:val="none" w:sz="0" w:space="0" w:color="auto"/>
        <w:bottom w:val="none" w:sz="0" w:space="0" w:color="auto"/>
        <w:right w:val="none" w:sz="0" w:space="0" w:color="auto"/>
      </w:divBdr>
    </w:div>
    <w:div w:id="1638873262">
      <w:bodyDiv w:val="1"/>
      <w:marLeft w:val="0"/>
      <w:marRight w:val="0"/>
      <w:marTop w:val="0"/>
      <w:marBottom w:val="0"/>
      <w:divBdr>
        <w:top w:val="none" w:sz="0" w:space="0" w:color="auto"/>
        <w:left w:val="none" w:sz="0" w:space="0" w:color="auto"/>
        <w:bottom w:val="none" w:sz="0" w:space="0" w:color="auto"/>
        <w:right w:val="none" w:sz="0" w:space="0" w:color="auto"/>
      </w:divBdr>
      <w:divsChild>
        <w:div w:id="924341123">
          <w:marLeft w:val="240"/>
          <w:marRight w:val="0"/>
          <w:marTop w:val="0"/>
          <w:marBottom w:val="0"/>
          <w:divBdr>
            <w:top w:val="none" w:sz="0" w:space="0" w:color="auto"/>
            <w:left w:val="none" w:sz="0" w:space="0" w:color="auto"/>
            <w:bottom w:val="none" w:sz="0" w:space="0" w:color="auto"/>
            <w:right w:val="none" w:sz="0" w:space="0" w:color="auto"/>
          </w:divBdr>
        </w:div>
        <w:div w:id="1525050537">
          <w:marLeft w:val="240"/>
          <w:marRight w:val="0"/>
          <w:marTop w:val="0"/>
          <w:marBottom w:val="0"/>
          <w:divBdr>
            <w:top w:val="none" w:sz="0" w:space="0" w:color="auto"/>
            <w:left w:val="none" w:sz="0" w:space="0" w:color="auto"/>
            <w:bottom w:val="none" w:sz="0" w:space="0" w:color="auto"/>
            <w:right w:val="none" w:sz="0" w:space="0" w:color="auto"/>
          </w:divBdr>
        </w:div>
        <w:div w:id="688486601">
          <w:marLeft w:val="240"/>
          <w:marRight w:val="0"/>
          <w:marTop w:val="0"/>
          <w:marBottom w:val="0"/>
          <w:divBdr>
            <w:top w:val="none" w:sz="0" w:space="0" w:color="auto"/>
            <w:left w:val="none" w:sz="0" w:space="0" w:color="auto"/>
            <w:bottom w:val="none" w:sz="0" w:space="0" w:color="auto"/>
            <w:right w:val="none" w:sz="0" w:space="0" w:color="auto"/>
          </w:divBdr>
        </w:div>
      </w:divsChild>
    </w:div>
    <w:div w:id="1639845301">
      <w:bodyDiv w:val="1"/>
      <w:marLeft w:val="0"/>
      <w:marRight w:val="0"/>
      <w:marTop w:val="0"/>
      <w:marBottom w:val="0"/>
      <w:divBdr>
        <w:top w:val="none" w:sz="0" w:space="0" w:color="auto"/>
        <w:left w:val="none" w:sz="0" w:space="0" w:color="auto"/>
        <w:bottom w:val="none" w:sz="0" w:space="0" w:color="auto"/>
        <w:right w:val="none" w:sz="0" w:space="0" w:color="auto"/>
      </w:divBdr>
    </w:div>
    <w:div w:id="1653673982">
      <w:bodyDiv w:val="1"/>
      <w:marLeft w:val="0"/>
      <w:marRight w:val="0"/>
      <w:marTop w:val="0"/>
      <w:marBottom w:val="0"/>
      <w:divBdr>
        <w:top w:val="none" w:sz="0" w:space="0" w:color="auto"/>
        <w:left w:val="none" w:sz="0" w:space="0" w:color="auto"/>
        <w:bottom w:val="none" w:sz="0" w:space="0" w:color="auto"/>
        <w:right w:val="none" w:sz="0" w:space="0" w:color="auto"/>
      </w:divBdr>
    </w:div>
    <w:div w:id="1668484520">
      <w:bodyDiv w:val="1"/>
      <w:marLeft w:val="0"/>
      <w:marRight w:val="0"/>
      <w:marTop w:val="0"/>
      <w:marBottom w:val="0"/>
      <w:divBdr>
        <w:top w:val="none" w:sz="0" w:space="0" w:color="auto"/>
        <w:left w:val="none" w:sz="0" w:space="0" w:color="auto"/>
        <w:bottom w:val="none" w:sz="0" w:space="0" w:color="auto"/>
        <w:right w:val="none" w:sz="0" w:space="0" w:color="auto"/>
      </w:divBdr>
    </w:div>
    <w:div w:id="1674528961">
      <w:bodyDiv w:val="1"/>
      <w:marLeft w:val="0"/>
      <w:marRight w:val="0"/>
      <w:marTop w:val="0"/>
      <w:marBottom w:val="0"/>
      <w:divBdr>
        <w:top w:val="none" w:sz="0" w:space="0" w:color="auto"/>
        <w:left w:val="none" w:sz="0" w:space="0" w:color="auto"/>
        <w:bottom w:val="none" w:sz="0" w:space="0" w:color="auto"/>
        <w:right w:val="none" w:sz="0" w:space="0" w:color="auto"/>
      </w:divBdr>
    </w:div>
    <w:div w:id="1682659527">
      <w:bodyDiv w:val="1"/>
      <w:marLeft w:val="0"/>
      <w:marRight w:val="0"/>
      <w:marTop w:val="0"/>
      <w:marBottom w:val="0"/>
      <w:divBdr>
        <w:top w:val="none" w:sz="0" w:space="0" w:color="auto"/>
        <w:left w:val="none" w:sz="0" w:space="0" w:color="auto"/>
        <w:bottom w:val="none" w:sz="0" w:space="0" w:color="auto"/>
        <w:right w:val="none" w:sz="0" w:space="0" w:color="auto"/>
      </w:divBdr>
      <w:divsChild>
        <w:div w:id="1318529797">
          <w:marLeft w:val="600"/>
          <w:marRight w:val="0"/>
          <w:marTop w:val="0"/>
          <w:marBottom w:val="0"/>
          <w:divBdr>
            <w:top w:val="none" w:sz="0" w:space="0" w:color="auto"/>
            <w:left w:val="none" w:sz="0" w:space="0" w:color="auto"/>
            <w:bottom w:val="none" w:sz="0" w:space="0" w:color="auto"/>
            <w:right w:val="none" w:sz="0" w:space="0" w:color="auto"/>
          </w:divBdr>
        </w:div>
      </w:divsChild>
    </w:div>
    <w:div w:id="1682969732">
      <w:bodyDiv w:val="1"/>
      <w:marLeft w:val="0"/>
      <w:marRight w:val="0"/>
      <w:marTop w:val="0"/>
      <w:marBottom w:val="0"/>
      <w:divBdr>
        <w:top w:val="none" w:sz="0" w:space="0" w:color="auto"/>
        <w:left w:val="none" w:sz="0" w:space="0" w:color="auto"/>
        <w:bottom w:val="none" w:sz="0" w:space="0" w:color="auto"/>
        <w:right w:val="none" w:sz="0" w:space="0" w:color="auto"/>
      </w:divBdr>
    </w:div>
    <w:div w:id="1693414683">
      <w:bodyDiv w:val="1"/>
      <w:marLeft w:val="0"/>
      <w:marRight w:val="0"/>
      <w:marTop w:val="0"/>
      <w:marBottom w:val="0"/>
      <w:divBdr>
        <w:top w:val="none" w:sz="0" w:space="0" w:color="auto"/>
        <w:left w:val="none" w:sz="0" w:space="0" w:color="auto"/>
        <w:bottom w:val="none" w:sz="0" w:space="0" w:color="auto"/>
        <w:right w:val="none" w:sz="0" w:space="0" w:color="auto"/>
      </w:divBdr>
    </w:div>
    <w:div w:id="1701202635">
      <w:bodyDiv w:val="1"/>
      <w:marLeft w:val="0"/>
      <w:marRight w:val="0"/>
      <w:marTop w:val="0"/>
      <w:marBottom w:val="0"/>
      <w:divBdr>
        <w:top w:val="none" w:sz="0" w:space="0" w:color="auto"/>
        <w:left w:val="none" w:sz="0" w:space="0" w:color="auto"/>
        <w:bottom w:val="none" w:sz="0" w:space="0" w:color="auto"/>
        <w:right w:val="none" w:sz="0" w:space="0" w:color="auto"/>
      </w:divBdr>
    </w:div>
    <w:div w:id="1702591882">
      <w:bodyDiv w:val="1"/>
      <w:marLeft w:val="0"/>
      <w:marRight w:val="0"/>
      <w:marTop w:val="0"/>
      <w:marBottom w:val="0"/>
      <w:divBdr>
        <w:top w:val="none" w:sz="0" w:space="0" w:color="auto"/>
        <w:left w:val="none" w:sz="0" w:space="0" w:color="auto"/>
        <w:bottom w:val="none" w:sz="0" w:space="0" w:color="auto"/>
        <w:right w:val="none" w:sz="0" w:space="0" w:color="auto"/>
      </w:divBdr>
      <w:divsChild>
        <w:div w:id="29695955">
          <w:marLeft w:val="600"/>
          <w:marRight w:val="0"/>
          <w:marTop w:val="0"/>
          <w:marBottom w:val="0"/>
          <w:divBdr>
            <w:top w:val="none" w:sz="0" w:space="0" w:color="auto"/>
            <w:left w:val="none" w:sz="0" w:space="0" w:color="auto"/>
            <w:bottom w:val="none" w:sz="0" w:space="0" w:color="auto"/>
            <w:right w:val="none" w:sz="0" w:space="0" w:color="auto"/>
          </w:divBdr>
        </w:div>
      </w:divsChild>
    </w:div>
    <w:div w:id="1715617175">
      <w:bodyDiv w:val="1"/>
      <w:marLeft w:val="0"/>
      <w:marRight w:val="0"/>
      <w:marTop w:val="0"/>
      <w:marBottom w:val="0"/>
      <w:divBdr>
        <w:top w:val="none" w:sz="0" w:space="0" w:color="auto"/>
        <w:left w:val="none" w:sz="0" w:space="0" w:color="auto"/>
        <w:bottom w:val="none" w:sz="0" w:space="0" w:color="auto"/>
        <w:right w:val="none" w:sz="0" w:space="0" w:color="auto"/>
      </w:divBdr>
    </w:div>
    <w:div w:id="1716269562">
      <w:bodyDiv w:val="1"/>
      <w:marLeft w:val="0"/>
      <w:marRight w:val="0"/>
      <w:marTop w:val="0"/>
      <w:marBottom w:val="0"/>
      <w:divBdr>
        <w:top w:val="none" w:sz="0" w:space="0" w:color="auto"/>
        <w:left w:val="none" w:sz="0" w:space="0" w:color="auto"/>
        <w:bottom w:val="none" w:sz="0" w:space="0" w:color="auto"/>
        <w:right w:val="none" w:sz="0" w:space="0" w:color="auto"/>
      </w:divBdr>
    </w:div>
    <w:div w:id="1720739631">
      <w:bodyDiv w:val="1"/>
      <w:marLeft w:val="0"/>
      <w:marRight w:val="0"/>
      <w:marTop w:val="0"/>
      <w:marBottom w:val="0"/>
      <w:divBdr>
        <w:top w:val="none" w:sz="0" w:space="0" w:color="auto"/>
        <w:left w:val="none" w:sz="0" w:space="0" w:color="auto"/>
        <w:bottom w:val="none" w:sz="0" w:space="0" w:color="auto"/>
        <w:right w:val="none" w:sz="0" w:space="0" w:color="auto"/>
      </w:divBdr>
    </w:div>
    <w:div w:id="1727144240">
      <w:bodyDiv w:val="1"/>
      <w:marLeft w:val="0"/>
      <w:marRight w:val="0"/>
      <w:marTop w:val="0"/>
      <w:marBottom w:val="0"/>
      <w:divBdr>
        <w:top w:val="none" w:sz="0" w:space="0" w:color="auto"/>
        <w:left w:val="none" w:sz="0" w:space="0" w:color="auto"/>
        <w:bottom w:val="none" w:sz="0" w:space="0" w:color="auto"/>
        <w:right w:val="none" w:sz="0" w:space="0" w:color="auto"/>
      </w:divBdr>
    </w:div>
    <w:div w:id="1727296803">
      <w:bodyDiv w:val="1"/>
      <w:marLeft w:val="0"/>
      <w:marRight w:val="0"/>
      <w:marTop w:val="0"/>
      <w:marBottom w:val="0"/>
      <w:divBdr>
        <w:top w:val="none" w:sz="0" w:space="0" w:color="auto"/>
        <w:left w:val="none" w:sz="0" w:space="0" w:color="auto"/>
        <w:bottom w:val="none" w:sz="0" w:space="0" w:color="auto"/>
        <w:right w:val="none" w:sz="0" w:space="0" w:color="auto"/>
      </w:divBdr>
    </w:div>
    <w:div w:id="1732194156">
      <w:bodyDiv w:val="1"/>
      <w:marLeft w:val="0"/>
      <w:marRight w:val="0"/>
      <w:marTop w:val="0"/>
      <w:marBottom w:val="0"/>
      <w:divBdr>
        <w:top w:val="none" w:sz="0" w:space="0" w:color="auto"/>
        <w:left w:val="none" w:sz="0" w:space="0" w:color="auto"/>
        <w:bottom w:val="none" w:sz="0" w:space="0" w:color="auto"/>
        <w:right w:val="none" w:sz="0" w:space="0" w:color="auto"/>
      </w:divBdr>
    </w:div>
    <w:div w:id="1736127247">
      <w:bodyDiv w:val="1"/>
      <w:marLeft w:val="0"/>
      <w:marRight w:val="0"/>
      <w:marTop w:val="0"/>
      <w:marBottom w:val="0"/>
      <w:divBdr>
        <w:top w:val="none" w:sz="0" w:space="0" w:color="auto"/>
        <w:left w:val="none" w:sz="0" w:space="0" w:color="auto"/>
        <w:bottom w:val="none" w:sz="0" w:space="0" w:color="auto"/>
        <w:right w:val="none" w:sz="0" w:space="0" w:color="auto"/>
      </w:divBdr>
      <w:divsChild>
        <w:div w:id="452023962">
          <w:marLeft w:val="600"/>
          <w:marRight w:val="0"/>
          <w:marTop w:val="0"/>
          <w:marBottom w:val="0"/>
          <w:divBdr>
            <w:top w:val="none" w:sz="0" w:space="0" w:color="auto"/>
            <w:left w:val="none" w:sz="0" w:space="0" w:color="auto"/>
            <w:bottom w:val="none" w:sz="0" w:space="0" w:color="auto"/>
            <w:right w:val="none" w:sz="0" w:space="0" w:color="auto"/>
          </w:divBdr>
        </w:div>
      </w:divsChild>
    </w:div>
    <w:div w:id="1744839893">
      <w:bodyDiv w:val="1"/>
      <w:marLeft w:val="0"/>
      <w:marRight w:val="0"/>
      <w:marTop w:val="0"/>
      <w:marBottom w:val="0"/>
      <w:divBdr>
        <w:top w:val="none" w:sz="0" w:space="0" w:color="auto"/>
        <w:left w:val="none" w:sz="0" w:space="0" w:color="auto"/>
        <w:bottom w:val="none" w:sz="0" w:space="0" w:color="auto"/>
        <w:right w:val="none" w:sz="0" w:space="0" w:color="auto"/>
      </w:divBdr>
    </w:div>
    <w:div w:id="1749157583">
      <w:bodyDiv w:val="1"/>
      <w:marLeft w:val="0"/>
      <w:marRight w:val="0"/>
      <w:marTop w:val="0"/>
      <w:marBottom w:val="0"/>
      <w:divBdr>
        <w:top w:val="none" w:sz="0" w:space="0" w:color="auto"/>
        <w:left w:val="none" w:sz="0" w:space="0" w:color="auto"/>
        <w:bottom w:val="none" w:sz="0" w:space="0" w:color="auto"/>
        <w:right w:val="none" w:sz="0" w:space="0" w:color="auto"/>
      </w:divBdr>
    </w:div>
    <w:div w:id="1754545031">
      <w:bodyDiv w:val="1"/>
      <w:marLeft w:val="0"/>
      <w:marRight w:val="0"/>
      <w:marTop w:val="0"/>
      <w:marBottom w:val="0"/>
      <w:divBdr>
        <w:top w:val="none" w:sz="0" w:space="0" w:color="auto"/>
        <w:left w:val="none" w:sz="0" w:space="0" w:color="auto"/>
        <w:bottom w:val="none" w:sz="0" w:space="0" w:color="auto"/>
        <w:right w:val="none" w:sz="0" w:space="0" w:color="auto"/>
      </w:divBdr>
      <w:divsChild>
        <w:div w:id="422335667">
          <w:marLeft w:val="600"/>
          <w:marRight w:val="0"/>
          <w:marTop w:val="0"/>
          <w:marBottom w:val="0"/>
          <w:divBdr>
            <w:top w:val="none" w:sz="0" w:space="0" w:color="auto"/>
            <w:left w:val="none" w:sz="0" w:space="0" w:color="auto"/>
            <w:bottom w:val="none" w:sz="0" w:space="0" w:color="auto"/>
            <w:right w:val="none" w:sz="0" w:space="0" w:color="auto"/>
          </w:divBdr>
        </w:div>
      </w:divsChild>
    </w:div>
    <w:div w:id="1756895067">
      <w:bodyDiv w:val="1"/>
      <w:marLeft w:val="0"/>
      <w:marRight w:val="0"/>
      <w:marTop w:val="0"/>
      <w:marBottom w:val="0"/>
      <w:divBdr>
        <w:top w:val="none" w:sz="0" w:space="0" w:color="auto"/>
        <w:left w:val="none" w:sz="0" w:space="0" w:color="auto"/>
        <w:bottom w:val="none" w:sz="0" w:space="0" w:color="auto"/>
        <w:right w:val="none" w:sz="0" w:space="0" w:color="auto"/>
      </w:divBdr>
    </w:div>
    <w:div w:id="1763068374">
      <w:bodyDiv w:val="1"/>
      <w:marLeft w:val="0"/>
      <w:marRight w:val="0"/>
      <w:marTop w:val="0"/>
      <w:marBottom w:val="0"/>
      <w:divBdr>
        <w:top w:val="none" w:sz="0" w:space="0" w:color="auto"/>
        <w:left w:val="none" w:sz="0" w:space="0" w:color="auto"/>
        <w:bottom w:val="none" w:sz="0" w:space="0" w:color="auto"/>
        <w:right w:val="none" w:sz="0" w:space="0" w:color="auto"/>
      </w:divBdr>
    </w:div>
    <w:div w:id="1765297121">
      <w:bodyDiv w:val="1"/>
      <w:marLeft w:val="0"/>
      <w:marRight w:val="0"/>
      <w:marTop w:val="0"/>
      <w:marBottom w:val="0"/>
      <w:divBdr>
        <w:top w:val="none" w:sz="0" w:space="0" w:color="auto"/>
        <w:left w:val="none" w:sz="0" w:space="0" w:color="auto"/>
        <w:bottom w:val="none" w:sz="0" w:space="0" w:color="auto"/>
        <w:right w:val="none" w:sz="0" w:space="0" w:color="auto"/>
      </w:divBdr>
    </w:div>
    <w:div w:id="1768769727">
      <w:bodyDiv w:val="1"/>
      <w:marLeft w:val="0"/>
      <w:marRight w:val="0"/>
      <w:marTop w:val="0"/>
      <w:marBottom w:val="0"/>
      <w:divBdr>
        <w:top w:val="none" w:sz="0" w:space="0" w:color="auto"/>
        <w:left w:val="none" w:sz="0" w:space="0" w:color="auto"/>
        <w:bottom w:val="none" w:sz="0" w:space="0" w:color="auto"/>
        <w:right w:val="none" w:sz="0" w:space="0" w:color="auto"/>
      </w:divBdr>
    </w:div>
    <w:div w:id="1769303087">
      <w:bodyDiv w:val="1"/>
      <w:marLeft w:val="0"/>
      <w:marRight w:val="0"/>
      <w:marTop w:val="0"/>
      <w:marBottom w:val="0"/>
      <w:divBdr>
        <w:top w:val="none" w:sz="0" w:space="0" w:color="auto"/>
        <w:left w:val="none" w:sz="0" w:space="0" w:color="auto"/>
        <w:bottom w:val="none" w:sz="0" w:space="0" w:color="auto"/>
        <w:right w:val="none" w:sz="0" w:space="0" w:color="auto"/>
      </w:divBdr>
      <w:divsChild>
        <w:div w:id="802239147">
          <w:marLeft w:val="600"/>
          <w:marRight w:val="0"/>
          <w:marTop w:val="0"/>
          <w:marBottom w:val="0"/>
          <w:divBdr>
            <w:top w:val="none" w:sz="0" w:space="0" w:color="auto"/>
            <w:left w:val="none" w:sz="0" w:space="0" w:color="auto"/>
            <w:bottom w:val="none" w:sz="0" w:space="0" w:color="auto"/>
            <w:right w:val="none" w:sz="0" w:space="0" w:color="auto"/>
          </w:divBdr>
        </w:div>
      </w:divsChild>
    </w:div>
    <w:div w:id="1770734826">
      <w:bodyDiv w:val="1"/>
      <w:marLeft w:val="0"/>
      <w:marRight w:val="0"/>
      <w:marTop w:val="0"/>
      <w:marBottom w:val="0"/>
      <w:divBdr>
        <w:top w:val="none" w:sz="0" w:space="0" w:color="auto"/>
        <w:left w:val="none" w:sz="0" w:space="0" w:color="auto"/>
        <w:bottom w:val="none" w:sz="0" w:space="0" w:color="auto"/>
        <w:right w:val="none" w:sz="0" w:space="0" w:color="auto"/>
      </w:divBdr>
    </w:div>
    <w:div w:id="1777402755">
      <w:bodyDiv w:val="1"/>
      <w:marLeft w:val="0"/>
      <w:marRight w:val="0"/>
      <w:marTop w:val="0"/>
      <w:marBottom w:val="0"/>
      <w:divBdr>
        <w:top w:val="none" w:sz="0" w:space="0" w:color="auto"/>
        <w:left w:val="none" w:sz="0" w:space="0" w:color="auto"/>
        <w:bottom w:val="none" w:sz="0" w:space="0" w:color="auto"/>
        <w:right w:val="none" w:sz="0" w:space="0" w:color="auto"/>
      </w:divBdr>
    </w:div>
    <w:div w:id="1778796302">
      <w:bodyDiv w:val="1"/>
      <w:marLeft w:val="0"/>
      <w:marRight w:val="0"/>
      <w:marTop w:val="0"/>
      <w:marBottom w:val="0"/>
      <w:divBdr>
        <w:top w:val="none" w:sz="0" w:space="0" w:color="auto"/>
        <w:left w:val="none" w:sz="0" w:space="0" w:color="auto"/>
        <w:bottom w:val="none" w:sz="0" w:space="0" w:color="auto"/>
        <w:right w:val="none" w:sz="0" w:space="0" w:color="auto"/>
      </w:divBdr>
    </w:div>
    <w:div w:id="1785344794">
      <w:bodyDiv w:val="1"/>
      <w:marLeft w:val="0"/>
      <w:marRight w:val="0"/>
      <w:marTop w:val="0"/>
      <w:marBottom w:val="0"/>
      <w:divBdr>
        <w:top w:val="none" w:sz="0" w:space="0" w:color="auto"/>
        <w:left w:val="none" w:sz="0" w:space="0" w:color="auto"/>
        <w:bottom w:val="none" w:sz="0" w:space="0" w:color="auto"/>
        <w:right w:val="none" w:sz="0" w:space="0" w:color="auto"/>
      </w:divBdr>
      <w:divsChild>
        <w:div w:id="1377198156">
          <w:marLeft w:val="600"/>
          <w:marRight w:val="0"/>
          <w:marTop w:val="0"/>
          <w:marBottom w:val="0"/>
          <w:divBdr>
            <w:top w:val="none" w:sz="0" w:space="0" w:color="auto"/>
            <w:left w:val="none" w:sz="0" w:space="0" w:color="auto"/>
            <w:bottom w:val="none" w:sz="0" w:space="0" w:color="auto"/>
            <w:right w:val="none" w:sz="0" w:space="0" w:color="auto"/>
          </w:divBdr>
        </w:div>
      </w:divsChild>
    </w:div>
    <w:div w:id="1791434668">
      <w:bodyDiv w:val="1"/>
      <w:marLeft w:val="0"/>
      <w:marRight w:val="0"/>
      <w:marTop w:val="0"/>
      <w:marBottom w:val="0"/>
      <w:divBdr>
        <w:top w:val="none" w:sz="0" w:space="0" w:color="auto"/>
        <w:left w:val="none" w:sz="0" w:space="0" w:color="auto"/>
        <w:bottom w:val="none" w:sz="0" w:space="0" w:color="auto"/>
        <w:right w:val="none" w:sz="0" w:space="0" w:color="auto"/>
      </w:divBdr>
    </w:div>
    <w:div w:id="1796555664">
      <w:bodyDiv w:val="1"/>
      <w:marLeft w:val="0"/>
      <w:marRight w:val="0"/>
      <w:marTop w:val="0"/>
      <w:marBottom w:val="0"/>
      <w:divBdr>
        <w:top w:val="none" w:sz="0" w:space="0" w:color="auto"/>
        <w:left w:val="none" w:sz="0" w:space="0" w:color="auto"/>
        <w:bottom w:val="none" w:sz="0" w:space="0" w:color="auto"/>
        <w:right w:val="none" w:sz="0" w:space="0" w:color="auto"/>
      </w:divBdr>
    </w:div>
    <w:div w:id="1803620513">
      <w:bodyDiv w:val="1"/>
      <w:marLeft w:val="0"/>
      <w:marRight w:val="0"/>
      <w:marTop w:val="0"/>
      <w:marBottom w:val="0"/>
      <w:divBdr>
        <w:top w:val="none" w:sz="0" w:space="0" w:color="auto"/>
        <w:left w:val="none" w:sz="0" w:space="0" w:color="auto"/>
        <w:bottom w:val="none" w:sz="0" w:space="0" w:color="auto"/>
        <w:right w:val="none" w:sz="0" w:space="0" w:color="auto"/>
      </w:divBdr>
    </w:div>
    <w:div w:id="1803647722">
      <w:bodyDiv w:val="1"/>
      <w:marLeft w:val="0"/>
      <w:marRight w:val="0"/>
      <w:marTop w:val="0"/>
      <w:marBottom w:val="0"/>
      <w:divBdr>
        <w:top w:val="none" w:sz="0" w:space="0" w:color="auto"/>
        <w:left w:val="none" w:sz="0" w:space="0" w:color="auto"/>
        <w:bottom w:val="none" w:sz="0" w:space="0" w:color="auto"/>
        <w:right w:val="none" w:sz="0" w:space="0" w:color="auto"/>
      </w:divBdr>
    </w:div>
    <w:div w:id="1815178509">
      <w:bodyDiv w:val="1"/>
      <w:marLeft w:val="0"/>
      <w:marRight w:val="0"/>
      <w:marTop w:val="0"/>
      <w:marBottom w:val="0"/>
      <w:divBdr>
        <w:top w:val="none" w:sz="0" w:space="0" w:color="auto"/>
        <w:left w:val="none" w:sz="0" w:space="0" w:color="auto"/>
        <w:bottom w:val="none" w:sz="0" w:space="0" w:color="auto"/>
        <w:right w:val="none" w:sz="0" w:space="0" w:color="auto"/>
      </w:divBdr>
    </w:div>
    <w:div w:id="1819616191">
      <w:bodyDiv w:val="1"/>
      <w:marLeft w:val="0"/>
      <w:marRight w:val="0"/>
      <w:marTop w:val="0"/>
      <w:marBottom w:val="0"/>
      <w:divBdr>
        <w:top w:val="none" w:sz="0" w:space="0" w:color="auto"/>
        <w:left w:val="none" w:sz="0" w:space="0" w:color="auto"/>
        <w:bottom w:val="none" w:sz="0" w:space="0" w:color="auto"/>
        <w:right w:val="none" w:sz="0" w:space="0" w:color="auto"/>
      </w:divBdr>
    </w:div>
    <w:div w:id="1819957031">
      <w:bodyDiv w:val="1"/>
      <w:marLeft w:val="0"/>
      <w:marRight w:val="0"/>
      <w:marTop w:val="0"/>
      <w:marBottom w:val="0"/>
      <w:divBdr>
        <w:top w:val="none" w:sz="0" w:space="0" w:color="auto"/>
        <w:left w:val="none" w:sz="0" w:space="0" w:color="auto"/>
        <w:bottom w:val="none" w:sz="0" w:space="0" w:color="auto"/>
        <w:right w:val="none" w:sz="0" w:space="0" w:color="auto"/>
      </w:divBdr>
    </w:div>
    <w:div w:id="1819959898">
      <w:bodyDiv w:val="1"/>
      <w:marLeft w:val="0"/>
      <w:marRight w:val="0"/>
      <w:marTop w:val="0"/>
      <w:marBottom w:val="0"/>
      <w:divBdr>
        <w:top w:val="none" w:sz="0" w:space="0" w:color="auto"/>
        <w:left w:val="none" w:sz="0" w:space="0" w:color="auto"/>
        <w:bottom w:val="none" w:sz="0" w:space="0" w:color="auto"/>
        <w:right w:val="none" w:sz="0" w:space="0" w:color="auto"/>
      </w:divBdr>
    </w:div>
    <w:div w:id="1823081127">
      <w:bodyDiv w:val="1"/>
      <w:marLeft w:val="0"/>
      <w:marRight w:val="0"/>
      <w:marTop w:val="0"/>
      <w:marBottom w:val="0"/>
      <w:divBdr>
        <w:top w:val="none" w:sz="0" w:space="0" w:color="auto"/>
        <w:left w:val="none" w:sz="0" w:space="0" w:color="auto"/>
        <w:bottom w:val="none" w:sz="0" w:space="0" w:color="auto"/>
        <w:right w:val="none" w:sz="0" w:space="0" w:color="auto"/>
      </w:divBdr>
      <w:divsChild>
        <w:div w:id="1393701437">
          <w:marLeft w:val="600"/>
          <w:marRight w:val="0"/>
          <w:marTop w:val="0"/>
          <w:marBottom w:val="0"/>
          <w:divBdr>
            <w:top w:val="none" w:sz="0" w:space="0" w:color="auto"/>
            <w:left w:val="none" w:sz="0" w:space="0" w:color="auto"/>
            <w:bottom w:val="none" w:sz="0" w:space="0" w:color="auto"/>
            <w:right w:val="none" w:sz="0" w:space="0" w:color="auto"/>
          </w:divBdr>
        </w:div>
      </w:divsChild>
    </w:div>
    <w:div w:id="1823421163">
      <w:bodyDiv w:val="1"/>
      <w:marLeft w:val="0"/>
      <w:marRight w:val="0"/>
      <w:marTop w:val="0"/>
      <w:marBottom w:val="0"/>
      <w:divBdr>
        <w:top w:val="none" w:sz="0" w:space="0" w:color="auto"/>
        <w:left w:val="none" w:sz="0" w:space="0" w:color="auto"/>
        <w:bottom w:val="none" w:sz="0" w:space="0" w:color="auto"/>
        <w:right w:val="none" w:sz="0" w:space="0" w:color="auto"/>
      </w:divBdr>
    </w:div>
    <w:div w:id="1823884399">
      <w:bodyDiv w:val="1"/>
      <w:marLeft w:val="0"/>
      <w:marRight w:val="0"/>
      <w:marTop w:val="0"/>
      <w:marBottom w:val="0"/>
      <w:divBdr>
        <w:top w:val="none" w:sz="0" w:space="0" w:color="auto"/>
        <w:left w:val="none" w:sz="0" w:space="0" w:color="auto"/>
        <w:bottom w:val="none" w:sz="0" w:space="0" w:color="auto"/>
        <w:right w:val="none" w:sz="0" w:space="0" w:color="auto"/>
      </w:divBdr>
    </w:div>
    <w:div w:id="1826050099">
      <w:bodyDiv w:val="1"/>
      <w:marLeft w:val="0"/>
      <w:marRight w:val="0"/>
      <w:marTop w:val="0"/>
      <w:marBottom w:val="0"/>
      <w:divBdr>
        <w:top w:val="none" w:sz="0" w:space="0" w:color="auto"/>
        <w:left w:val="none" w:sz="0" w:space="0" w:color="auto"/>
        <w:bottom w:val="none" w:sz="0" w:space="0" w:color="auto"/>
        <w:right w:val="none" w:sz="0" w:space="0" w:color="auto"/>
      </w:divBdr>
    </w:div>
    <w:div w:id="1826050467">
      <w:bodyDiv w:val="1"/>
      <w:marLeft w:val="0"/>
      <w:marRight w:val="0"/>
      <w:marTop w:val="0"/>
      <w:marBottom w:val="0"/>
      <w:divBdr>
        <w:top w:val="none" w:sz="0" w:space="0" w:color="auto"/>
        <w:left w:val="none" w:sz="0" w:space="0" w:color="auto"/>
        <w:bottom w:val="none" w:sz="0" w:space="0" w:color="auto"/>
        <w:right w:val="none" w:sz="0" w:space="0" w:color="auto"/>
      </w:divBdr>
    </w:div>
    <w:div w:id="1833176102">
      <w:bodyDiv w:val="1"/>
      <w:marLeft w:val="0"/>
      <w:marRight w:val="0"/>
      <w:marTop w:val="0"/>
      <w:marBottom w:val="0"/>
      <w:divBdr>
        <w:top w:val="none" w:sz="0" w:space="0" w:color="auto"/>
        <w:left w:val="none" w:sz="0" w:space="0" w:color="auto"/>
        <w:bottom w:val="none" w:sz="0" w:space="0" w:color="auto"/>
        <w:right w:val="none" w:sz="0" w:space="0" w:color="auto"/>
      </w:divBdr>
    </w:div>
    <w:div w:id="1833256921">
      <w:bodyDiv w:val="1"/>
      <w:marLeft w:val="0"/>
      <w:marRight w:val="0"/>
      <w:marTop w:val="0"/>
      <w:marBottom w:val="0"/>
      <w:divBdr>
        <w:top w:val="none" w:sz="0" w:space="0" w:color="auto"/>
        <w:left w:val="none" w:sz="0" w:space="0" w:color="auto"/>
        <w:bottom w:val="none" w:sz="0" w:space="0" w:color="auto"/>
        <w:right w:val="none" w:sz="0" w:space="0" w:color="auto"/>
      </w:divBdr>
    </w:div>
    <w:div w:id="1834098475">
      <w:bodyDiv w:val="1"/>
      <w:marLeft w:val="0"/>
      <w:marRight w:val="0"/>
      <w:marTop w:val="0"/>
      <w:marBottom w:val="0"/>
      <w:divBdr>
        <w:top w:val="none" w:sz="0" w:space="0" w:color="auto"/>
        <w:left w:val="none" w:sz="0" w:space="0" w:color="auto"/>
        <w:bottom w:val="none" w:sz="0" w:space="0" w:color="auto"/>
        <w:right w:val="none" w:sz="0" w:space="0" w:color="auto"/>
      </w:divBdr>
    </w:div>
    <w:div w:id="1838300436">
      <w:bodyDiv w:val="1"/>
      <w:marLeft w:val="0"/>
      <w:marRight w:val="0"/>
      <w:marTop w:val="0"/>
      <w:marBottom w:val="0"/>
      <w:divBdr>
        <w:top w:val="none" w:sz="0" w:space="0" w:color="auto"/>
        <w:left w:val="none" w:sz="0" w:space="0" w:color="auto"/>
        <w:bottom w:val="none" w:sz="0" w:space="0" w:color="auto"/>
        <w:right w:val="none" w:sz="0" w:space="0" w:color="auto"/>
      </w:divBdr>
    </w:div>
    <w:div w:id="1839535049">
      <w:bodyDiv w:val="1"/>
      <w:marLeft w:val="0"/>
      <w:marRight w:val="0"/>
      <w:marTop w:val="0"/>
      <w:marBottom w:val="0"/>
      <w:divBdr>
        <w:top w:val="none" w:sz="0" w:space="0" w:color="auto"/>
        <w:left w:val="none" w:sz="0" w:space="0" w:color="auto"/>
        <w:bottom w:val="none" w:sz="0" w:space="0" w:color="auto"/>
        <w:right w:val="none" w:sz="0" w:space="0" w:color="auto"/>
      </w:divBdr>
    </w:div>
    <w:div w:id="1841964377">
      <w:bodyDiv w:val="1"/>
      <w:marLeft w:val="0"/>
      <w:marRight w:val="0"/>
      <w:marTop w:val="0"/>
      <w:marBottom w:val="0"/>
      <w:divBdr>
        <w:top w:val="none" w:sz="0" w:space="0" w:color="auto"/>
        <w:left w:val="none" w:sz="0" w:space="0" w:color="auto"/>
        <w:bottom w:val="none" w:sz="0" w:space="0" w:color="auto"/>
        <w:right w:val="none" w:sz="0" w:space="0" w:color="auto"/>
      </w:divBdr>
    </w:div>
    <w:div w:id="1847862234">
      <w:bodyDiv w:val="1"/>
      <w:marLeft w:val="0"/>
      <w:marRight w:val="0"/>
      <w:marTop w:val="0"/>
      <w:marBottom w:val="0"/>
      <w:divBdr>
        <w:top w:val="none" w:sz="0" w:space="0" w:color="auto"/>
        <w:left w:val="none" w:sz="0" w:space="0" w:color="auto"/>
        <w:bottom w:val="none" w:sz="0" w:space="0" w:color="auto"/>
        <w:right w:val="none" w:sz="0" w:space="0" w:color="auto"/>
      </w:divBdr>
    </w:div>
    <w:div w:id="1853642358">
      <w:bodyDiv w:val="1"/>
      <w:marLeft w:val="0"/>
      <w:marRight w:val="0"/>
      <w:marTop w:val="0"/>
      <w:marBottom w:val="0"/>
      <w:divBdr>
        <w:top w:val="none" w:sz="0" w:space="0" w:color="auto"/>
        <w:left w:val="none" w:sz="0" w:space="0" w:color="auto"/>
        <w:bottom w:val="none" w:sz="0" w:space="0" w:color="auto"/>
        <w:right w:val="none" w:sz="0" w:space="0" w:color="auto"/>
      </w:divBdr>
    </w:div>
    <w:div w:id="1854411758">
      <w:bodyDiv w:val="1"/>
      <w:marLeft w:val="0"/>
      <w:marRight w:val="0"/>
      <w:marTop w:val="0"/>
      <w:marBottom w:val="0"/>
      <w:divBdr>
        <w:top w:val="none" w:sz="0" w:space="0" w:color="auto"/>
        <w:left w:val="none" w:sz="0" w:space="0" w:color="auto"/>
        <w:bottom w:val="none" w:sz="0" w:space="0" w:color="auto"/>
        <w:right w:val="none" w:sz="0" w:space="0" w:color="auto"/>
      </w:divBdr>
    </w:div>
    <w:div w:id="1855076231">
      <w:bodyDiv w:val="1"/>
      <w:marLeft w:val="0"/>
      <w:marRight w:val="0"/>
      <w:marTop w:val="0"/>
      <w:marBottom w:val="0"/>
      <w:divBdr>
        <w:top w:val="none" w:sz="0" w:space="0" w:color="auto"/>
        <w:left w:val="none" w:sz="0" w:space="0" w:color="auto"/>
        <w:bottom w:val="none" w:sz="0" w:space="0" w:color="auto"/>
        <w:right w:val="none" w:sz="0" w:space="0" w:color="auto"/>
      </w:divBdr>
    </w:div>
    <w:div w:id="1863012442">
      <w:bodyDiv w:val="1"/>
      <w:marLeft w:val="0"/>
      <w:marRight w:val="0"/>
      <w:marTop w:val="0"/>
      <w:marBottom w:val="0"/>
      <w:divBdr>
        <w:top w:val="none" w:sz="0" w:space="0" w:color="auto"/>
        <w:left w:val="none" w:sz="0" w:space="0" w:color="auto"/>
        <w:bottom w:val="none" w:sz="0" w:space="0" w:color="auto"/>
        <w:right w:val="none" w:sz="0" w:space="0" w:color="auto"/>
      </w:divBdr>
    </w:div>
    <w:div w:id="1864050784">
      <w:bodyDiv w:val="1"/>
      <w:marLeft w:val="0"/>
      <w:marRight w:val="0"/>
      <w:marTop w:val="0"/>
      <w:marBottom w:val="0"/>
      <w:divBdr>
        <w:top w:val="none" w:sz="0" w:space="0" w:color="auto"/>
        <w:left w:val="none" w:sz="0" w:space="0" w:color="auto"/>
        <w:bottom w:val="none" w:sz="0" w:space="0" w:color="auto"/>
        <w:right w:val="none" w:sz="0" w:space="0" w:color="auto"/>
      </w:divBdr>
    </w:div>
    <w:div w:id="1878085676">
      <w:bodyDiv w:val="1"/>
      <w:marLeft w:val="0"/>
      <w:marRight w:val="0"/>
      <w:marTop w:val="0"/>
      <w:marBottom w:val="0"/>
      <w:divBdr>
        <w:top w:val="none" w:sz="0" w:space="0" w:color="auto"/>
        <w:left w:val="none" w:sz="0" w:space="0" w:color="auto"/>
        <w:bottom w:val="none" w:sz="0" w:space="0" w:color="auto"/>
        <w:right w:val="none" w:sz="0" w:space="0" w:color="auto"/>
      </w:divBdr>
    </w:div>
    <w:div w:id="1882133475">
      <w:bodyDiv w:val="1"/>
      <w:marLeft w:val="0"/>
      <w:marRight w:val="0"/>
      <w:marTop w:val="0"/>
      <w:marBottom w:val="0"/>
      <w:divBdr>
        <w:top w:val="none" w:sz="0" w:space="0" w:color="auto"/>
        <w:left w:val="none" w:sz="0" w:space="0" w:color="auto"/>
        <w:bottom w:val="none" w:sz="0" w:space="0" w:color="auto"/>
        <w:right w:val="none" w:sz="0" w:space="0" w:color="auto"/>
      </w:divBdr>
    </w:div>
    <w:div w:id="1887713545">
      <w:bodyDiv w:val="1"/>
      <w:marLeft w:val="0"/>
      <w:marRight w:val="0"/>
      <w:marTop w:val="0"/>
      <w:marBottom w:val="0"/>
      <w:divBdr>
        <w:top w:val="none" w:sz="0" w:space="0" w:color="auto"/>
        <w:left w:val="none" w:sz="0" w:space="0" w:color="auto"/>
        <w:bottom w:val="none" w:sz="0" w:space="0" w:color="auto"/>
        <w:right w:val="none" w:sz="0" w:space="0" w:color="auto"/>
      </w:divBdr>
    </w:div>
    <w:div w:id="1892501733">
      <w:bodyDiv w:val="1"/>
      <w:marLeft w:val="0"/>
      <w:marRight w:val="0"/>
      <w:marTop w:val="0"/>
      <w:marBottom w:val="0"/>
      <w:divBdr>
        <w:top w:val="none" w:sz="0" w:space="0" w:color="auto"/>
        <w:left w:val="none" w:sz="0" w:space="0" w:color="auto"/>
        <w:bottom w:val="none" w:sz="0" w:space="0" w:color="auto"/>
        <w:right w:val="none" w:sz="0" w:space="0" w:color="auto"/>
      </w:divBdr>
    </w:div>
    <w:div w:id="1902981501">
      <w:bodyDiv w:val="1"/>
      <w:marLeft w:val="0"/>
      <w:marRight w:val="0"/>
      <w:marTop w:val="0"/>
      <w:marBottom w:val="0"/>
      <w:divBdr>
        <w:top w:val="none" w:sz="0" w:space="0" w:color="auto"/>
        <w:left w:val="none" w:sz="0" w:space="0" w:color="auto"/>
        <w:bottom w:val="none" w:sz="0" w:space="0" w:color="auto"/>
        <w:right w:val="none" w:sz="0" w:space="0" w:color="auto"/>
      </w:divBdr>
    </w:div>
    <w:div w:id="1903102606">
      <w:bodyDiv w:val="1"/>
      <w:marLeft w:val="0"/>
      <w:marRight w:val="0"/>
      <w:marTop w:val="0"/>
      <w:marBottom w:val="0"/>
      <w:divBdr>
        <w:top w:val="none" w:sz="0" w:space="0" w:color="auto"/>
        <w:left w:val="none" w:sz="0" w:space="0" w:color="auto"/>
        <w:bottom w:val="none" w:sz="0" w:space="0" w:color="auto"/>
        <w:right w:val="none" w:sz="0" w:space="0" w:color="auto"/>
      </w:divBdr>
      <w:divsChild>
        <w:div w:id="424885972">
          <w:marLeft w:val="600"/>
          <w:marRight w:val="0"/>
          <w:marTop w:val="0"/>
          <w:marBottom w:val="0"/>
          <w:divBdr>
            <w:top w:val="none" w:sz="0" w:space="0" w:color="auto"/>
            <w:left w:val="none" w:sz="0" w:space="0" w:color="auto"/>
            <w:bottom w:val="none" w:sz="0" w:space="0" w:color="auto"/>
            <w:right w:val="none" w:sz="0" w:space="0" w:color="auto"/>
          </w:divBdr>
        </w:div>
      </w:divsChild>
    </w:div>
    <w:div w:id="1912615025">
      <w:bodyDiv w:val="1"/>
      <w:marLeft w:val="0"/>
      <w:marRight w:val="0"/>
      <w:marTop w:val="0"/>
      <w:marBottom w:val="0"/>
      <w:divBdr>
        <w:top w:val="none" w:sz="0" w:space="0" w:color="auto"/>
        <w:left w:val="none" w:sz="0" w:space="0" w:color="auto"/>
        <w:bottom w:val="none" w:sz="0" w:space="0" w:color="auto"/>
        <w:right w:val="none" w:sz="0" w:space="0" w:color="auto"/>
      </w:divBdr>
    </w:div>
    <w:div w:id="1920826495">
      <w:bodyDiv w:val="1"/>
      <w:marLeft w:val="0"/>
      <w:marRight w:val="0"/>
      <w:marTop w:val="0"/>
      <w:marBottom w:val="0"/>
      <w:divBdr>
        <w:top w:val="none" w:sz="0" w:space="0" w:color="auto"/>
        <w:left w:val="none" w:sz="0" w:space="0" w:color="auto"/>
        <w:bottom w:val="none" w:sz="0" w:space="0" w:color="auto"/>
        <w:right w:val="none" w:sz="0" w:space="0" w:color="auto"/>
      </w:divBdr>
    </w:div>
    <w:div w:id="1933781546">
      <w:bodyDiv w:val="1"/>
      <w:marLeft w:val="0"/>
      <w:marRight w:val="0"/>
      <w:marTop w:val="0"/>
      <w:marBottom w:val="0"/>
      <w:divBdr>
        <w:top w:val="none" w:sz="0" w:space="0" w:color="auto"/>
        <w:left w:val="none" w:sz="0" w:space="0" w:color="auto"/>
        <w:bottom w:val="none" w:sz="0" w:space="0" w:color="auto"/>
        <w:right w:val="none" w:sz="0" w:space="0" w:color="auto"/>
      </w:divBdr>
    </w:div>
    <w:div w:id="1944024569">
      <w:bodyDiv w:val="1"/>
      <w:marLeft w:val="0"/>
      <w:marRight w:val="0"/>
      <w:marTop w:val="0"/>
      <w:marBottom w:val="0"/>
      <w:divBdr>
        <w:top w:val="none" w:sz="0" w:space="0" w:color="auto"/>
        <w:left w:val="none" w:sz="0" w:space="0" w:color="auto"/>
        <w:bottom w:val="none" w:sz="0" w:space="0" w:color="auto"/>
        <w:right w:val="none" w:sz="0" w:space="0" w:color="auto"/>
      </w:divBdr>
    </w:div>
    <w:div w:id="1949702558">
      <w:bodyDiv w:val="1"/>
      <w:marLeft w:val="0"/>
      <w:marRight w:val="0"/>
      <w:marTop w:val="0"/>
      <w:marBottom w:val="0"/>
      <w:divBdr>
        <w:top w:val="none" w:sz="0" w:space="0" w:color="auto"/>
        <w:left w:val="none" w:sz="0" w:space="0" w:color="auto"/>
        <w:bottom w:val="none" w:sz="0" w:space="0" w:color="auto"/>
        <w:right w:val="none" w:sz="0" w:space="0" w:color="auto"/>
      </w:divBdr>
    </w:div>
    <w:div w:id="1951158703">
      <w:bodyDiv w:val="1"/>
      <w:marLeft w:val="0"/>
      <w:marRight w:val="0"/>
      <w:marTop w:val="0"/>
      <w:marBottom w:val="0"/>
      <w:divBdr>
        <w:top w:val="none" w:sz="0" w:space="0" w:color="auto"/>
        <w:left w:val="none" w:sz="0" w:space="0" w:color="auto"/>
        <w:bottom w:val="none" w:sz="0" w:space="0" w:color="auto"/>
        <w:right w:val="none" w:sz="0" w:space="0" w:color="auto"/>
      </w:divBdr>
    </w:div>
    <w:div w:id="1956786621">
      <w:bodyDiv w:val="1"/>
      <w:marLeft w:val="0"/>
      <w:marRight w:val="0"/>
      <w:marTop w:val="0"/>
      <w:marBottom w:val="0"/>
      <w:divBdr>
        <w:top w:val="none" w:sz="0" w:space="0" w:color="auto"/>
        <w:left w:val="none" w:sz="0" w:space="0" w:color="auto"/>
        <w:bottom w:val="none" w:sz="0" w:space="0" w:color="auto"/>
        <w:right w:val="none" w:sz="0" w:space="0" w:color="auto"/>
      </w:divBdr>
    </w:div>
    <w:div w:id="1956859921">
      <w:bodyDiv w:val="1"/>
      <w:marLeft w:val="0"/>
      <w:marRight w:val="0"/>
      <w:marTop w:val="0"/>
      <w:marBottom w:val="0"/>
      <w:divBdr>
        <w:top w:val="none" w:sz="0" w:space="0" w:color="auto"/>
        <w:left w:val="none" w:sz="0" w:space="0" w:color="auto"/>
        <w:bottom w:val="none" w:sz="0" w:space="0" w:color="auto"/>
        <w:right w:val="none" w:sz="0" w:space="0" w:color="auto"/>
      </w:divBdr>
    </w:div>
    <w:div w:id="1962878298">
      <w:bodyDiv w:val="1"/>
      <w:marLeft w:val="0"/>
      <w:marRight w:val="0"/>
      <w:marTop w:val="0"/>
      <w:marBottom w:val="0"/>
      <w:divBdr>
        <w:top w:val="none" w:sz="0" w:space="0" w:color="auto"/>
        <w:left w:val="none" w:sz="0" w:space="0" w:color="auto"/>
        <w:bottom w:val="none" w:sz="0" w:space="0" w:color="auto"/>
        <w:right w:val="none" w:sz="0" w:space="0" w:color="auto"/>
      </w:divBdr>
    </w:div>
    <w:div w:id="1965498161">
      <w:bodyDiv w:val="1"/>
      <w:marLeft w:val="0"/>
      <w:marRight w:val="0"/>
      <w:marTop w:val="0"/>
      <w:marBottom w:val="0"/>
      <w:divBdr>
        <w:top w:val="none" w:sz="0" w:space="0" w:color="auto"/>
        <w:left w:val="none" w:sz="0" w:space="0" w:color="auto"/>
        <w:bottom w:val="none" w:sz="0" w:space="0" w:color="auto"/>
        <w:right w:val="none" w:sz="0" w:space="0" w:color="auto"/>
      </w:divBdr>
    </w:div>
    <w:div w:id="1972324473">
      <w:bodyDiv w:val="1"/>
      <w:marLeft w:val="0"/>
      <w:marRight w:val="0"/>
      <w:marTop w:val="0"/>
      <w:marBottom w:val="0"/>
      <w:divBdr>
        <w:top w:val="none" w:sz="0" w:space="0" w:color="auto"/>
        <w:left w:val="none" w:sz="0" w:space="0" w:color="auto"/>
        <w:bottom w:val="none" w:sz="0" w:space="0" w:color="auto"/>
        <w:right w:val="none" w:sz="0" w:space="0" w:color="auto"/>
      </w:divBdr>
    </w:div>
    <w:div w:id="1972589657">
      <w:bodyDiv w:val="1"/>
      <w:marLeft w:val="0"/>
      <w:marRight w:val="0"/>
      <w:marTop w:val="0"/>
      <w:marBottom w:val="0"/>
      <w:divBdr>
        <w:top w:val="none" w:sz="0" w:space="0" w:color="auto"/>
        <w:left w:val="none" w:sz="0" w:space="0" w:color="auto"/>
        <w:bottom w:val="none" w:sz="0" w:space="0" w:color="auto"/>
        <w:right w:val="none" w:sz="0" w:space="0" w:color="auto"/>
      </w:divBdr>
    </w:div>
    <w:div w:id="1974287278">
      <w:bodyDiv w:val="1"/>
      <w:marLeft w:val="0"/>
      <w:marRight w:val="0"/>
      <w:marTop w:val="0"/>
      <w:marBottom w:val="0"/>
      <w:divBdr>
        <w:top w:val="none" w:sz="0" w:space="0" w:color="auto"/>
        <w:left w:val="none" w:sz="0" w:space="0" w:color="auto"/>
        <w:bottom w:val="none" w:sz="0" w:space="0" w:color="auto"/>
        <w:right w:val="none" w:sz="0" w:space="0" w:color="auto"/>
      </w:divBdr>
    </w:div>
    <w:div w:id="1975215266">
      <w:bodyDiv w:val="1"/>
      <w:marLeft w:val="0"/>
      <w:marRight w:val="0"/>
      <w:marTop w:val="0"/>
      <w:marBottom w:val="0"/>
      <w:divBdr>
        <w:top w:val="none" w:sz="0" w:space="0" w:color="auto"/>
        <w:left w:val="none" w:sz="0" w:space="0" w:color="auto"/>
        <w:bottom w:val="none" w:sz="0" w:space="0" w:color="auto"/>
        <w:right w:val="none" w:sz="0" w:space="0" w:color="auto"/>
      </w:divBdr>
    </w:div>
    <w:div w:id="1978104764">
      <w:bodyDiv w:val="1"/>
      <w:marLeft w:val="0"/>
      <w:marRight w:val="0"/>
      <w:marTop w:val="0"/>
      <w:marBottom w:val="0"/>
      <w:divBdr>
        <w:top w:val="none" w:sz="0" w:space="0" w:color="auto"/>
        <w:left w:val="none" w:sz="0" w:space="0" w:color="auto"/>
        <w:bottom w:val="none" w:sz="0" w:space="0" w:color="auto"/>
        <w:right w:val="none" w:sz="0" w:space="0" w:color="auto"/>
      </w:divBdr>
    </w:div>
    <w:div w:id="1981878203">
      <w:bodyDiv w:val="1"/>
      <w:marLeft w:val="0"/>
      <w:marRight w:val="0"/>
      <w:marTop w:val="0"/>
      <w:marBottom w:val="0"/>
      <w:divBdr>
        <w:top w:val="none" w:sz="0" w:space="0" w:color="auto"/>
        <w:left w:val="none" w:sz="0" w:space="0" w:color="auto"/>
        <w:bottom w:val="none" w:sz="0" w:space="0" w:color="auto"/>
        <w:right w:val="none" w:sz="0" w:space="0" w:color="auto"/>
      </w:divBdr>
    </w:div>
    <w:div w:id="1983268188">
      <w:bodyDiv w:val="1"/>
      <w:marLeft w:val="0"/>
      <w:marRight w:val="0"/>
      <w:marTop w:val="0"/>
      <w:marBottom w:val="0"/>
      <w:divBdr>
        <w:top w:val="none" w:sz="0" w:space="0" w:color="auto"/>
        <w:left w:val="none" w:sz="0" w:space="0" w:color="auto"/>
        <w:bottom w:val="none" w:sz="0" w:space="0" w:color="auto"/>
        <w:right w:val="none" w:sz="0" w:space="0" w:color="auto"/>
      </w:divBdr>
    </w:div>
    <w:div w:id="1984196273">
      <w:bodyDiv w:val="1"/>
      <w:marLeft w:val="0"/>
      <w:marRight w:val="0"/>
      <w:marTop w:val="0"/>
      <w:marBottom w:val="0"/>
      <w:divBdr>
        <w:top w:val="none" w:sz="0" w:space="0" w:color="auto"/>
        <w:left w:val="none" w:sz="0" w:space="0" w:color="auto"/>
        <w:bottom w:val="none" w:sz="0" w:space="0" w:color="auto"/>
        <w:right w:val="none" w:sz="0" w:space="0" w:color="auto"/>
      </w:divBdr>
    </w:div>
    <w:div w:id="1984961147">
      <w:bodyDiv w:val="1"/>
      <w:marLeft w:val="0"/>
      <w:marRight w:val="0"/>
      <w:marTop w:val="0"/>
      <w:marBottom w:val="0"/>
      <w:divBdr>
        <w:top w:val="none" w:sz="0" w:space="0" w:color="auto"/>
        <w:left w:val="none" w:sz="0" w:space="0" w:color="auto"/>
        <w:bottom w:val="none" w:sz="0" w:space="0" w:color="auto"/>
        <w:right w:val="none" w:sz="0" w:space="0" w:color="auto"/>
      </w:divBdr>
      <w:divsChild>
        <w:div w:id="998657312">
          <w:marLeft w:val="600"/>
          <w:marRight w:val="0"/>
          <w:marTop w:val="0"/>
          <w:marBottom w:val="0"/>
          <w:divBdr>
            <w:top w:val="none" w:sz="0" w:space="0" w:color="auto"/>
            <w:left w:val="none" w:sz="0" w:space="0" w:color="auto"/>
            <w:bottom w:val="none" w:sz="0" w:space="0" w:color="auto"/>
            <w:right w:val="none" w:sz="0" w:space="0" w:color="auto"/>
          </w:divBdr>
        </w:div>
      </w:divsChild>
    </w:div>
    <w:div w:id="2002808943">
      <w:bodyDiv w:val="1"/>
      <w:marLeft w:val="0"/>
      <w:marRight w:val="0"/>
      <w:marTop w:val="0"/>
      <w:marBottom w:val="0"/>
      <w:divBdr>
        <w:top w:val="none" w:sz="0" w:space="0" w:color="auto"/>
        <w:left w:val="none" w:sz="0" w:space="0" w:color="auto"/>
        <w:bottom w:val="none" w:sz="0" w:space="0" w:color="auto"/>
        <w:right w:val="none" w:sz="0" w:space="0" w:color="auto"/>
      </w:divBdr>
    </w:div>
    <w:div w:id="2010015968">
      <w:bodyDiv w:val="1"/>
      <w:marLeft w:val="0"/>
      <w:marRight w:val="0"/>
      <w:marTop w:val="0"/>
      <w:marBottom w:val="0"/>
      <w:divBdr>
        <w:top w:val="none" w:sz="0" w:space="0" w:color="auto"/>
        <w:left w:val="none" w:sz="0" w:space="0" w:color="auto"/>
        <w:bottom w:val="none" w:sz="0" w:space="0" w:color="auto"/>
        <w:right w:val="none" w:sz="0" w:space="0" w:color="auto"/>
      </w:divBdr>
    </w:div>
    <w:div w:id="2020234016">
      <w:bodyDiv w:val="1"/>
      <w:marLeft w:val="0"/>
      <w:marRight w:val="0"/>
      <w:marTop w:val="0"/>
      <w:marBottom w:val="0"/>
      <w:divBdr>
        <w:top w:val="none" w:sz="0" w:space="0" w:color="auto"/>
        <w:left w:val="none" w:sz="0" w:space="0" w:color="auto"/>
        <w:bottom w:val="none" w:sz="0" w:space="0" w:color="auto"/>
        <w:right w:val="none" w:sz="0" w:space="0" w:color="auto"/>
      </w:divBdr>
    </w:div>
    <w:div w:id="2022512510">
      <w:bodyDiv w:val="1"/>
      <w:marLeft w:val="0"/>
      <w:marRight w:val="0"/>
      <w:marTop w:val="0"/>
      <w:marBottom w:val="0"/>
      <w:divBdr>
        <w:top w:val="none" w:sz="0" w:space="0" w:color="auto"/>
        <w:left w:val="none" w:sz="0" w:space="0" w:color="auto"/>
        <w:bottom w:val="none" w:sz="0" w:space="0" w:color="auto"/>
        <w:right w:val="none" w:sz="0" w:space="0" w:color="auto"/>
      </w:divBdr>
    </w:div>
    <w:div w:id="2034107163">
      <w:bodyDiv w:val="1"/>
      <w:marLeft w:val="0"/>
      <w:marRight w:val="0"/>
      <w:marTop w:val="0"/>
      <w:marBottom w:val="0"/>
      <w:divBdr>
        <w:top w:val="none" w:sz="0" w:space="0" w:color="auto"/>
        <w:left w:val="none" w:sz="0" w:space="0" w:color="auto"/>
        <w:bottom w:val="none" w:sz="0" w:space="0" w:color="auto"/>
        <w:right w:val="none" w:sz="0" w:space="0" w:color="auto"/>
      </w:divBdr>
    </w:div>
    <w:div w:id="2034918611">
      <w:bodyDiv w:val="1"/>
      <w:marLeft w:val="0"/>
      <w:marRight w:val="0"/>
      <w:marTop w:val="0"/>
      <w:marBottom w:val="0"/>
      <w:divBdr>
        <w:top w:val="none" w:sz="0" w:space="0" w:color="auto"/>
        <w:left w:val="none" w:sz="0" w:space="0" w:color="auto"/>
        <w:bottom w:val="none" w:sz="0" w:space="0" w:color="auto"/>
        <w:right w:val="none" w:sz="0" w:space="0" w:color="auto"/>
      </w:divBdr>
    </w:div>
    <w:div w:id="2036269769">
      <w:bodyDiv w:val="1"/>
      <w:marLeft w:val="0"/>
      <w:marRight w:val="0"/>
      <w:marTop w:val="0"/>
      <w:marBottom w:val="0"/>
      <w:divBdr>
        <w:top w:val="none" w:sz="0" w:space="0" w:color="auto"/>
        <w:left w:val="none" w:sz="0" w:space="0" w:color="auto"/>
        <w:bottom w:val="none" w:sz="0" w:space="0" w:color="auto"/>
        <w:right w:val="none" w:sz="0" w:space="0" w:color="auto"/>
      </w:divBdr>
    </w:div>
    <w:div w:id="2039427097">
      <w:bodyDiv w:val="1"/>
      <w:marLeft w:val="0"/>
      <w:marRight w:val="0"/>
      <w:marTop w:val="0"/>
      <w:marBottom w:val="0"/>
      <w:divBdr>
        <w:top w:val="none" w:sz="0" w:space="0" w:color="auto"/>
        <w:left w:val="none" w:sz="0" w:space="0" w:color="auto"/>
        <w:bottom w:val="none" w:sz="0" w:space="0" w:color="auto"/>
        <w:right w:val="none" w:sz="0" w:space="0" w:color="auto"/>
      </w:divBdr>
    </w:div>
    <w:div w:id="2043282251">
      <w:bodyDiv w:val="1"/>
      <w:marLeft w:val="0"/>
      <w:marRight w:val="0"/>
      <w:marTop w:val="0"/>
      <w:marBottom w:val="0"/>
      <w:divBdr>
        <w:top w:val="none" w:sz="0" w:space="0" w:color="auto"/>
        <w:left w:val="none" w:sz="0" w:space="0" w:color="auto"/>
        <w:bottom w:val="none" w:sz="0" w:space="0" w:color="auto"/>
        <w:right w:val="none" w:sz="0" w:space="0" w:color="auto"/>
      </w:divBdr>
    </w:div>
    <w:div w:id="2045279166">
      <w:bodyDiv w:val="1"/>
      <w:marLeft w:val="0"/>
      <w:marRight w:val="0"/>
      <w:marTop w:val="0"/>
      <w:marBottom w:val="0"/>
      <w:divBdr>
        <w:top w:val="none" w:sz="0" w:space="0" w:color="auto"/>
        <w:left w:val="none" w:sz="0" w:space="0" w:color="auto"/>
        <w:bottom w:val="none" w:sz="0" w:space="0" w:color="auto"/>
        <w:right w:val="none" w:sz="0" w:space="0" w:color="auto"/>
      </w:divBdr>
      <w:divsChild>
        <w:div w:id="690035016">
          <w:marLeft w:val="600"/>
          <w:marRight w:val="0"/>
          <w:marTop w:val="0"/>
          <w:marBottom w:val="0"/>
          <w:divBdr>
            <w:top w:val="none" w:sz="0" w:space="0" w:color="auto"/>
            <w:left w:val="none" w:sz="0" w:space="0" w:color="auto"/>
            <w:bottom w:val="none" w:sz="0" w:space="0" w:color="auto"/>
            <w:right w:val="none" w:sz="0" w:space="0" w:color="auto"/>
          </w:divBdr>
        </w:div>
      </w:divsChild>
    </w:div>
    <w:div w:id="2045472899">
      <w:bodyDiv w:val="1"/>
      <w:marLeft w:val="0"/>
      <w:marRight w:val="0"/>
      <w:marTop w:val="0"/>
      <w:marBottom w:val="0"/>
      <w:divBdr>
        <w:top w:val="none" w:sz="0" w:space="0" w:color="auto"/>
        <w:left w:val="none" w:sz="0" w:space="0" w:color="auto"/>
        <w:bottom w:val="none" w:sz="0" w:space="0" w:color="auto"/>
        <w:right w:val="none" w:sz="0" w:space="0" w:color="auto"/>
      </w:divBdr>
    </w:div>
    <w:div w:id="2045590219">
      <w:bodyDiv w:val="1"/>
      <w:marLeft w:val="0"/>
      <w:marRight w:val="0"/>
      <w:marTop w:val="0"/>
      <w:marBottom w:val="0"/>
      <w:divBdr>
        <w:top w:val="none" w:sz="0" w:space="0" w:color="auto"/>
        <w:left w:val="none" w:sz="0" w:space="0" w:color="auto"/>
        <w:bottom w:val="none" w:sz="0" w:space="0" w:color="auto"/>
        <w:right w:val="none" w:sz="0" w:space="0" w:color="auto"/>
      </w:divBdr>
    </w:div>
    <w:div w:id="2046327573">
      <w:bodyDiv w:val="1"/>
      <w:marLeft w:val="0"/>
      <w:marRight w:val="0"/>
      <w:marTop w:val="0"/>
      <w:marBottom w:val="0"/>
      <w:divBdr>
        <w:top w:val="none" w:sz="0" w:space="0" w:color="auto"/>
        <w:left w:val="none" w:sz="0" w:space="0" w:color="auto"/>
        <w:bottom w:val="none" w:sz="0" w:space="0" w:color="auto"/>
        <w:right w:val="none" w:sz="0" w:space="0" w:color="auto"/>
      </w:divBdr>
    </w:div>
    <w:div w:id="2056343925">
      <w:bodyDiv w:val="1"/>
      <w:marLeft w:val="0"/>
      <w:marRight w:val="0"/>
      <w:marTop w:val="0"/>
      <w:marBottom w:val="0"/>
      <w:divBdr>
        <w:top w:val="none" w:sz="0" w:space="0" w:color="auto"/>
        <w:left w:val="none" w:sz="0" w:space="0" w:color="auto"/>
        <w:bottom w:val="none" w:sz="0" w:space="0" w:color="auto"/>
        <w:right w:val="none" w:sz="0" w:space="0" w:color="auto"/>
      </w:divBdr>
    </w:div>
    <w:div w:id="2061786416">
      <w:bodyDiv w:val="1"/>
      <w:marLeft w:val="0"/>
      <w:marRight w:val="0"/>
      <w:marTop w:val="0"/>
      <w:marBottom w:val="0"/>
      <w:divBdr>
        <w:top w:val="none" w:sz="0" w:space="0" w:color="auto"/>
        <w:left w:val="none" w:sz="0" w:space="0" w:color="auto"/>
        <w:bottom w:val="none" w:sz="0" w:space="0" w:color="auto"/>
        <w:right w:val="none" w:sz="0" w:space="0" w:color="auto"/>
      </w:divBdr>
    </w:div>
    <w:div w:id="2069574550">
      <w:bodyDiv w:val="1"/>
      <w:marLeft w:val="0"/>
      <w:marRight w:val="0"/>
      <w:marTop w:val="0"/>
      <w:marBottom w:val="0"/>
      <w:divBdr>
        <w:top w:val="none" w:sz="0" w:space="0" w:color="auto"/>
        <w:left w:val="none" w:sz="0" w:space="0" w:color="auto"/>
        <w:bottom w:val="none" w:sz="0" w:space="0" w:color="auto"/>
        <w:right w:val="none" w:sz="0" w:space="0" w:color="auto"/>
      </w:divBdr>
    </w:div>
    <w:div w:id="2070687727">
      <w:bodyDiv w:val="1"/>
      <w:marLeft w:val="0"/>
      <w:marRight w:val="0"/>
      <w:marTop w:val="0"/>
      <w:marBottom w:val="0"/>
      <w:divBdr>
        <w:top w:val="none" w:sz="0" w:space="0" w:color="auto"/>
        <w:left w:val="none" w:sz="0" w:space="0" w:color="auto"/>
        <w:bottom w:val="none" w:sz="0" w:space="0" w:color="auto"/>
        <w:right w:val="none" w:sz="0" w:space="0" w:color="auto"/>
      </w:divBdr>
    </w:div>
    <w:div w:id="2071146255">
      <w:bodyDiv w:val="1"/>
      <w:marLeft w:val="0"/>
      <w:marRight w:val="0"/>
      <w:marTop w:val="0"/>
      <w:marBottom w:val="0"/>
      <w:divBdr>
        <w:top w:val="none" w:sz="0" w:space="0" w:color="auto"/>
        <w:left w:val="none" w:sz="0" w:space="0" w:color="auto"/>
        <w:bottom w:val="none" w:sz="0" w:space="0" w:color="auto"/>
        <w:right w:val="none" w:sz="0" w:space="0" w:color="auto"/>
      </w:divBdr>
    </w:div>
    <w:div w:id="2083137428">
      <w:bodyDiv w:val="1"/>
      <w:marLeft w:val="0"/>
      <w:marRight w:val="0"/>
      <w:marTop w:val="0"/>
      <w:marBottom w:val="0"/>
      <w:divBdr>
        <w:top w:val="none" w:sz="0" w:space="0" w:color="auto"/>
        <w:left w:val="none" w:sz="0" w:space="0" w:color="auto"/>
        <w:bottom w:val="none" w:sz="0" w:space="0" w:color="auto"/>
        <w:right w:val="none" w:sz="0" w:space="0" w:color="auto"/>
      </w:divBdr>
    </w:div>
    <w:div w:id="2086606197">
      <w:bodyDiv w:val="1"/>
      <w:marLeft w:val="0"/>
      <w:marRight w:val="0"/>
      <w:marTop w:val="0"/>
      <w:marBottom w:val="0"/>
      <w:divBdr>
        <w:top w:val="none" w:sz="0" w:space="0" w:color="auto"/>
        <w:left w:val="none" w:sz="0" w:space="0" w:color="auto"/>
        <w:bottom w:val="none" w:sz="0" w:space="0" w:color="auto"/>
        <w:right w:val="none" w:sz="0" w:space="0" w:color="auto"/>
      </w:divBdr>
    </w:div>
    <w:div w:id="2088920774">
      <w:bodyDiv w:val="1"/>
      <w:marLeft w:val="0"/>
      <w:marRight w:val="0"/>
      <w:marTop w:val="0"/>
      <w:marBottom w:val="0"/>
      <w:divBdr>
        <w:top w:val="none" w:sz="0" w:space="0" w:color="auto"/>
        <w:left w:val="none" w:sz="0" w:space="0" w:color="auto"/>
        <w:bottom w:val="none" w:sz="0" w:space="0" w:color="auto"/>
        <w:right w:val="none" w:sz="0" w:space="0" w:color="auto"/>
      </w:divBdr>
    </w:div>
    <w:div w:id="2090273493">
      <w:bodyDiv w:val="1"/>
      <w:marLeft w:val="0"/>
      <w:marRight w:val="0"/>
      <w:marTop w:val="0"/>
      <w:marBottom w:val="0"/>
      <w:divBdr>
        <w:top w:val="none" w:sz="0" w:space="0" w:color="auto"/>
        <w:left w:val="none" w:sz="0" w:space="0" w:color="auto"/>
        <w:bottom w:val="none" w:sz="0" w:space="0" w:color="auto"/>
        <w:right w:val="none" w:sz="0" w:space="0" w:color="auto"/>
      </w:divBdr>
    </w:div>
    <w:div w:id="2105346149">
      <w:bodyDiv w:val="1"/>
      <w:marLeft w:val="0"/>
      <w:marRight w:val="0"/>
      <w:marTop w:val="0"/>
      <w:marBottom w:val="0"/>
      <w:divBdr>
        <w:top w:val="none" w:sz="0" w:space="0" w:color="auto"/>
        <w:left w:val="none" w:sz="0" w:space="0" w:color="auto"/>
        <w:bottom w:val="none" w:sz="0" w:space="0" w:color="auto"/>
        <w:right w:val="none" w:sz="0" w:space="0" w:color="auto"/>
      </w:divBdr>
    </w:div>
    <w:div w:id="2109764745">
      <w:bodyDiv w:val="1"/>
      <w:marLeft w:val="0"/>
      <w:marRight w:val="0"/>
      <w:marTop w:val="0"/>
      <w:marBottom w:val="0"/>
      <w:divBdr>
        <w:top w:val="none" w:sz="0" w:space="0" w:color="auto"/>
        <w:left w:val="none" w:sz="0" w:space="0" w:color="auto"/>
        <w:bottom w:val="none" w:sz="0" w:space="0" w:color="auto"/>
        <w:right w:val="none" w:sz="0" w:space="0" w:color="auto"/>
      </w:divBdr>
      <w:divsChild>
        <w:div w:id="2092963244">
          <w:marLeft w:val="600"/>
          <w:marRight w:val="0"/>
          <w:marTop w:val="0"/>
          <w:marBottom w:val="0"/>
          <w:divBdr>
            <w:top w:val="none" w:sz="0" w:space="0" w:color="auto"/>
            <w:left w:val="none" w:sz="0" w:space="0" w:color="auto"/>
            <w:bottom w:val="none" w:sz="0" w:space="0" w:color="auto"/>
            <w:right w:val="none" w:sz="0" w:space="0" w:color="auto"/>
          </w:divBdr>
        </w:div>
      </w:divsChild>
    </w:div>
    <w:div w:id="2117630846">
      <w:bodyDiv w:val="1"/>
      <w:marLeft w:val="0"/>
      <w:marRight w:val="0"/>
      <w:marTop w:val="0"/>
      <w:marBottom w:val="0"/>
      <w:divBdr>
        <w:top w:val="none" w:sz="0" w:space="0" w:color="auto"/>
        <w:left w:val="none" w:sz="0" w:space="0" w:color="auto"/>
        <w:bottom w:val="none" w:sz="0" w:space="0" w:color="auto"/>
        <w:right w:val="none" w:sz="0" w:space="0" w:color="auto"/>
      </w:divBdr>
    </w:div>
    <w:div w:id="2119399740">
      <w:bodyDiv w:val="1"/>
      <w:marLeft w:val="0"/>
      <w:marRight w:val="0"/>
      <w:marTop w:val="0"/>
      <w:marBottom w:val="0"/>
      <w:divBdr>
        <w:top w:val="none" w:sz="0" w:space="0" w:color="auto"/>
        <w:left w:val="none" w:sz="0" w:space="0" w:color="auto"/>
        <w:bottom w:val="none" w:sz="0" w:space="0" w:color="auto"/>
        <w:right w:val="none" w:sz="0" w:space="0" w:color="auto"/>
      </w:divBdr>
    </w:div>
    <w:div w:id="2120946422">
      <w:bodyDiv w:val="1"/>
      <w:marLeft w:val="0"/>
      <w:marRight w:val="0"/>
      <w:marTop w:val="0"/>
      <w:marBottom w:val="0"/>
      <w:divBdr>
        <w:top w:val="none" w:sz="0" w:space="0" w:color="auto"/>
        <w:left w:val="none" w:sz="0" w:space="0" w:color="auto"/>
        <w:bottom w:val="none" w:sz="0" w:space="0" w:color="auto"/>
        <w:right w:val="none" w:sz="0" w:space="0" w:color="auto"/>
      </w:divBdr>
    </w:div>
    <w:div w:id="2121147286">
      <w:bodyDiv w:val="1"/>
      <w:marLeft w:val="0"/>
      <w:marRight w:val="0"/>
      <w:marTop w:val="0"/>
      <w:marBottom w:val="0"/>
      <w:divBdr>
        <w:top w:val="none" w:sz="0" w:space="0" w:color="auto"/>
        <w:left w:val="none" w:sz="0" w:space="0" w:color="auto"/>
        <w:bottom w:val="none" w:sz="0" w:space="0" w:color="auto"/>
        <w:right w:val="none" w:sz="0" w:space="0" w:color="auto"/>
      </w:divBdr>
      <w:divsChild>
        <w:div w:id="304356204">
          <w:marLeft w:val="600"/>
          <w:marRight w:val="0"/>
          <w:marTop w:val="0"/>
          <w:marBottom w:val="0"/>
          <w:divBdr>
            <w:top w:val="none" w:sz="0" w:space="0" w:color="auto"/>
            <w:left w:val="none" w:sz="0" w:space="0" w:color="auto"/>
            <w:bottom w:val="none" w:sz="0" w:space="0" w:color="auto"/>
            <w:right w:val="none" w:sz="0" w:space="0" w:color="auto"/>
          </w:divBdr>
        </w:div>
      </w:divsChild>
    </w:div>
    <w:div w:id="2121488498">
      <w:bodyDiv w:val="1"/>
      <w:marLeft w:val="0"/>
      <w:marRight w:val="0"/>
      <w:marTop w:val="0"/>
      <w:marBottom w:val="0"/>
      <w:divBdr>
        <w:top w:val="none" w:sz="0" w:space="0" w:color="auto"/>
        <w:left w:val="none" w:sz="0" w:space="0" w:color="auto"/>
        <w:bottom w:val="none" w:sz="0" w:space="0" w:color="auto"/>
        <w:right w:val="none" w:sz="0" w:space="0" w:color="auto"/>
      </w:divBdr>
    </w:div>
    <w:div w:id="2124765570">
      <w:bodyDiv w:val="1"/>
      <w:marLeft w:val="0"/>
      <w:marRight w:val="0"/>
      <w:marTop w:val="0"/>
      <w:marBottom w:val="0"/>
      <w:divBdr>
        <w:top w:val="none" w:sz="0" w:space="0" w:color="auto"/>
        <w:left w:val="none" w:sz="0" w:space="0" w:color="auto"/>
        <w:bottom w:val="none" w:sz="0" w:space="0" w:color="auto"/>
        <w:right w:val="none" w:sz="0" w:space="0" w:color="auto"/>
      </w:divBdr>
    </w:div>
    <w:div w:id="2124840745">
      <w:bodyDiv w:val="1"/>
      <w:marLeft w:val="0"/>
      <w:marRight w:val="0"/>
      <w:marTop w:val="0"/>
      <w:marBottom w:val="0"/>
      <w:divBdr>
        <w:top w:val="none" w:sz="0" w:space="0" w:color="auto"/>
        <w:left w:val="none" w:sz="0" w:space="0" w:color="auto"/>
        <w:bottom w:val="none" w:sz="0" w:space="0" w:color="auto"/>
        <w:right w:val="none" w:sz="0" w:space="0" w:color="auto"/>
      </w:divBdr>
    </w:div>
    <w:div w:id="2125424035">
      <w:bodyDiv w:val="1"/>
      <w:marLeft w:val="0"/>
      <w:marRight w:val="0"/>
      <w:marTop w:val="0"/>
      <w:marBottom w:val="0"/>
      <w:divBdr>
        <w:top w:val="none" w:sz="0" w:space="0" w:color="auto"/>
        <w:left w:val="none" w:sz="0" w:space="0" w:color="auto"/>
        <w:bottom w:val="none" w:sz="0" w:space="0" w:color="auto"/>
        <w:right w:val="none" w:sz="0" w:space="0" w:color="auto"/>
      </w:divBdr>
    </w:div>
    <w:div w:id="2126657293">
      <w:bodyDiv w:val="1"/>
      <w:marLeft w:val="0"/>
      <w:marRight w:val="0"/>
      <w:marTop w:val="0"/>
      <w:marBottom w:val="0"/>
      <w:divBdr>
        <w:top w:val="none" w:sz="0" w:space="0" w:color="auto"/>
        <w:left w:val="none" w:sz="0" w:space="0" w:color="auto"/>
        <w:bottom w:val="none" w:sz="0" w:space="0" w:color="auto"/>
        <w:right w:val="none" w:sz="0" w:space="0" w:color="auto"/>
      </w:divBdr>
    </w:div>
    <w:div w:id="2134008501">
      <w:bodyDiv w:val="1"/>
      <w:marLeft w:val="0"/>
      <w:marRight w:val="0"/>
      <w:marTop w:val="0"/>
      <w:marBottom w:val="0"/>
      <w:divBdr>
        <w:top w:val="none" w:sz="0" w:space="0" w:color="auto"/>
        <w:left w:val="none" w:sz="0" w:space="0" w:color="auto"/>
        <w:bottom w:val="none" w:sz="0" w:space="0" w:color="auto"/>
        <w:right w:val="none" w:sz="0" w:space="0" w:color="auto"/>
      </w:divBdr>
    </w:div>
    <w:div w:id="2134247478">
      <w:bodyDiv w:val="1"/>
      <w:marLeft w:val="0"/>
      <w:marRight w:val="0"/>
      <w:marTop w:val="0"/>
      <w:marBottom w:val="0"/>
      <w:divBdr>
        <w:top w:val="none" w:sz="0" w:space="0" w:color="auto"/>
        <w:left w:val="none" w:sz="0" w:space="0" w:color="auto"/>
        <w:bottom w:val="none" w:sz="0" w:space="0" w:color="auto"/>
        <w:right w:val="none" w:sz="0" w:space="0" w:color="auto"/>
      </w:divBdr>
    </w:div>
    <w:div w:id="2137868750">
      <w:bodyDiv w:val="1"/>
      <w:marLeft w:val="0"/>
      <w:marRight w:val="0"/>
      <w:marTop w:val="0"/>
      <w:marBottom w:val="0"/>
      <w:divBdr>
        <w:top w:val="none" w:sz="0" w:space="0" w:color="auto"/>
        <w:left w:val="none" w:sz="0" w:space="0" w:color="auto"/>
        <w:bottom w:val="none" w:sz="0" w:space="0" w:color="auto"/>
        <w:right w:val="none" w:sz="0" w:space="0" w:color="auto"/>
      </w:divBdr>
    </w:div>
    <w:div w:id="213930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96479-FA83-4798-9DD7-976ED70C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176</Pages>
  <Words>40613</Words>
  <Characters>231499</Characters>
  <Application>Microsoft Office Word</Application>
  <DocSecurity>0</DocSecurity>
  <Lines>1929</Lines>
  <Paragraphs>543</Paragraphs>
  <ScaleCrop>false</ScaleCrop>
  <HeadingPairs>
    <vt:vector size="2" baseType="variant">
      <vt:variant>
        <vt:lpstr>Title</vt:lpstr>
      </vt:variant>
      <vt:variant>
        <vt:i4>1</vt:i4>
      </vt:variant>
    </vt:vector>
  </HeadingPairs>
  <TitlesOfParts>
    <vt:vector size="1" baseType="lpstr">
      <vt:lpstr>Процес усклађивања законодавства са правом ЕУ</vt:lpstr>
    </vt:vector>
  </TitlesOfParts>
  <Company>KEI</Company>
  <LinksUpToDate>false</LinksUpToDate>
  <CharactersWithSpaces>271569</CharactersWithSpaces>
  <SharedDoc>false</SharedDoc>
  <HLinks>
    <vt:vector size="12" baseType="variant">
      <vt:variant>
        <vt:i4>7077943</vt:i4>
      </vt:variant>
      <vt:variant>
        <vt:i4>3</vt:i4>
      </vt:variant>
      <vt:variant>
        <vt:i4>0</vt:i4>
      </vt:variant>
      <vt:variant>
        <vt:i4>5</vt:i4>
      </vt:variant>
      <vt:variant>
        <vt:lpwstr>http://eur-lex.europa.eu/LexUriServ/LexUriServ.do?uri=CONSLEG:2000L0060:20090625:EN:PDF</vt:lpwstr>
      </vt:variant>
      <vt:variant>
        <vt:lpwstr/>
      </vt:variant>
      <vt:variant>
        <vt:i4>2949177</vt:i4>
      </vt:variant>
      <vt:variant>
        <vt:i4>0</vt:i4>
      </vt:variant>
      <vt:variant>
        <vt:i4>0</vt:i4>
      </vt:variant>
      <vt:variant>
        <vt:i4>5</vt:i4>
      </vt:variant>
      <vt:variant>
        <vt:lpwstr>http://www.seio.gov.rs/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Процес усклађивања законодавства са правом ЕУ</dc:title>
  <dc:creator>Zoran Sretić</dc:creator>
  <cp:lastModifiedBy>Andjelka Opacic</cp:lastModifiedBy>
  <cp:revision>39</cp:revision>
  <cp:lastPrinted>2013-06-06T10:18:00Z</cp:lastPrinted>
  <dcterms:created xsi:type="dcterms:W3CDTF">2018-08-09T10:29:00Z</dcterms:created>
  <dcterms:modified xsi:type="dcterms:W3CDTF">2018-08-10T05:44:00Z</dcterms:modified>
</cp:coreProperties>
</file>